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9A5C" w14:textId="77777777" w:rsidR="00403B1A" w:rsidRDefault="00E14E1D" w:rsidP="00403B1A">
      <w:bookmarkStart w:id="0" w:name="abstract"/>
      <w:r>
        <w:t>Title</w:t>
      </w:r>
      <w:r w:rsidR="00403B1A">
        <w:t xml:space="preserve">: </w:t>
      </w:r>
    </w:p>
    <w:p w14:paraId="55D6FE9D" w14:textId="77777777" w:rsidR="00146A4A" w:rsidRPr="00E14E1D" w:rsidRDefault="00146A4A" w:rsidP="00146A4A">
      <w:r w:rsidRPr="006D7E03">
        <w:t>Mapping the geographic, taxonomic, and socioeconomic biases of global fungal endophyte research</w:t>
      </w:r>
    </w:p>
    <w:p w14:paraId="11D6D85B" w14:textId="77777777" w:rsidR="00FA100A" w:rsidRDefault="00FA100A" w:rsidP="008B59A2"/>
    <w:p w14:paraId="3C0FAE34" w14:textId="6571A9B7" w:rsidR="008B59A2" w:rsidRDefault="008B59A2" w:rsidP="008B59A2">
      <w:r>
        <w:t>Submitting to: New Phytologist</w:t>
      </w:r>
    </w:p>
    <w:p w14:paraId="401033C5" w14:textId="6BD1E5E9" w:rsidR="00686E88" w:rsidRPr="00686E88" w:rsidRDefault="00686E88" w:rsidP="00686E88">
      <w:r w:rsidRPr="00686E88">
        <w:t>Authors: B. M. Bock</w:t>
      </w:r>
      <w:r w:rsidRPr="00686E88">
        <w:rPr>
          <w:vertAlign w:val="superscript"/>
        </w:rPr>
        <w:t>1,2</w:t>
      </w:r>
      <w:r w:rsidRPr="00686E88">
        <w:t xml:space="preserve">, N. </w:t>
      </w:r>
      <w:r w:rsidR="00BC2B3E">
        <w:t xml:space="preserve">P. </w:t>
      </w:r>
      <w:r w:rsidRPr="00686E88">
        <w:t>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1,2</w:t>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6A930239" w14:textId="0C8DFD80" w:rsidR="002E00CA" w:rsidRDefault="00A24029" w:rsidP="007112DB">
      <w:pPr>
        <w:pStyle w:val="Compact"/>
      </w:pPr>
      <w:r w:rsidRPr="00A24029">
        <w:t>Fungal endophytes are microorganisms that reside within plant tissues. The foundational assumption that these fungi are ubiquitous is frequently asserted in the literature, yet this paradigm lacks the support of a rigorous, global-scale synthesis.</w:t>
      </w:r>
      <w:r>
        <w:t xml:space="preserve"> </w:t>
      </w:r>
      <w:r w:rsidR="00F53620" w:rsidRPr="00F53620">
        <w:t xml:space="preserve">Understanding the </w:t>
      </w:r>
      <w:r w:rsidR="006A5BFC">
        <w:t>documented</w:t>
      </w:r>
      <w:r w:rsidR="00F53620" w:rsidRPr="00F53620">
        <w:t xml:space="preserve"> geographic, taxonomic, and functional distribution of </w:t>
      </w:r>
      <w:r w:rsidR="00EF1E19">
        <w:t xml:space="preserve">fungal </w:t>
      </w:r>
      <w:r w:rsidR="00F53620" w:rsidRPr="00F53620">
        <w:t xml:space="preserve">endophyte research is essential </w:t>
      </w:r>
      <w:r w:rsidR="00EF1E19">
        <w:t>in evaluating</w:t>
      </w:r>
      <w:r w:rsidR="00F53620" w:rsidRPr="00F53620">
        <w:t xml:space="preserve"> the reliability of broad ecological generalizations. To map this evidence base, </w:t>
      </w:r>
      <w:r w:rsidR="00813069">
        <w:t xml:space="preserve">we conducted </w:t>
      </w:r>
      <w:r w:rsidR="00F53620" w:rsidRPr="00F53620">
        <w:t xml:space="preserve">an </w:t>
      </w:r>
      <w:r w:rsidR="00824892" w:rsidRPr="00824892">
        <w:t>abstract-</w:t>
      </w:r>
      <w:r w:rsidR="00824892">
        <w:t>led</w:t>
      </w:r>
      <w:r w:rsidR="00824892" w:rsidRPr="00824892">
        <w:t>, full-text-supplemented audit</w:t>
      </w:r>
      <w:r w:rsidR="00F53620" w:rsidRPr="00F53620">
        <w:t xml:space="preserve"> of 18,750 publications, harmonizing host and fungal nomenclature against the Global Biodiversity Information Facility (GBIF) backbone. </w:t>
      </w:r>
      <w:r w:rsidR="002F3FFC">
        <w:t>Automated text analysis</w:t>
      </w:r>
      <w:r w:rsidR="00F53620" w:rsidRPr="00F53620">
        <w:t xml:space="preserve"> revealed that</w:t>
      </w:r>
      <w:r w:rsidR="00A61CA0" w:rsidRPr="00A61CA0">
        <w:t xml:space="preserve"> </w:t>
      </w:r>
      <w:r w:rsidR="006A5BFC">
        <w:t xml:space="preserve">the </w:t>
      </w:r>
      <w:r w:rsidR="00A20913" w:rsidRPr="00A20913">
        <w:t>assumption of universal fungal endophyte distribution</w:t>
      </w:r>
      <w:r w:rsidR="00F53620" w:rsidRPr="00F53620">
        <w:t xml:space="preserve"> appear</w:t>
      </w:r>
      <w:r w:rsidR="00967E3D">
        <w:t>ed</w:t>
      </w:r>
      <w:r w:rsidR="00F53620" w:rsidRPr="00F53620">
        <w:t xml:space="preserve"> in 2.7% of the published literature. </w:t>
      </w:r>
      <w:r w:rsidR="005F032F">
        <w:t>In evaluating</w:t>
      </w:r>
      <w:r w:rsidR="00AF60CC">
        <w:t xml:space="preserve"> this assumption, we f</w:t>
      </w:r>
      <w:r w:rsidR="0089669B">
        <w:t>ound</w:t>
      </w:r>
      <w:r w:rsidR="00AF60CC">
        <w:t xml:space="preserve"> that e</w:t>
      </w:r>
      <w:r w:rsidR="00AF60CC" w:rsidRPr="00AF60CC">
        <w:t>very plant lineage examined to date hosts fungal endophytes; however, the globally aggregated evidence base remain</w:t>
      </w:r>
      <w:r w:rsidR="0089669B">
        <w:t>ed</w:t>
      </w:r>
      <w:r w:rsidR="00AF60CC" w:rsidRPr="00AF60CC">
        <w:t xml:space="preserve"> insufficient to support unqualified claims of global ubiquity.</w:t>
      </w:r>
      <w:r w:rsidR="00AF60CC">
        <w:t xml:space="preserve"> </w:t>
      </w:r>
      <w:r w:rsidR="000C5D2A">
        <w:t>We also f</w:t>
      </w:r>
      <w:r w:rsidR="0089669B">
        <w:t xml:space="preserve">ound </w:t>
      </w:r>
      <w:r w:rsidR="000C5D2A">
        <w:t>that r</w:t>
      </w:r>
      <w:r w:rsidR="00F53620" w:rsidRPr="00F53620">
        <w:t xml:space="preserve">esearch </w:t>
      </w:r>
      <w:r w:rsidR="0089669B">
        <w:t>was</w:t>
      </w:r>
      <w:r w:rsidR="00F53620" w:rsidRPr="00F53620">
        <w:t xml:space="preserve"> heavily concentrated in </w:t>
      </w:r>
      <w:r w:rsidR="006A68DC">
        <w:t xml:space="preserve">wealthy </w:t>
      </w:r>
      <w:r w:rsidR="00F53620" w:rsidRPr="00F53620">
        <w:t>temperate nations and taxonomically skewed, leaving early-diverging plant lineages (e.g., Charophyta, Bryophyta)</w:t>
      </w:r>
      <w:r w:rsidR="0089669B">
        <w:t xml:space="preserve"> </w:t>
      </w:r>
      <w:r w:rsidR="00F53620" w:rsidRPr="00F53620">
        <w:t>un</w:t>
      </w:r>
      <w:r w:rsidR="004705A0">
        <w:t>der</w:t>
      </w:r>
      <w:r w:rsidR="00F53620" w:rsidRPr="00F53620">
        <w:t xml:space="preserve">examined. </w:t>
      </w:r>
      <w:r w:rsidR="005531DC">
        <w:t>T</w:t>
      </w:r>
      <w:r w:rsidR="00146F12" w:rsidRPr="00146F12">
        <w:t xml:space="preserve">he literature </w:t>
      </w:r>
      <w:r w:rsidR="0089669B">
        <w:t xml:space="preserve">was </w:t>
      </w:r>
      <w:r w:rsidR="00146F12" w:rsidRPr="00146F12">
        <w:t xml:space="preserve">functionally biased toward applied agricultural contexts, with </w:t>
      </w:r>
      <w:r w:rsidR="00EF344D">
        <w:t xml:space="preserve">32% of reported biomes </w:t>
      </w:r>
      <w:r w:rsidR="00141695">
        <w:t xml:space="preserve">being agricultural and </w:t>
      </w:r>
      <w:r w:rsidR="00146F12" w:rsidRPr="00146F12">
        <w:t xml:space="preserve">over one-third (35.1%) of </w:t>
      </w:r>
      <w:r w:rsidR="00F33252" w:rsidRPr="00F33252">
        <w:t>documented interactions focused on fungi that authors classified as pathogens</w:t>
      </w:r>
      <w:r w:rsidR="0078789E">
        <w:t>.</w:t>
      </w:r>
      <w:r w:rsidR="0078789E" w:rsidRPr="0078789E">
        <w:t xml:space="preserve"> This reflect</w:t>
      </w:r>
      <w:r w:rsidR="00191737">
        <w:t>ed</w:t>
      </w:r>
      <w:r w:rsidR="0078789E" w:rsidRPr="0078789E">
        <w:t xml:space="preserve"> the functional fluidity of these fungi rather than the strictly asymptomatic associations classically used to define endophytes.</w:t>
      </w:r>
      <w:r w:rsidR="00146F12" w:rsidRPr="00146F12">
        <w:t xml:space="preserve"> </w:t>
      </w:r>
      <w:r w:rsidR="0078789E">
        <w:t>We f</w:t>
      </w:r>
      <w:r w:rsidR="003E057F">
        <w:t>ound</w:t>
      </w:r>
      <w:r w:rsidR="0078789E">
        <w:t xml:space="preserve"> that t</w:t>
      </w:r>
      <w:r w:rsidR="00146F12" w:rsidRPr="00146F12">
        <w:t>he current map of endophyte ecology reflect</w:t>
      </w:r>
      <w:r w:rsidR="00191737">
        <w:t>ed</w:t>
      </w:r>
      <w:r w:rsidR="00146F12" w:rsidRPr="00146F12">
        <w:t xml:space="preserve"> </w:t>
      </w:r>
      <w:r w:rsidR="00931CE3">
        <w:t>socio</w:t>
      </w:r>
      <w:r w:rsidR="00146F12" w:rsidRPr="00146F12">
        <w:t xml:space="preserve">economic priorities rather than the functional breadth and </w:t>
      </w:r>
      <w:r w:rsidR="008F37BB">
        <w:t>biogeographic distribution</w:t>
      </w:r>
      <w:r w:rsidR="00146F12" w:rsidRPr="00146F12">
        <w:t xml:space="preserve"> of </w:t>
      </w:r>
      <w:r w:rsidR="00F00A86">
        <w:t xml:space="preserve">fungal </w:t>
      </w:r>
      <w:r w:rsidR="00146F12" w:rsidRPr="00146F12">
        <w:t xml:space="preserve">endophytes. </w:t>
      </w:r>
      <w:r w:rsidR="002E00CA" w:rsidRPr="002E00CA">
        <w:t xml:space="preserve">To guide </w:t>
      </w:r>
      <w:r w:rsidR="007853F4">
        <w:t xml:space="preserve">future </w:t>
      </w:r>
      <w:r w:rsidR="002E00CA" w:rsidRPr="002E00CA">
        <w:t>research, we provide</w:t>
      </w:r>
      <w:r w:rsidR="003E057F">
        <w:t>d</w:t>
      </w:r>
      <w:r w:rsidR="002E00CA" w:rsidRPr="002E00CA">
        <w:t xml:space="preserve"> a data-driven priority roadmap of under-sampled regions and taxa.</w:t>
      </w:r>
    </w:p>
    <w:p w14:paraId="25561D1A" w14:textId="77777777" w:rsidR="009F4D6D" w:rsidRDefault="00F10295">
      <w:pPr>
        <w:pStyle w:val="Heading1"/>
      </w:pPr>
      <w:bookmarkStart w:id="1" w:name="introduction"/>
      <w:bookmarkEnd w:id="0"/>
      <w:r>
        <w:lastRenderedPageBreak/>
        <w:t>Introduction</w:t>
      </w:r>
    </w:p>
    <w:p w14:paraId="53839B6D" w14:textId="1628AB8B" w:rsidR="00E674CC" w:rsidRDefault="006658E2">
      <w:pPr>
        <w:pStyle w:val="FirstParagraph"/>
      </w:pPr>
      <w:r w:rsidRPr="006658E2">
        <w:t>Fungal endophytes, microorganisms that reside within plant tissues for at least a portion of their lifecycle,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 xml:space="preserve">Their ecological significance is increasingly recognized, from shaping plant community dynamics to producing a vast arsenal of secondary metabolites with </w:t>
      </w:r>
      <w:r w:rsidR="00FD737D">
        <w:t>applications in</w:t>
      </w:r>
      <w:r w:rsidR="00D9120C" w:rsidRPr="00D9120C">
        <w:t xml:space="preserve">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r w:rsidR="00B746AC">
        <w:t>consistent</w:t>
      </w:r>
      <w:r w:rsidR="00E64EFA" w:rsidRPr="00E64EFA">
        <w:t xml:space="preserve"> with the positive evidence gathered to date, it has been propagated without a rigorous, global-scale quantitative synthesis</w:t>
      </w:r>
      <w:r w:rsidR="006067D3">
        <w:t xml:space="preserve"> t</w:t>
      </w:r>
      <w:r w:rsidR="00E64EFA" w:rsidRPr="00E64EFA">
        <w:t>esting this assumption against the actual geographic and taxonomic distribution of published research efforts.</w:t>
      </w:r>
    </w:p>
    <w:p w14:paraId="1D83EC20" w14:textId="77777777" w:rsidR="00830AE4"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xml:space="preserve">. </w:t>
      </w:r>
      <w:r w:rsidR="00305DBB" w:rsidRPr="00305DBB">
        <w:t>In the context of fungal endophytes, foundational ecological generalizations</w:t>
      </w:r>
      <w:r w:rsidR="00305DBB">
        <w:t xml:space="preserve"> </w:t>
      </w:r>
      <w:r w:rsidR="00305DBB" w:rsidRPr="00305DBB">
        <w:t>such as theories on plant-fungal co-evolution, community assembly rules, and biome-level adaptation</w:t>
      </w:r>
      <w:r w:rsidR="00305DBB">
        <w:t xml:space="preserve"> </w:t>
      </w:r>
      <w:r w:rsidR="00305DBB" w:rsidRPr="00305DBB">
        <w:t>are highly vulnerable to sampling bias</w:t>
      </w:r>
      <w:r w:rsidR="00305DBB">
        <w:t xml:space="preserve"> </w:t>
      </w:r>
      <w:r w:rsidR="00305DBB">
        <w:fldChar w:fldCharType="begin"/>
      </w:r>
      <w:r w:rsidR="00305DB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305DBB">
        <w:rPr>
          <w:rFonts w:ascii="Cambria Math" w:hAnsi="Cambria Math" w:cs="Cambria Math"/>
        </w:rPr>
        <w:instrText>‐</w:instrText>
      </w:r>
      <w:r w:rsidR="00305DBB">
        <w:instrText>based and molecular methods. Of the major lineages of filamentous ascomycetes recovered, 53</w:instrText>
      </w:r>
      <w:r w:rsidR="00305DBB">
        <w:rPr>
          <w:rFonts w:ascii="Aptos" w:hAnsi="Aptos" w:cs="Aptos"/>
        </w:rPr>
        <w:instrText>–</w:instrText>
      </w:r>
      <w:r w:rsidR="00305DB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305DBB">
        <w:rPr>
          <w:rFonts w:ascii="Cambria Math" w:hAnsi="Cambria Math" w:cs="Cambria Math"/>
        </w:rPr>
        <w:instrText>‐</w:instrText>
      </w:r>
      <w:r w:rsidR="00305DB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305DBB">
        <w:rPr>
          <w:rFonts w:ascii="Cambria Math" w:hAnsi="Cambria Math" w:cs="Cambria Math"/>
        </w:rPr>
        <w:instrText>‐</w:instrText>
      </w:r>
      <w:r w:rsidR="00305DB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305DBB">
        <w:fldChar w:fldCharType="separate"/>
      </w:r>
      <w:r w:rsidR="00305DBB" w:rsidRPr="00425F6B">
        <w:rPr>
          <w:rFonts w:ascii="Aptos" w:hAnsi="Aptos" w:cs="Times New Roman"/>
        </w:rPr>
        <w:t xml:space="preserve">(Arnold &amp; Lutzoni, 2007; Davis &amp; Shaw, 2008; U’Ren </w:t>
      </w:r>
      <w:r w:rsidR="00305DBB" w:rsidRPr="00425F6B">
        <w:rPr>
          <w:rFonts w:ascii="Aptos" w:hAnsi="Aptos" w:cs="Times New Roman"/>
          <w:i/>
          <w:iCs/>
        </w:rPr>
        <w:t>et al.</w:t>
      </w:r>
      <w:r w:rsidR="00305DBB" w:rsidRPr="00425F6B">
        <w:rPr>
          <w:rFonts w:ascii="Aptos" w:hAnsi="Aptos" w:cs="Times New Roman"/>
        </w:rPr>
        <w:t>, 2012)</w:t>
      </w:r>
      <w:r w:rsidR="00305DBB">
        <w:fldChar w:fldCharType="end"/>
      </w:r>
      <w:r w:rsidR="00305DBB" w:rsidRPr="00305DBB">
        <w:t>.</w:t>
      </w:r>
      <w:r w:rsidR="005676F3">
        <w:t xml:space="preserve"> </w:t>
      </w:r>
    </w:p>
    <w:p w14:paraId="25561D1D" w14:textId="4A4FAFC4" w:rsidR="009F4D6D" w:rsidRDefault="005676F3">
      <w:pPr>
        <w:pStyle w:val="BodyText"/>
      </w:pPr>
      <w:r w:rsidRPr="005676F3">
        <w:t xml:space="preserve">Evaluating this evidence base is fundamentally complicated by the fluid definition of endophytism itself. </w:t>
      </w:r>
      <w:r w:rsidR="008E77DE" w:rsidRPr="008E77DE">
        <w:t>While classically defined as strictly asymptomatic</w:t>
      </w:r>
      <w:r w:rsidR="008F0144">
        <w:t xml:space="preserve"> </w:t>
      </w:r>
      <w:r w:rsidR="008F0144">
        <w:fldChar w:fldCharType="begin"/>
      </w:r>
      <w:r w:rsidR="00DF25B6">
        <w:instrText xml:space="preserve"> ADDIN ZOTERO_ITEM CSL_CITATION {"citationID":"t9sdeZx7","properties":{"unsorted":false,"formattedCitation":"(Rodriguez {\\i{}et al.}, 2009; Cosner {\\i{}et al.}, 2025)","plainCitation":"(Rodriguez et al., 2009; Cosner et al., 2025)","noteIndex":0},"citationItems":[{"id":38514,"uris":["http://zotero.org/users/6275788/items/GLVZWQTP"],"itemData":{"id":38514,"type":"article-journal","container-title":"New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A."},{"family":"Vilgalys","given":"Rytas"},{"family":"Veneault-Fourrey","given":"Claire"}],"issued":{"date-parts":[["2025",10]]}}}],"schema":"https://github.com/citation-style-language/schema/raw/master/csl-citation.json"} </w:instrText>
      </w:r>
      <w:r w:rsidR="008F0144">
        <w:fldChar w:fldCharType="separate"/>
      </w:r>
      <w:r w:rsidR="00DF25B6" w:rsidRPr="00DF25B6">
        <w:rPr>
          <w:rFonts w:ascii="Aptos" w:hAnsi="Aptos" w:cs="Times New Roman"/>
        </w:rPr>
        <w:t xml:space="preserve">(Rodriguez </w:t>
      </w:r>
      <w:r w:rsidR="00DF25B6" w:rsidRPr="00DF25B6">
        <w:rPr>
          <w:rFonts w:ascii="Aptos" w:hAnsi="Aptos" w:cs="Times New Roman"/>
          <w:i/>
          <w:iCs/>
        </w:rPr>
        <w:t>et al.</w:t>
      </w:r>
      <w:r w:rsidR="00DF25B6" w:rsidRPr="00DF25B6">
        <w:rPr>
          <w:rFonts w:ascii="Aptos" w:hAnsi="Aptos" w:cs="Times New Roman"/>
        </w:rPr>
        <w:t xml:space="preserve">, 2009; Cosner </w:t>
      </w:r>
      <w:r w:rsidR="00DF25B6" w:rsidRPr="00DF25B6">
        <w:rPr>
          <w:rFonts w:ascii="Aptos" w:hAnsi="Aptos" w:cs="Times New Roman"/>
          <w:i/>
          <w:iCs/>
        </w:rPr>
        <w:t>et al.</w:t>
      </w:r>
      <w:r w:rsidR="00DF25B6" w:rsidRPr="00DF25B6">
        <w:rPr>
          <w:rFonts w:ascii="Aptos" w:hAnsi="Aptos" w:cs="Times New Roman"/>
        </w:rPr>
        <w:t>, 2025)</w:t>
      </w:r>
      <w:r w:rsidR="008F0144">
        <w:fldChar w:fldCharType="end"/>
      </w:r>
      <w:r w:rsidR="008E77DE" w:rsidRPr="008E77DE">
        <w:t>, 'endophyte' inherently describes a physical habitat rather than a fixed ecological function</w:t>
      </w:r>
      <w:r w:rsidR="008F0144">
        <w:t xml:space="preserve"> </w:t>
      </w:r>
      <w:r w:rsidR="008F0144">
        <w:fldChar w:fldCharType="begin"/>
      </w:r>
      <w:r w:rsidR="008F0144">
        <w:instrText xml:space="preserve"> ADDIN ZOTERO_ITEM CSL_CITATION {"citationID":"VvxqcdBs","properties":{"unsorted":false,"formattedCitation":"(Hardoim {\\i{}et al.}, 2015)","plainCitation":"(Hardoim et al., 2015)","noteIndex":0},"citationItems":[{"id":46673,"uris":["http://zotero.org/users/6275788/items/U6BQ3W5J"],"itemData":{"id":46673,"type":"article-journal","abstract":"All plants are inhabited internally by diverse microbial communities comprising bacterial, archaeal, fungal, and protistic taxa. These microorganisms showing endophytic lifestyles play crucial roles in plant development, growth, ﬁtness, and diversiﬁcation. The increasing awareness of and information on endophytes provide insight into the complexity of the plant microbiome. The nature of plant-endophyte interactions ranges from mutualism to pathogenicity. This depends on a set of abiotic and biotic factors, including the genotypes of plants and microbes, environmental conditions, and the dynamic network of interactions within the plant biome. In this review, we address the concept of endophytism, considering the latest insights into evolution, plant ecosystem functioning, and multipartite interactions.","container-title":"Microbiology and Molecular Biology Reviews","DOI":"10.1128/MMBR.00050-14","ISSN":"1092-2172, 1098-5557","issue":"3","journalAbbreviation":"Microbiol Mol Biol Rev","language":"en","page":"293-320","source":"DOI.org (Crossref)","title":"The Hidden World within Plants: Ecological and Evolutionary Considerations for Defining Functioning of Microbial Endophytes","title-short":"The Hidden World within Plants","volume":"79","author":[{"family":"Hardoim","given":"Pablo R."},{"family":"Van Overbeek","given":"Leonard S."},{"family":"Berg","given":"Gabriele"},{"family":"Pirttilä","given":"Anna Maria"},{"family":"Compant","given":"Stéphane"},{"family":"Campisano","given":"Andrea"},{"family":"Döring","given":"Matthias"},{"family":"Sessitsch","given":"Angela"}],"issued":{"date-parts":[["2015",9]]}}}],"schema":"https://github.com/citation-style-language/schema/raw/master/csl-citation.json"} </w:instrText>
      </w:r>
      <w:r w:rsidR="008F0144">
        <w:fldChar w:fldCharType="separate"/>
      </w:r>
      <w:r w:rsidR="008F0144" w:rsidRPr="008F0144">
        <w:rPr>
          <w:rFonts w:ascii="Aptos" w:hAnsi="Aptos" w:cs="Times New Roman"/>
        </w:rPr>
        <w:t xml:space="preserve">(Hardoim </w:t>
      </w:r>
      <w:r w:rsidR="008F0144" w:rsidRPr="008F0144">
        <w:rPr>
          <w:rFonts w:ascii="Aptos" w:hAnsi="Aptos" w:cs="Times New Roman"/>
          <w:i/>
          <w:iCs/>
        </w:rPr>
        <w:t>et al.</w:t>
      </w:r>
      <w:r w:rsidR="008F0144" w:rsidRPr="008F0144">
        <w:rPr>
          <w:rFonts w:ascii="Aptos" w:hAnsi="Aptos" w:cs="Times New Roman"/>
        </w:rPr>
        <w:t>, 2015)</w:t>
      </w:r>
      <w:r w:rsidR="008F0144">
        <w:fldChar w:fldCharType="end"/>
      </w:r>
      <w:r w:rsidR="008E77DE" w:rsidRPr="008E77DE">
        <w:t xml:space="preserve">. </w:t>
      </w:r>
      <w:r w:rsidR="00523BB3">
        <w:t>P</w:t>
      </w:r>
      <w:r w:rsidR="00F10295">
        <w:t xml:space="preserve">rior syntheses have provided valuable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rsidR="00F10295">
        <w:t>,</w:t>
      </w:r>
      <w:r w:rsidR="00AC0275">
        <w:t xml:space="preserve"> </w:t>
      </w:r>
      <w:r w:rsidR="00523BB3">
        <w:t xml:space="preserve">but </w:t>
      </w:r>
      <w:r w:rsidR="00FA1A43" w:rsidRPr="00FA1A43">
        <w:t>the field currently lacks a comprehensive global synthesis integrating geographic, taxonomic, and socioeconomic factors</w:t>
      </w:r>
      <w:r w:rsidR="00F10295">
        <w:t>.</w:t>
      </w:r>
      <w:r w:rsidR="00CD38DD">
        <w:t xml:space="preserve"> </w:t>
      </w:r>
      <w:r w:rsidR="00477944">
        <w:t>W</w:t>
      </w:r>
      <w:r w:rsidR="00F87DBD">
        <w:t xml:space="preserve">e aim to reframe the conversation from asking </w:t>
      </w:r>
      <w:r w:rsidR="00F87DBD">
        <w:rPr>
          <w:i/>
          <w:iCs/>
        </w:rPr>
        <w:t>if</w:t>
      </w:r>
      <w:r w:rsidR="00F87DBD">
        <w:t xml:space="preserve"> fungal endophytes are ubiquitous to asking </w:t>
      </w:r>
      <w:r w:rsidR="00F87DBD">
        <w:rPr>
          <w:i/>
          <w:iCs/>
        </w:rPr>
        <w:t>where</w:t>
      </w:r>
      <w:r w:rsidR="00F87DBD">
        <w:t xml:space="preserve"> we have sufficient evidence to test ecological and evolutionary hypotheses, thereby providing a data-driven foundation for the next generation of global endophyte research</w:t>
      </w:r>
      <w:r w:rsidR="00477944">
        <w:t xml:space="preserve">. </w:t>
      </w:r>
      <w:r w:rsidR="007B51FF">
        <w:t>O</w:t>
      </w:r>
      <w:r w:rsidR="00AE4A3A">
        <w:t>ur</w:t>
      </w:r>
      <w:r w:rsidR="00F10295">
        <w:t xml:space="preserve"> study provides the first integrated, global-scale audit of the fungal endophyte literature</w:t>
      </w:r>
      <w:r w:rsidR="000A5136" w:rsidRPr="000A5136">
        <w:t xml:space="preserve"> directly evaluating the evidence for the assumed global ubiquity of endophytes</w:t>
      </w:r>
      <w:r w:rsidR="00F10295">
        <w:t>. We systematically quantify the distribution of research effort to map where ecological inferences are robust and where they are</w:t>
      </w:r>
      <w:r w:rsidR="00B412B3">
        <w:t xml:space="preserve"> more</w:t>
      </w:r>
      <w:r w:rsidR="00F10295">
        <w:t xml:space="preserve"> speculative. Our objectives are to: (1) map the geographic concentration of endophyte studies; (2) assess the distribution of sampling effort across biomes and host plant lineages; (3) determine the relationship between research intensity 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24ADE1A9" w:rsidR="004E16A9" w:rsidRDefault="00F10295" w:rsidP="004E16A9">
      <w:pPr>
        <w:pStyle w:val="BodyText"/>
        <w:numPr>
          <w:ilvl w:val="0"/>
          <w:numId w:val="3"/>
        </w:numPr>
      </w:pPr>
      <w:r>
        <w:lastRenderedPageBreak/>
        <w:t xml:space="preserve">(Prediction </w:t>
      </w:r>
      <w:r w:rsidR="005E4541">
        <w:t>1</w:t>
      </w:r>
      <w:r>
        <w:t>) The current, globally aggregated evidence base is insufficient to support an unqualified claim of endophyte ubiquity.</w:t>
      </w:r>
    </w:p>
    <w:p w14:paraId="5C9D271B" w14:textId="238AADF0" w:rsidR="004E16A9" w:rsidRDefault="00F10295" w:rsidP="004E16A9">
      <w:pPr>
        <w:pStyle w:val="BodyText"/>
        <w:numPr>
          <w:ilvl w:val="0"/>
          <w:numId w:val="3"/>
        </w:numPr>
      </w:pPr>
      <w:r>
        <w:t xml:space="preserve">(Prediction </w:t>
      </w:r>
      <w:r w:rsidR="005E4541">
        <w:t>2</w:t>
      </w:r>
      <w:r>
        <w:t xml:space="preserve">) Research effort is highly </w:t>
      </w:r>
      <w:r w:rsidR="009B1F08">
        <w:t xml:space="preserve">geographically </w:t>
      </w:r>
      <w:r>
        <w:t>clustered</w:t>
      </w:r>
      <w:r w:rsidR="009B1F08">
        <w:t xml:space="preserve">, </w:t>
      </w:r>
      <w:r w:rsidR="00EF7AE6" w:rsidRPr="00EF7AE6">
        <w:t xml:space="preserve">with </w:t>
      </w:r>
      <w:r w:rsidR="00EF7AE6">
        <w:t>gaps</w:t>
      </w:r>
      <w:r w:rsidR="00EF7AE6" w:rsidRPr="00EF7AE6">
        <w:t xml:space="preserve"> across the Global South (e.g., Africa, Central Asia, and South America)</w:t>
      </w:r>
    </w:p>
    <w:p w14:paraId="08688151" w14:textId="63D98CA5" w:rsidR="004E16A9" w:rsidRDefault="00F10295" w:rsidP="004E16A9">
      <w:pPr>
        <w:pStyle w:val="BodyText"/>
        <w:numPr>
          <w:ilvl w:val="0"/>
          <w:numId w:val="3"/>
        </w:numPr>
      </w:pPr>
      <w:r>
        <w:t xml:space="preserve">(Prediction </w:t>
      </w:r>
      <w:r w:rsidR="005E4541">
        <w:t>3</w:t>
      </w:r>
      <w:r>
        <w:t xml:space="preserve">) Sampling is non-randomly distributed across biomes and host lineages, favoring certain well-studied groups. </w:t>
      </w:r>
    </w:p>
    <w:p w14:paraId="25561D1E" w14:textId="05043858" w:rsidR="009F4D6D" w:rsidRDefault="00F10295" w:rsidP="004E16A9">
      <w:pPr>
        <w:pStyle w:val="BodyText"/>
        <w:numPr>
          <w:ilvl w:val="0"/>
          <w:numId w:val="3"/>
        </w:numPr>
      </w:pPr>
      <w:r>
        <w:t xml:space="preserve">(Prediction </w:t>
      </w:r>
      <w:r w:rsidR="005E4541">
        <w:t>4</w:t>
      </w:r>
      <w:r>
        <w:t xml:space="preserve">) The intensity of endophyte research is positively correlated with a country’s GDP, reflecting </w:t>
      </w:r>
      <w:r w:rsidR="00931CE3">
        <w:t>socio</w:t>
      </w:r>
      <w:r>
        <w:t>economic rather than purely biological drivers of sampling.</w:t>
      </w:r>
    </w:p>
    <w:p w14:paraId="7DC5731E" w14:textId="51C5A0CC" w:rsidR="00FE11B9" w:rsidRDefault="0093635F" w:rsidP="00FE11B9">
      <w:pPr>
        <w:pStyle w:val="BodyText"/>
      </w:pPr>
      <w:r w:rsidRPr="0093635F">
        <w:t>By systematically testing these predictions, this study moves beyond localized</w:t>
      </w:r>
      <w:r w:rsidR="00022B2C">
        <w:t xml:space="preserve"> accounts</w:t>
      </w:r>
      <w:r w:rsidRPr="0093635F">
        <w:t xml:space="preserve"> to chart the current boundaries of our ecological knowledge, establishing a more rigorous framework for future plant-fungal symbiosis research.</w:t>
      </w:r>
    </w:p>
    <w:p w14:paraId="25561D20" w14:textId="33F03324" w:rsidR="009F4D6D" w:rsidRDefault="003C283D">
      <w:pPr>
        <w:pStyle w:val="Heading2"/>
      </w:pPr>
      <w:bookmarkStart w:id="2" w:name="methods"/>
      <w:r w:rsidRPr="003C283D">
        <w:t>Materials and Methods</w:t>
      </w:r>
    </w:p>
    <w:p w14:paraId="25561D22" w14:textId="4D72229D" w:rsidR="009F4D6D" w:rsidRDefault="008D6BD6">
      <w:pPr>
        <w:pStyle w:val="Heading4"/>
      </w:pPr>
      <w:bookmarkStart w:id="3" w:name="corpus-assembly-and-scope"/>
      <w:bookmarkStart w:id="4" w:name="main-methods"/>
      <w:r>
        <w:t>Dataset</w:t>
      </w:r>
      <w:r w:rsidR="00F10295">
        <w:t xml:space="preserve"> Assembly and Scope</w:t>
      </w:r>
    </w:p>
    <w:p w14:paraId="0A025666" w14:textId="7D3F6EEC" w:rsidR="00875B00"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rsidR="003130D4">
        <w:t xml:space="preserve">on November 18, 2024 </w:t>
      </w:r>
      <w:r>
        <w:t>using a standardized set of search terms related to fungal endophytes</w:t>
      </w:r>
      <w:r w:rsidR="003130D4">
        <w:t xml:space="preserve"> (see Supporting Information for </w:t>
      </w:r>
      <w:r w:rsidR="006A061A">
        <w:t>more detail)</w:t>
      </w:r>
      <w:r>
        <w:t xml:space="preserve">. </w:t>
      </w:r>
      <w:r w:rsidR="00875B00" w:rsidRPr="00875B00">
        <w:t xml:space="preserve">To process this corpus, we deployed an automated natural language processing (NLP) pipeline utilizing a large language model (Mistral 7B) to extract distinct plant-fungal interactions, geographic locations, biomes, and functional guilds directly from the text. </w:t>
      </w:r>
      <w:r w:rsidR="00875B00">
        <w:t xml:space="preserve"> </w:t>
      </w:r>
    </w:p>
    <w:p w14:paraId="25561D23" w14:textId="2FAD55D1" w:rsidR="009F4D6D" w:rsidRDefault="00F10295">
      <w:pPr>
        <w:pStyle w:val="FirstParagraph"/>
      </w:pPr>
      <w:r>
        <w:t xml:space="preserve">This workflow </w:t>
      </w:r>
      <w:r w:rsidR="00523357" w:rsidRPr="0091416C">
        <w:t>(</w:t>
      </w:r>
      <w:r w:rsidR="0091416C" w:rsidRPr="0091416C">
        <w:fldChar w:fldCharType="begin"/>
      </w:r>
      <w:r w:rsidR="0091416C" w:rsidRPr="0091416C">
        <w:instrText xml:space="preserve"> REF _Ref231472326 \h  \* MERGEFORMAT </w:instrText>
      </w:r>
      <w:r w:rsidR="0091416C" w:rsidRPr="0091416C">
        <w:fldChar w:fldCharType="separate"/>
      </w:r>
      <w:r w:rsidR="003323D0" w:rsidRPr="003323D0">
        <w:t xml:space="preserve">Figure </w:t>
      </w:r>
      <w:r w:rsidR="003323D0" w:rsidRPr="003323D0">
        <w:rPr>
          <w:noProof/>
        </w:rPr>
        <w:t>1</w:t>
      </w:r>
      <w:r w:rsidR="0091416C" w:rsidRPr="0091416C">
        <w:fldChar w:fldCharType="end"/>
      </w:r>
      <w:r w:rsidR="00523357" w:rsidRPr="0091416C">
        <w:t>)</w:t>
      </w:r>
      <w:r w:rsidR="00523357" w:rsidRPr="0091416C">
        <w:rPr>
          <w:b/>
          <w:bCs/>
          <w:i/>
          <w:iCs/>
        </w:rPr>
        <w:t xml:space="preserve"> </w:t>
      </w:r>
      <w:r>
        <w:t>utilized two distinct data</w:t>
      </w:r>
      <w:r w:rsidR="00F127C5">
        <w:t>sets</w:t>
      </w:r>
      <w:r>
        <w:t xml:space="preserve">.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w:t>
      </w:r>
      <w:r w:rsidR="00CC32F0">
        <w:t xml:space="preserve">fungal </w:t>
      </w:r>
      <w:r>
        <w:t xml:space="preserve">endophyte research. Second, after applying strict relevance </w:t>
      </w:r>
      <w:r w:rsidR="000525C8">
        <w:t xml:space="preserve">and deduplication </w:t>
      </w:r>
      <w:r>
        <w:t>filters, a final analysis corpus of 18,750 unique</w:t>
      </w:r>
      <w:r w:rsidR="001534D8">
        <w:t xml:space="preserve"> fungal endophyte</w:t>
      </w:r>
      <w:r>
        <w:t xml:space="preserve"> publications</w:t>
      </w:r>
      <w:r w:rsidR="0049458C">
        <w:t xml:space="preserve"> was established</w:t>
      </w:r>
      <w:r>
        <w:t xml:space="preserve"> for the detailed mapping of geographic, taxonomic, and </w:t>
      </w:r>
      <w:r w:rsidR="00931CE3">
        <w:t>socio</w:t>
      </w:r>
      <w:r>
        <w:t>economic biases.</w:t>
      </w:r>
      <w:r w:rsidR="00182F11">
        <w:t xml:space="preserve"> </w:t>
      </w:r>
    </w:p>
    <w:p w14:paraId="7973DFFC" w14:textId="77777777" w:rsidR="007C56FB" w:rsidRDefault="007C56FB" w:rsidP="006838D5">
      <w:pPr>
        <w:pStyle w:val="BodyText"/>
        <w:rPr>
          <w:noProof/>
        </w:rPr>
      </w:pPr>
    </w:p>
    <w:p w14:paraId="52C5CB0A" w14:textId="77777777" w:rsidR="007C56FB" w:rsidRDefault="006838D5" w:rsidP="007C56FB">
      <w:pPr>
        <w:pStyle w:val="BodyText"/>
        <w:keepNext/>
      </w:pPr>
      <w:r>
        <w:rPr>
          <w:noProof/>
        </w:rPr>
        <w:lastRenderedPageBreak/>
        <w:drawing>
          <wp:inline distT="0" distB="0" distL="0" distR="0" wp14:anchorId="19FB773A" wp14:editId="61FE41A3">
            <wp:extent cx="5874394" cy="3828449"/>
            <wp:effectExtent l="0" t="0" r="0" b="635"/>
            <wp:docPr id="20304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28"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l="6845" r="6845"/>
                    <a:stretch>
                      <a:fillRect/>
                    </a:stretch>
                  </pic:blipFill>
                  <pic:spPr bwMode="auto">
                    <a:xfrm>
                      <a:off x="0" y="0"/>
                      <a:ext cx="5874394" cy="3828449"/>
                    </a:xfrm>
                    <a:prstGeom prst="rect">
                      <a:avLst/>
                    </a:prstGeom>
                    <a:noFill/>
                    <a:ln>
                      <a:noFill/>
                    </a:ln>
                    <a:extLst>
                      <a:ext uri="{53640926-AAD7-44D8-BBD7-CCE9431645EC}">
                        <a14:shadowObscured xmlns:a14="http://schemas.microsoft.com/office/drawing/2010/main"/>
                      </a:ext>
                    </a:extLst>
                  </pic:spPr>
                </pic:pic>
              </a:graphicData>
            </a:graphic>
          </wp:inline>
        </w:drawing>
      </w:r>
    </w:p>
    <w:p w14:paraId="121A97D1" w14:textId="6986238E" w:rsidR="006838D5" w:rsidRPr="001D4DFD" w:rsidRDefault="007C56FB" w:rsidP="007C56FB">
      <w:pPr>
        <w:pStyle w:val="Caption"/>
        <w:rPr>
          <w:i w:val="0"/>
          <w:iCs/>
        </w:rPr>
      </w:pPr>
      <w:bookmarkStart w:id="5" w:name="_Ref231472326"/>
      <w:r w:rsidRPr="001D4DFD">
        <w:rPr>
          <w:b/>
          <w:bCs/>
          <w:i w:val="0"/>
          <w:iCs/>
        </w:rPr>
        <w:t xml:space="preserve">Figure </w:t>
      </w:r>
      <w:r w:rsidRPr="001D4DFD">
        <w:rPr>
          <w:b/>
          <w:bCs/>
          <w:i w:val="0"/>
          <w:iCs/>
        </w:rPr>
        <w:fldChar w:fldCharType="begin"/>
      </w:r>
      <w:r w:rsidRPr="001D4DFD">
        <w:rPr>
          <w:b/>
          <w:bCs/>
          <w:i w:val="0"/>
          <w:iCs/>
        </w:rPr>
        <w:instrText xml:space="preserve"> SEQ Figure \* ARABIC </w:instrText>
      </w:r>
      <w:r w:rsidRPr="001D4DFD">
        <w:rPr>
          <w:b/>
          <w:bCs/>
          <w:i w:val="0"/>
          <w:iCs/>
        </w:rPr>
        <w:fldChar w:fldCharType="separate"/>
      </w:r>
      <w:r w:rsidR="003323D0">
        <w:rPr>
          <w:b/>
          <w:bCs/>
          <w:i w:val="0"/>
          <w:iCs/>
          <w:noProof/>
        </w:rPr>
        <w:t>1</w:t>
      </w:r>
      <w:r w:rsidRPr="001D4DFD">
        <w:rPr>
          <w:b/>
          <w:bCs/>
          <w:i w:val="0"/>
          <w:iCs/>
        </w:rPr>
        <w:fldChar w:fldCharType="end"/>
      </w:r>
      <w:bookmarkEnd w:id="5"/>
      <w:r w:rsidRPr="001D4DFD">
        <w:rPr>
          <w:b/>
          <w:bCs/>
          <w:i w:val="0"/>
          <w:iCs/>
        </w:rPr>
        <w:t>:</w:t>
      </w:r>
      <w:r w:rsidRPr="001D4DFD">
        <w:rPr>
          <w:i w:val="0"/>
          <w:iCs/>
        </w:rPr>
        <w:t xml:space="preserve"> </w:t>
      </w:r>
      <w:r w:rsidR="001D54BF" w:rsidRPr="001D4DFD">
        <w:rPr>
          <w:b/>
          <w:bCs/>
          <w:i w:val="0"/>
          <w:iCs/>
        </w:rPr>
        <w:t>Workflow pipeline for the automated bibliometric audit.</w:t>
      </w:r>
      <w:r w:rsidR="001D54BF" w:rsidRPr="001D4DFD">
        <w:rPr>
          <w:i w:val="0"/>
          <w:iCs/>
        </w:rPr>
        <w:t xml:space="preserve"> The initial </w:t>
      </w:r>
      <w:r w:rsidR="001D4DFD">
        <w:rPr>
          <w:i w:val="0"/>
          <w:iCs/>
        </w:rPr>
        <w:t>dataset</w:t>
      </w:r>
      <w:r w:rsidR="001D54BF" w:rsidRPr="001D4DFD">
        <w:rPr>
          <w:i w:val="0"/>
          <w:iCs/>
        </w:rPr>
        <w:t xml:space="preserve"> was assembled by querying Web of Science, Scopus, and PubMed, followed by a three-stage deduplication process. Where available, open-access full texts were retrieved via the Unpaywall API. Automated data extraction was executed on a high-performance computing cluster using a large language model (Mistral 7B) to isolate </w:t>
      </w:r>
      <w:r w:rsidR="00AF13C7">
        <w:rPr>
          <w:i w:val="0"/>
          <w:iCs/>
        </w:rPr>
        <w:t xml:space="preserve">author-defined </w:t>
      </w:r>
      <w:r w:rsidR="001D54BF" w:rsidRPr="001D4DFD">
        <w:rPr>
          <w:i w:val="0"/>
          <w:iCs/>
        </w:rPr>
        <w:t>distinct plant-fungal interactions, geographic locations, biomes, and primary functional guilds. Extracted taxa were subsequently algorithmically harmonized against the Global Biodiversity Information Facility (GBIF) backbone. Finally, geographic metadata were standardized to ISO country codes and linked to World Bank macroeconomic indicators prior to statistical synthesis.</w:t>
      </w:r>
    </w:p>
    <w:p w14:paraId="019ABB3B" w14:textId="193AE04B" w:rsidR="00A2275D" w:rsidRDefault="00F10295">
      <w:pPr>
        <w:pStyle w:val="BodyText"/>
      </w:pPr>
      <w:r>
        <w:t>A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rsidR="00F36EE3" w:rsidRPr="00F36EE3">
        <w:t xml:space="preserve"> </w:t>
      </w:r>
      <w:r w:rsidR="00F36EE3">
        <w:fldChar w:fldCharType="begin"/>
      </w:r>
      <w:r w:rsidR="00F36EE3">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F36EE3">
        <w:fldChar w:fldCharType="separate"/>
      </w:r>
      <w:r w:rsidR="00F36EE3" w:rsidRPr="00425F6B">
        <w:rPr>
          <w:rFonts w:ascii="Aptos" w:hAnsi="Aptos" w:cs="Times New Roman"/>
        </w:rPr>
        <w:t xml:space="preserve">(Scherer </w:t>
      </w:r>
      <w:r w:rsidR="00F36EE3" w:rsidRPr="00425F6B">
        <w:rPr>
          <w:rFonts w:ascii="Aptos" w:hAnsi="Aptos" w:cs="Times New Roman"/>
          <w:i/>
          <w:iCs/>
        </w:rPr>
        <w:t>et al.</w:t>
      </w:r>
      <w:r w:rsidR="00F36EE3" w:rsidRPr="00425F6B">
        <w:rPr>
          <w:rFonts w:ascii="Aptos" w:hAnsi="Aptos" w:cs="Times New Roman"/>
        </w:rPr>
        <w:t>, 2018)</w:t>
      </w:r>
      <w:r w:rsidR="00F36EE3">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xml:space="preserve">. </w:t>
      </w:r>
      <w:r w:rsidR="00354B1B" w:rsidRPr="00354B1B">
        <w:t>To avoid double-counting, abstract-only records were excluded for any publication where the open-access full text was successfully retrieved.</w:t>
      </w:r>
      <w:r w:rsidR="00A8590B">
        <w:t xml:space="preserve"> </w:t>
      </w:r>
      <w:r w:rsidR="00A2275D" w:rsidRPr="00A2275D">
        <w:t xml:space="preserve">To validate the reliability of this approach, we partitioned the final corpus into these two access tiers </w:t>
      </w:r>
      <w:r w:rsidR="00A2275D">
        <w:t xml:space="preserve">(abstract-only vs. full-text) </w:t>
      </w:r>
      <w:r w:rsidR="00A2275D" w:rsidRPr="00A2275D">
        <w:t>and performed a comparative sensitivity analysis. We computed Jaccard similarity indices to evaluate the consistency of understudied taxonomic and geographic categories across both dat</w:t>
      </w:r>
      <w:r w:rsidR="00A2275D">
        <w:t>asets</w:t>
      </w:r>
      <w:r w:rsidR="00A2275D" w:rsidRPr="00A2275D">
        <w:t xml:space="preserve">. Additionally, we </w:t>
      </w:r>
      <w:r w:rsidR="00A2275D">
        <w:t>used</w:t>
      </w:r>
      <w:r w:rsidR="00A2275D" w:rsidRPr="00A2275D">
        <w:t xml:space="preserve"> Spearman rank correlations to test whether the primary socioeconomic signals remained stable regardless of text extraction depth. This </w:t>
      </w:r>
      <w:r w:rsidR="00A2275D" w:rsidRPr="00A2275D">
        <w:lastRenderedPageBreak/>
        <w:t xml:space="preserve">validation step </w:t>
      </w:r>
      <w:r w:rsidR="00F36EE3">
        <w:t>supported</w:t>
      </w:r>
      <w:r w:rsidR="00A2275D" w:rsidRPr="00A2275D">
        <w:t xml:space="preserve"> that major gaps detected in the abstract record reliably map underexplored themes in the broader published literature.</w:t>
      </w:r>
    </w:p>
    <w:p w14:paraId="25561D25" w14:textId="77777777" w:rsidR="009F4D6D" w:rsidRDefault="00F10295">
      <w:pPr>
        <w:pStyle w:val="Heading4"/>
      </w:pPr>
      <w:bookmarkStart w:id="6" w:name="X9443da96b3163475a14e7de943d8e91b80ec72a"/>
      <w:bookmarkEnd w:id="3"/>
      <w:r>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7" w:name="core-analyses"/>
      <w:bookmarkEnd w:id="6"/>
      <w:r>
        <w:t>Core Analyses</w:t>
      </w:r>
    </w:p>
    <w:p w14:paraId="76FC081B" w14:textId="55BF9DD3" w:rsidR="00A9357C" w:rsidRPr="00A9357C" w:rsidRDefault="00A9357C" w:rsidP="00A9357C">
      <w:pPr>
        <w:pStyle w:val="BodyText"/>
      </w:pPr>
      <w:bookmarkStart w:id="8" w:name="reproducibility-and-validation"/>
      <w:bookmarkEnd w:id="7"/>
      <w:r w:rsidRPr="00A9357C">
        <w:t>Following the data</w:t>
      </w:r>
      <w:r w:rsidR="008E1F04">
        <w:t xml:space="preserve"> </w:t>
      </w:r>
      <w:r w:rsidRPr="00A9357C">
        <w:t>mining and extraction protocols detailed in the Supplementary Methods, we performed a series of interconnected analyses to quantify multi-dimensional sampling biases. Geographic concentration was initially assessed by mapping endophyte publication counts to countries, revealing global research hotspots. We then evaluated the relationship between research effort and economic capacity by correlating these per-country publication counts with national Gross Domestic Product (GDP) data sourced from the World Bank</w:t>
      </w:r>
      <w:r>
        <w:t xml:space="preserve"> </w:t>
      </w:r>
      <w:r>
        <w:fldChar w:fldCharType="begin"/>
      </w:r>
      <w:r>
        <w:instrText xml:space="preserve"> ADDIN ZOTERO_ITEM CSL_CITATION {"citationID":"FBlqvWCY","properties":{"unsorted":false,"formattedCitation":"(World Bank, 2026)","plainCitation":"(World Bank, 2026)","noteIndex":0},"citationItems":[{"id":46588,"uris":["http://zotero.org/users/6275788/items/JYKA6I98"],"itemData":{"id":46588,"type":"document","title":"World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A9357C">
        <w:rPr>
          <w:rFonts w:ascii="Aptos" w:hAnsi="Aptos"/>
        </w:rPr>
        <w:t>(World Bank, 2026)</w:t>
      </w:r>
      <w:r>
        <w:fldChar w:fldCharType="end"/>
      </w:r>
      <w:r w:rsidRPr="00A9357C">
        <w:t>.</w:t>
      </w:r>
    </w:p>
    <w:p w14:paraId="0509925F" w14:textId="77777777" w:rsidR="003A6D90" w:rsidRDefault="00A9357C" w:rsidP="003A6D90">
      <w:pPr>
        <w:pStyle w:val="BodyText"/>
      </w:pPr>
      <w:r w:rsidRPr="00A9357C">
        <w:t>To identify well-studied and neglected host lineages, taxonomic coverage was summarized across plant species, genera, families, and phyla using the resolved GBIF data</w:t>
      </w:r>
      <w:r w:rsidR="00AE6938">
        <w:t xml:space="preserve"> </w:t>
      </w:r>
      <w:r w:rsidR="00AE6938">
        <w:fldChar w:fldCharType="begin"/>
      </w:r>
      <w:r w:rsidR="00AE6938">
        <w:instrText xml:space="preserve"> ADDIN ZOTERO_ITEM CSL_CITATION {"citationID":"DIwruZk2","properties":{"unsorted":false,"formattedCitation":"(GBIF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AE6938">
        <w:fldChar w:fldCharType="separate"/>
      </w:r>
      <w:r w:rsidR="00AE6938" w:rsidRPr="00AE6938">
        <w:rPr>
          <w:rFonts w:ascii="Aptos" w:hAnsi="Aptos"/>
        </w:rPr>
        <w:t>(GBIF Secretariat, 2023)</w:t>
      </w:r>
      <w:r w:rsidR="00AE6938">
        <w:fldChar w:fldCharType="end"/>
      </w:r>
      <w:r w:rsidRPr="00A9357C">
        <w:t>.</w:t>
      </w:r>
      <w:r w:rsidR="003A6D90">
        <w:t xml:space="preserve"> </w:t>
      </w:r>
      <w:r w:rsidR="003A6D90" w:rsidRPr="00830AE4">
        <w:t>To guide future sampling efforts, we generate</w:t>
      </w:r>
      <w:r w:rsidR="003A6D90">
        <w:t>d</w:t>
      </w:r>
      <w:r w:rsidR="003A6D90" w:rsidRPr="00830AE4">
        <w:t xml:space="preserve"> priority lists of understudied regions and host taxa (defined by a threshold of fewer than five publications).</w:t>
      </w:r>
    </w:p>
    <w:p w14:paraId="7D1E3ED0" w14:textId="40D4C2AC" w:rsidR="00A9357C" w:rsidRDefault="00A9357C" w:rsidP="00A9357C">
      <w:pPr>
        <w:pStyle w:val="BodyText"/>
      </w:pPr>
      <w:r w:rsidRPr="00A9357C">
        <w:t xml:space="preserve"> </w:t>
      </w:r>
      <w:r w:rsidR="00BB0D7D">
        <w:t>O</w:t>
      </w:r>
      <w:r w:rsidR="00BB0D7D" w:rsidRPr="00BB0D7D">
        <w:t xml:space="preserve">ur dataset was generated by searching for literature that explicitly used 'endophyte' terminology. We then extracted and categorized the primary ecological guilds (e.g., asymptomatic, saprotroph, pathogen, mutualist, mycorrhizal) assigned to those fungi by the original authors. </w:t>
      </w:r>
      <w:r w:rsidR="009D60E9" w:rsidRPr="009D60E9">
        <w:t>This approach captures the functional fluidity reported in the literature, where fungi inhabiting plant tissues may act as pathogens or mycorrhizae depending on environmental context</w:t>
      </w:r>
      <w:r w:rsidR="009D60E9">
        <w:t>.</w:t>
      </w:r>
      <w:r w:rsidR="00CD38DD">
        <w:t xml:space="preserve"> </w:t>
      </w:r>
      <w:r w:rsidR="00506D93">
        <w:t>Plant tissue sampled and b</w:t>
      </w:r>
      <w:r w:rsidR="00B63CC3">
        <w:t xml:space="preserve">iome </w:t>
      </w:r>
      <w:r w:rsidR="00CE61CB">
        <w:t>c</w:t>
      </w:r>
      <w:r w:rsidR="00CE61CB" w:rsidRPr="00CE61CB">
        <w:t xml:space="preserve">lassifications </w:t>
      </w:r>
      <w:r w:rsidR="00CE61CB">
        <w:t xml:space="preserve">were </w:t>
      </w:r>
      <w:r w:rsidR="00CE61CB" w:rsidRPr="00CE61CB">
        <w:t>derived from the extracted metadata (detailed in Supplementary Methods).</w:t>
      </w:r>
      <w:r w:rsidR="00CE61CB">
        <w:t xml:space="preserve"> </w:t>
      </w:r>
      <w:r w:rsidRPr="00A9357C">
        <w:t>Finally, a large language model workflow was deployed to screen the entire corpus for explicit and implicit claims of endophyte ubiquity, allowing us to directly test this assumption against the historical weight of the published record.</w:t>
      </w:r>
    </w:p>
    <w:p w14:paraId="25561D29" w14:textId="4439EBF7"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2DD0B57E" w:rsidR="001E430A" w:rsidRDefault="0024411D" w:rsidP="0024411D">
      <w:pPr>
        <w:pStyle w:val="BodyText"/>
      </w:pPr>
      <w:r w:rsidRPr="0024411D">
        <w:lastRenderedPageBreak/>
        <w:t>All custom scripts used in this pipeline have been documented and are available to facilitate reproducing these analyses and figures</w:t>
      </w:r>
      <w:bookmarkStart w:id="9" w:name="supplementary-methods"/>
      <w:bookmarkEnd w:id="4"/>
      <w:bookmarkEnd w:id="8"/>
      <w:r w:rsidR="00E870A3">
        <w:t xml:space="preserve"> in</w:t>
      </w:r>
      <w:r w:rsidR="00F6547E">
        <w:t xml:space="preserve"> a Zenodo repository</w:t>
      </w:r>
      <w:r w:rsidR="00E870A3">
        <w:t>:</w:t>
      </w:r>
      <w:r w:rsidR="00F6547E">
        <w:t xml:space="preserve"> link </w:t>
      </w:r>
      <w:commentRangeStart w:id="10"/>
      <w:r w:rsidR="00F6547E">
        <w:t>XXX</w:t>
      </w:r>
      <w:r w:rsidR="00347251">
        <w:t>.</w:t>
      </w:r>
      <w:commentRangeEnd w:id="10"/>
      <w:r w:rsidR="003600DA">
        <w:rPr>
          <w:rStyle w:val="CommentReference"/>
          <w:sz w:val="24"/>
          <w:szCs w:val="24"/>
        </w:rPr>
        <w:commentReference w:id="10"/>
      </w:r>
    </w:p>
    <w:p w14:paraId="78461FD9" w14:textId="5AAA1A24" w:rsidR="005A710C" w:rsidRDefault="001E430A" w:rsidP="0024411D">
      <w:pPr>
        <w:pStyle w:val="BodyText"/>
      </w:pPr>
      <w:r>
        <w:t xml:space="preserve">Further details about the methods are included in the Supplementary </w:t>
      </w:r>
      <w:r w:rsidR="004E4D48">
        <w:t>Information</w:t>
      </w:r>
      <w:r>
        <w:t>.</w:t>
      </w:r>
    </w:p>
    <w:p w14:paraId="25561D3C" w14:textId="77777777" w:rsidR="009F4D6D" w:rsidRDefault="00F10295">
      <w:pPr>
        <w:pStyle w:val="Heading2"/>
      </w:pPr>
      <w:bookmarkStart w:id="11" w:name="results"/>
      <w:bookmarkEnd w:id="2"/>
      <w:bookmarkEnd w:id="9"/>
      <w:r>
        <w:t>Results</w:t>
      </w:r>
    </w:p>
    <w:p w14:paraId="59BFDC99" w14:textId="2BDABE61" w:rsidR="002D5CE3" w:rsidRDefault="002D5CE3" w:rsidP="002D5CE3">
      <w:pPr>
        <w:pStyle w:val="BodyText"/>
      </w:pPr>
      <w:bookmarkStart w:id="12" w:name="Xce4a125c006b46a097d63f171ebf5d62496dca8"/>
      <w:r w:rsidRPr="00F12088">
        <w:t xml:space="preserve">The final analysis </w:t>
      </w:r>
      <w:r>
        <w:t>dataset</w:t>
      </w:r>
      <w:r w:rsidRPr="00F12088">
        <w:t xml:space="preserve"> (n = 18,750) was narrowed from the initial screening set (n = 21,891) by filtering out off-target records, including review papers and studies focused </w:t>
      </w:r>
      <w:r w:rsidR="0088667A">
        <w:t xml:space="preserve">only </w:t>
      </w:r>
      <w:r w:rsidRPr="00F12088">
        <w:t xml:space="preserve">on bacterial endophytes. Within this final dataset, open-access full texts were accessible for 3,068 records (16.4%), while the remaining 15,682 records were evaluated at the abstract level. </w:t>
      </w:r>
      <w:r w:rsidRPr="00B13487">
        <w:t>We u</w:t>
      </w:r>
      <w:r>
        <w:t>sed</w:t>
      </w:r>
      <w:r w:rsidRPr="00B13487">
        <w:t xml:space="preserve"> this combined evidence base to test our remaining predictions, as sensitivity analyses confirmed statistical consistency between abstract-only and full-text subsets (see Supplementary Methods)</w:t>
      </w:r>
      <w:r>
        <w:t>.</w:t>
      </w:r>
    </w:p>
    <w:p w14:paraId="25561D3D" w14:textId="28DDA2EB" w:rsidR="009F4D6D" w:rsidRDefault="00F10295">
      <w:pPr>
        <w:pStyle w:val="Heading3"/>
      </w:pPr>
      <w:r>
        <w:t xml:space="preserve">Prediction </w:t>
      </w:r>
      <w:r w:rsidR="005E4541">
        <w:t>1</w:t>
      </w:r>
      <w:r>
        <w:t>: The Evidence Base for Evaluating Endophyte Ubiquity</w:t>
      </w:r>
    </w:p>
    <w:p w14:paraId="5C486D8B" w14:textId="2C926BAD" w:rsidR="00A757BF" w:rsidRDefault="00A62257" w:rsidP="00680DDC">
      <w:pPr>
        <w:pStyle w:val="BodyText"/>
      </w:pPr>
      <w:r w:rsidRPr="00A62257">
        <w:t xml:space="preserve">To evaluate the prevalence of the ubiquity claim, </w:t>
      </w:r>
      <w:r w:rsidR="00CE5E35">
        <w:t xml:space="preserve">we analyzed </w:t>
      </w:r>
      <w:r w:rsidRPr="00A62257">
        <w:t xml:space="preserve">the available texts of the initial screening </w:t>
      </w:r>
      <w:r w:rsidR="008D6BD6">
        <w:t>dataset</w:t>
      </w:r>
      <w:r w:rsidRPr="00A62257">
        <w:t xml:space="preserve"> (n = 21,891). The large language model</w:t>
      </w:r>
      <w:r w:rsidR="00D65B02">
        <w:t xml:space="preserve"> (LLM)</w:t>
      </w:r>
      <w:r w:rsidRPr="00A62257">
        <w:t xml:space="preserve"> pipeline successfully identified 586 positive ubiquity claims, representing 2.7% of this broader </w:t>
      </w:r>
      <w:r w:rsidR="008D6BD6">
        <w:t>dataset.</w:t>
      </w:r>
      <w:r w:rsidRPr="00A62257">
        <w:t xml:space="preserve"> These results comprised 334 explicit statements and 252 qualified ones. </w:t>
      </w:r>
      <w:r w:rsidR="006D0AFF" w:rsidRPr="006D0AFF">
        <w:t>The natural language processing model proved highly reliable, producing an average internal confidence score of 0.91 (scale 0</w:t>
      </w:r>
      <w:r w:rsidR="00A70A1A">
        <w:t>-</w:t>
      </w:r>
      <w:r w:rsidR="006D0AFF" w:rsidRPr="006D0AFF">
        <w:t xml:space="preserve">1). </w:t>
      </w:r>
      <w:r w:rsidR="005531DC">
        <w:t>N</w:t>
      </w:r>
      <w:r w:rsidR="006D0AFF" w:rsidRPr="006D0AFF">
        <w:t xml:space="preserve">early half (49.1%) of the identified ubiquity claims lacked exact keyword matches (e.g., 'ubiquitous', 'cosmopolitan', 'all plants'). </w:t>
      </w:r>
      <w:r w:rsidR="00680DDC">
        <w:t>A</w:t>
      </w:r>
      <w:r w:rsidRPr="00A62257">
        <w:t xml:space="preserve">n evaluation of the taxonomic scope revealed that 545 of the 586 claims (93.0%) were constructed as </w:t>
      </w:r>
      <w:r w:rsidR="00DE67D0" w:rsidRPr="00DE67D0">
        <w:t>universal generalizations covering all fungal endophytes</w:t>
      </w:r>
      <w:r w:rsidRPr="00A62257">
        <w:t xml:space="preserve">, with fewer than 7% qualifying ubiquity specifically to an isolated fungal clade. </w:t>
      </w:r>
    </w:p>
    <w:p w14:paraId="25561D3F" w14:textId="7A1440E4" w:rsidR="009F4D6D" w:rsidRDefault="00F10295">
      <w:pPr>
        <w:pStyle w:val="Heading3"/>
      </w:pPr>
      <w:bookmarkStart w:id="13" w:name="Xe7644d5979d5790e215c4bebff18d80e7709816"/>
      <w:bookmarkEnd w:id="12"/>
      <w:r>
        <w:t xml:space="preserve">Prediction </w:t>
      </w:r>
      <w:r w:rsidR="005E4541">
        <w:t>2</w:t>
      </w:r>
      <w:r>
        <w:t>: Research Effort is Geographically Clustered</w:t>
      </w:r>
    </w:p>
    <w:p w14:paraId="5ED75CE5" w14:textId="0FD7ECCB" w:rsidR="00AE2C3E" w:rsidRPr="00A30DBD" w:rsidRDefault="00935522" w:rsidP="00AE2C3E">
      <w:pPr>
        <w:pStyle w:val="FirstParagraph"/>
      </w:pPr>
      <w:r w:rsidRPr="00935522">
        <w:t>Shifting from the textual prevalence of the ubiquity claim to the spatial distribution of the underlying data, we found that</w:t>
      </w:r>
      <w:r>
        <w:t xml:space="preserve"> </w:t>
      </w:r>
      <w:r w:rsidR="00614A40" w:rsidRPr="00614A40">
        <w:t xml:space="preserve">that fungal endophyte research </w:t>
      </w:r>
      <w:r w:rsidR="00BC1E9F">
        <w:t>wa</w:t>
      </w:r>
      <w:r w:rsidR="00614A40" w:rsidRPr="00614A40">
        <w:t>s strongly concentrated in a small number of countri</w:t>
      </w:r>
      <w:r w:rsidR="00614A40" w:rsidRPr="0091416C">
        <w:t xml:space="preserve">es </w:t>
      </w:r>
      <w:r w:rsidR="0091416C" w:rsidRPr="0091416C">
        <w:t>(</w:t>
      </w:r>
      <w:r w:rsidR="0091416C" w:rsidRPr="0091416C">
        <w:fldChar w:fldCharType="begin"/>
      </w:r>
      <w:r w:rsidR="0091416C" w:rsidRPr="0091416C">
        <w:instrText xml:space="preserve"> REF _Ref231472351 \h  \* MERGEFORMAT </w:instrText>
      </w:r>
      <w:r w:rsidR="0091416C" w:rsidRPr="0091416C">
        <w:fldChar w:fldCharType="separate"/>
      </w:r>
      <w:r w:rsidR="003323D0" w:rsidRPr="003323D0">
        <w:t xml:space="preserve">Figure </w:t>
      </w:r>
      <w:r w:rsidR="003323D0" w:rsidRPr="003323D0">
        <w:rPr>
          <w:noProof/>
        </w:rPr>
        <w:t>2</w:t>
      </w:r>
      <w:r w:rsidR="0091416C" w:rsidRPr="0091416C">
        <w:fldChar w:fldCharType="end"/>
      </w:r>
      <w:r w:rsidR="0091416C" w:rsidRPr="0091416C">
        <w:t>)</w:t>
      </w:r>
      <w:r w:rsidR="00614A40" w:rsidRPr="00614A40">
        <w:t xml:space="preserve">. Of the 234 countries and territories analyzed, </w:t>
      </w:r>
      <w:r w:rsidR="00BC7A69">
        <w:t>1</w:t>
      </w:r>
      <w:r w:rsidR="00CF47C8">
        <w:t>3</w:t>
      </w:r>
      <w:r w:rsidR="00BC7A69">
        <w:t>3</w:t>
      </w:r>
      <w:r w:rsidR="00614A40" w:rsidRPr="00614A40">
        <w:t xml:space="preserve"> yielded fewer than five studies, classifying</w:t>
      </w:r>
      <w:r w:rsidR="00937708">
        <w:t xml:space="preserve"> </w:t>
      </w:r>
      <w:r w:rsidR="00C87B3D">
        <w:t>the majority of countries</w:t>
      </w:r>
      <w:r w:rsidR="00614A40" w:rsidRPr="00614A40">
        <w:t xml:space="preserve"> as under-studied. The</w:t>
      </w:r>
      <w:r w:rsidR="006A1F53">
        <w:t xml:space="preserve"> </w:t>
      </w:r>
      <w:r w:rsidR="00614A40" w:rsidRPr="00614A40">
        <w:t xml:space="preserve">research was concentrated in North America, Europe, and East Asia, leaving </w:t>
      </w:r>
      <w:r w:rsidR="00B412B3">
        <w:t>large</w:t>
      </w:r>
      <w:r w:rsidR="00614A40" w:rsidRPr="00614A40">
        <w:t xml:space="preserve"> regions of Africa, Central Asia, and South America with highly fragmented evidence of sampling.</w:t>
      </w:r>
      <w:bookmarkStart w:id="14" w:name="X363a090ab845c1cd9af1469b32eaca1a3883740"/>
      <w:bookmarkEnd w:id="13"/>
    </w:p>
    <w:p w14:paraId="473C06FF" w14:textId="77777777" w:rsidR="001D4DFD" w:rsidRDefault="00A30DBD" w:rsidP="001D4DFD">
      <w:pPr>
        <w:pStyle w:val="BodyText"/>
        <w:keepNext/>
      </w:pPr>
      <w:r>
        <w:rPr>
          <w:noProof/>
        </w:rPr>
        <w:lastRenderedPageBreak/>
        <w:drawing>
          <wp:inline distT="0" distB="0" distL="0" distR="0" wp14:anchorId="72FE8B46" wp14:editId="72DC6FDB">
            <wp:extent cx="5943600" cy="4571999"/>
            <wp:effectExtent l="0" t="0" r="0" b="635"/>
            <wp:docPr id="1618141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1164"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43600" cy="4571999"/>
                    </a:xfrm>
                    <a:prstGeom prst="rect">
                      <a:avLst/>
                    </a:prstGeom>
                    <a:noFill/>
                    <a:ln>
                      <a:noFill/>
                    </a:ln>
                  </pic:spPr>
                </pic:pic>
              </a:graphicData>
            </a:graphic>
          </wp:inline>
        </w:drawing>
      </w:r>
    </w:p>
    <w:p w14:paraId="497F52A9" w14:textId="51AA6DB1" w:rsidR="00A30DBD" w:rsidRPr="00A30DBD" w:rsidRDefault="001D4DFD" w:rsidP="00B965FF">
      <w:pPr>
        <w:pStyle w:val="BodyText"/>
      </w:pPr>
      <w:bookmarkStart w:id="15" w:name="_Ref231472351"/>
      <w:r w:rsidRPr="0044195F">
        <w:rPr>
          <w:b/>
          <w:bCs/>
        </w:rPr>
        <w:t xml:space="preserve">Figure </w:t>
      </w:r>
      <w:r w:rsidRPr="0044195F">
        <w:rPr>
          <w:b/>
          <w:bCs/>
        </w:rPr>
        <w:fldChar w:fldCharType="begin"/>
      </w:r>
      <w:r w:rsidRPr="0044195F">
        <w:rPr>
          <w:b/>
          <w:bCs/>
        </w:rPr>
        <w:instrText xml:space="preserve"> SEQ Figure \* ARABIC </w:instrText>
      </w:r>
      <w:r w:rsidRPr="0044195F">
        <w:rPr>
          <w:b/>
          <w:bCs/>
        </w:rPr>
        <w:fldChar w:fldCharType="separate"/>
      </w:r>
      <w:r w:rsidR="003323D0">
        <w:rPr>
          <w:b/>
          <w:bCs/>
          <w:noProof/>
        </w:rPr>
        <w:t>2</w:t>
      </w:r>
      <w:r w:rsidRPr="0044195F">
        <w:rPr>
          <w:b/>
          <w:bCs/>
        </w:rPr>
        <w:fldChar w:fldCharType="end"/>
      </w:r>
      <w:bookmarkEnd w:id="15"/>
      <w:r w:rsidRPr="0044195F">
        <w:rPr>
          <w:b/>
          <w:bCs/>
        </w:rPr>
        <w:t>: Global distribution of fungal endophyte research effort, Robinson projection</w:t>
      </w:r>
      <w:r w:rsidRPr="0044195F">
        <w:t>. The map displays the number of studies per country based on a dataset of 18,750 publications. Of the 234 countries and territories analyzed, 133 have fewer than five recorded endophyte studies in our dataset. Research is heavily concentrated in North America, Europe, and East Asia, with large regions of Africa, Central Asia, and South America showing little to no research activity.</w:t>
      </w:r>
    </w:p>
    <w:p w14:paraId="25561D41" w14:textId="7CCBCA12" w:rsidR="009F4D6D" w:rsidRDefault="00F10295">
      <w:pPr>
        <w:pStyle w:val="Heading3"/>
      </w:pPr>
      <w:r>
        <w:t xml:space="preserve">Prediction </w:t>
      </w:r>
      <w:r w:rsidR="005E4541">
        <w:t>3</w:t>
      </w:r>
      <w:r>
        <w:t>: Biome and Host Representation are Non-Random</w:t>
      </w:r>
    </w:p>
    <w:p w14:paraId="25561D42" w14:textId="5672A57C" w:rsidR="009F4D6D" w:rsidRDefault="00F10295">
      <w:pPr>
        <w:pStyle w:val="FirstParagraph"/>
      </w:pPr>
      <w:r>
        <w:t xml:space="preserve">Consistent with Prediction </w:t>
      </w:r>
      <w:r w:rsidR="005E4541">
        <w:t>3</w:t>
      </w:r>
      <w:r>
        <w:t>,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w:t>
      </w:r>
      <w:r w:rsidRPr="003B1BDC">
        <w:t>d (</w:t>
      </w:r>
      <w:r w:rsidR="003B1BDC" w:rsidRPr="003B1BDC">
        <w:fldChar w:fldCharType="begin"/>
      </w:r>
      <w:r w:rsidR="003B1BDC" w:rsidRPr="003B1BDC">
        <w:instrText xml:space="preserve"> REF _Ref231472380 \h  \* MERGEFORMAT </w:instrText>
      </w:r>
      <w:r w:rsidR="003B1BDC" w:rsidRPr="003B1BDC">
        <w:fldChar w:fldCharType="separate"/>
      </w:r>
      <w:r w:rsidR="003323D0" w:rsidRPr="003323D0">
        <w:t xml:space="preserve">Figure </w:t>
      </w:r>
      <w:r w:rsidR="003323D0" w:rsidRPr="003323D0">
        <w:rPr>
          <w:noProof/>
        </w:rPr>
        <w:t>3</w:t>
      </w:r>
      <w:r w:rsidR="003B1BDC" w:rsidRPr="003B1BDC">
        <w:fldChar w:fldCharType="end"/>
      </w:r>
      <w:r w:rsidRPr="003B1BDC">
        <w:t xml:space="preserve">). </w:t>
      </w:r>
      <w:r w:rsidR="007D04DD">
        <w:t>Similar patterns emerge</w:t>
      </w:r>
      <w:r w:rsidR="006A5BFC">
        <w:t>d</w:t>
      </w:r>
      <w:r w:rsidR="007D04DD">
        <w:t xml:space="preserve"> when all European Union </w:t>
      </w:r>
      <w:r w:rsidR="004C7E6F">
        <w:t xml:space="preserve">(EU) </w:t>
      </w:r>
      <w:r w:rsidR="007D04DD">
        <w:t xml:space="preserve">countries </w:t>
      </w:r>
      <w:r w:rsidR="00BC1E9F">
        <w:t>were</w:t>
      </w:r>
      <w:r w:rsidR="007D04DD">
        <w:t xml:space="preserve"> grouped </w:t>
      </w:r>
      <w:r w:rsidR="00003603">
        <w:t>(</w:t>
      </w:r>
      <w:r w:rsidR="00003603">
        <w:fldChar w:fldCharType="begin"/>
      </w:r>
      <w:r w:rsidR="00003603">
        <w:instrText xml:space="preserve"> REF _Ref232410560 \h </w:instrText>
      </w:r>
      <w:r w:rsidR="00003603">
        <w:fldChar w:fldCharType="separate"/>
      </w:r>
      <w:r w:rsidR="003323D0">
        <w:t xml:space="preserve">Supplemental Figure </w:t>
      </w:r>
      <w:r w:rsidR="003323D0">
        <w:rPr>
          <w:noProof/>
        </w:rPr>
        <w:t>1</w:t>
      </w:r>
      <w:r w:rsidR="00003603">
        <w:fldChar w:fldCharType="end"/>
      </w:r>
      <w:r w:rsidR="00003603">
        <w:t xml:space="preserve">), </w:t>
      </w:r>
      <w:r w:rsidR="004C7E6F">
        <w:t>although the EU bec</w:t>
      </w:r>
      <w:r w:rsidR="006A5BFC">
        <w:t>ame</w:t>
      </w:r>
      <w:r w:rsidR="004C7E6F">
        <w:t xml:space="preserve"> the third most studied region when grouped this way. Agriculture</w:t>
      </w:r>
      <w:r w:rsidR="00DE54CE">
        <w:t xml:space="preserve"> account</w:t>
      </w:r>
      <w:r w:rsidR="00527397">
        <w:t>ed</w:t>
      </w:r>
      <w:r w:rsidR="00DE54CE">
        <w:t xml:space="preserve"> for</w:t>
      </w:r>
      <w:r w:rsidR="004C7E6F">
        <w:t xml:space="preserve"> 32.7% of the reported biomes </w:t>
      </w:r>
      <w:r w:rsidR="003D61C0">
        <w:t xml:space="preserve">in our dataset, </w:t>
      </w:r>
      <w:r w:rsidR="00B01D1A" w:rsidRPr="00B01D1A">
        <w:t xml:space="preserve">and this agronomic focus increased over time </w:t>
      </w:r>
      <w:r w:rsidR="00B01D1A">
        <w:t>(</w:t>
      </w:r>
      <w:r w:rsidR="003D61C0">
        <w:fldChar w:fldCharType="begin"/>
      </w:r>
      <w:r w:rsidR="003D61C0">
        <w:instrText xml:space="preserve"> REF _Ref232410756 \h </w:instrText>
      </w:r>
      <w:r w:rsidR="003D61C0">
        <w:fldChar w:fldCharType="separate"/>
      </w:r>
      <w:r w:rsidR="003323D0">
        <w:t xml:space="preserve">Supplemental Figure </w:t>
      </w:r>
      <w:r w:rsidR="003323D0">
        <w:rPr>
          <w:noProof/>
        </w:rPr>
        <w:t>2</w:t>
      </w:r>
      <w:r w:rsidR="003D61C0">
        <w:fldChar w:fldCharType="end"/>
      </w:r>
      <w:r w:rsidR="003D61C0">
        <w:t xml:space="preserve">). </w:t>
      </w:r>
    </w:p>
    <w:p w14:paraId="73CE61EB" w14:textId="77777777" w:rsidR="001D4DFD" w:rsidRDefault="00E9594D" w:rsidP="001D4DFD">
      <w:pPr>
        <w:pStyle w:val="BodyText"/>
        <w:keepNext/>
      </w:pPr>
      <w:r>
        <w:rPr>
          <w:noProof/>
        </w:rPr>
        <w:lastRenderedPageBreak/>
        <w:drawing>
          <wp:inline distT="0" distB="0" distL="0" distR="0" wp14:anchorId="05C0C84E" wp14:editId="36B45C13">
            <wp:extent cx="5943600" cy="4572000"/>
            <wp:effectExtent l="0" t="0" r="0" b="0"/>
            <wp:docPr id="1634830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0D4B9990" w14:textId="086BE458" w:rsidR="00760974" w:rsidRPr="00B965FF" w:rsidRDefault="001D4DFD" w:rsidP="001D4DFD">
      <w:pPr>
        <w:pStyle w:val="Caption"/>
        <w:rPr>
          <w:i w:val="0"/>
          <w:iCs/>
        </w:rPr>
      </w:pPr>
      <w:bookmarkStart w:id="16" w:name="_Ref231472380"/>
      <w:r w:rsidRPr="00B965FF">
        <w:rPr>
          <w:b/>
          <w:bCs/>
          <w:i w:val="0"/>
          <w:iCs/>
        </w:rPr>
        <w:t xml:space="preserve">Figure </w:t>
      </w:r>
      <w:r w:rsidRPr="00B965FF">
        <w:rPr>
          <w:b/>
          <w:bCs/>
          <w:i w:val="0"/>
          <w:iCs/>
        </w:rPr>
        <w:fldChar w:fldCharType="begin"/>
      </w:r>
      <w:r w:rsidRPr="00B965FF">
        <w:rPr>
          <w:b/>
          <w:bCs/>
          <w:i w:val="0"/>
          <w:iCs/>
        </w:rPr>
        <w:instrText xml:space="preserve"> SEQ Figure \* ARABIC </w:instrText>
      </w:r>
      <w:r w:rsidRPr="00B965FF">
        <w:rPr>
          <w:b/>
          <w:bCs/>
          <w:i w:val="0"/>
          <w:iCs/>
        </w:rPr>
        <w:fldChar w:fldCharType="separate"/>
      </w:r>
      <w:r w:rsidR="003323D0">
        <w:rPr>
          <w:b/>
          <w:bCs/>
          <w:i w:val="0"/>
          <w:iCs/>
          <w:noProof/>
        </w:rPr>
        <w:t>3</w:t>
      </w:r>
      <w:r w:rsidRPr="00B965FF">
        <w:rPr>
          <w:b/>
          <w:bCs/>
          <w:i w:val="0"/>
          <w:iCs/>
        </w:rPr>
        <w:fldChar w:fldCharType="end"/>
      </w:r>
      <w:bookmarkEnd w:id="16"/>
      <w:r w:rsidRPr="00B965FF">
        <w:rPr>
          <w:b/>
          <w:bCs/>
          <w:i w:val="0"/>
          <w:iCs/>
        </w:rPr>
        <w:t>: Heatmap of study counts by biome and country, displaying the top 10 categories of each.</w:t>
      </w:r>
      <w:r w:rsidRPr="00B965FF">
        <w:rPr>
          <w:i w:val="0"/>
          <w:iCs/>
        </w:rPr>
        <w:t xml:space="preserve"> </w:t>
      </w:r>
    </w:p>
    <w:p w14:paraId="23B00229" w14:textId="6911A851" w:rsidR="002E6D27" w:rsidRPr="002122FE" w:rsidRDefault="00F10295">
      <w:pPr>
        <w:pStyle w:val="BodyText"/>
      </w:pPr>
      <w:r>
        <w:t>Host taxonomic representation</w:t>
      </w:r>
      <w:r w:rsidR="00996147">
        <w:t xml:space="preserve"> </w:t>
      </w:r>
      <w:r w:rsidR="006A5BFC">
        <w:t xml:space="preserve">was </w:t>
      </w:r>
      <w:r w:rsidR="00996147">
        <w:t>heavily</w:t>
      </w:r>
      <w:r>
        <w:t xml:space="preserve"> imbalance</w:t>
      </w:r>
      <w:r w:rsidRPr="003B1BDC">
        <w:t>d</w:t>
      </w:r>
      <w:r w:rsidR="004C7E6F">
        <w:t xml:space="preserve"> and</w:t>
      </w:r>
      <w:r w:rsidR="003D34CD" w:rsidRPr="003D34CD">
        <w:t xml:space="preserve"> dominated by economically important agricultural grasses. The family Poaceae account</w:t>
      </w:r>
      <w:r w:rsidR="006A5BFC">
        <w:t>ed</w:t>
      </w:r>
      <w:r w:rsidR="003D34CD" w:rsidRPr="003D34CD">
        <w:t xml:space="preserve"> for 24.4% of all host records, including the four most-studied species overall: </w:t>
      </w:r>
      <w:r w:rsidR="003D34CD" w:rsidRPr="003D34CD">
        <w:rPr>
          <w:i/>
          <w:iCs/>
        </w:rPr>
        <w:t>Lolium arundinaceum</w:t>
      </w:r>
      <w:r w:rsidR="003D34CD" w:rsidRPr="003D34CD">
        <w:t xml:space="preserve"> (tall fescue), </w:t>
      </w:r>
      <w:r w:rsidR="003D34CD" w:rsidRPr="003D34CD">
        <w:rPr>
          <w:i/>
          <w:iCs/>
        </w:rPr>
        <w:t>Oryza sativa</w:t>
      </w:r>
      <w:r w:rsidR="003D34CD" w:rsidRPr="003D34CD">
        <w:t xml:space="preserve"> (rice), </w:t>
      </w:r>
      <w:r w:rsidR="003D34CD" w:rsidRPr="003D34CD">
        <w:rPr>
          <w:i/>
          <w:iCs/>
        </w:rPr>
        <w:t>Zea mays</w:t>
      </w:r>
      <w:r w:rsidR="003D34CD" w:rsidRPr="003D34CD">
        <w:t xml:space="preserve"> (corn), and </w:t>
      </w:r>
      <w:r w:rsidR="003D34CD" w:rsidRPr="003D34CD">
        <w:rPr>
          <w:i/>
          <w:iCs/>
        </w:rPr>
        <w:t>Lolium perenne</w:t>
      </w:r>
      <w:r w:rsidR="003D34CD" w:rsidRPr="003D34CD">
        <w:t xml:space="preserve"> (perennial ryegrass) </w:t>
      </w:r>
      <w:r w:rsidR="003D34CD" w:rsidRPr="003B1BDC">
        <w:t>(</w:t>
      </w:r>
      <w:r w:rsidR="003D34CD" w:rsidRPr="003B1BDC">
        <w:fldChar w:fldCharType="begin"/>
      </w:r>
      <w:r w:rsidR="003D34CD" w:rsidRPr="003B1BDC">
        <w:instrText xml:space="preserve"> REF _Ref231472399 \h  \* MERGEFORMAT </w:instrText>
      </w:r>
      <w:r w:rsidR="003D34CD" w:rsidRPr="003B1BDC">
        <w:fldChar w:fldCharType="separate"/>
      </w:r>
      <w:r w:rsidR="003323D0" w:rsidRPr="003323D0">
        <w:t xml:space="preserve">Figure </w:t>
      </w:r>
      <w:r w:rsidR="003323D0" w:rsidRPr="003323D0">
        <w:rPr>
          <w:noProof/>
        </w:rPr>
        <w:t>4</w:t>
      </w:r>
      <w:r w:rsidR="003D34CD" w:rsidRPr="003B1BDC">
        <w:fldChar w:fldCharType="end"/>
      </w:r>
      <w:r w:rsidR="003D34CD" w:rsidRPr="003B1BDC">
        <w:t>)</w:t>
      </w:r>
      <w:r w:rsidR="003D34CD">
        <w:t xml:space="preserve"> (</w:t>
      </w:r>
      <w:r w:rsidR="002122FE">
        <w:fldChar w:fldCharType="begin"/>
      </w:r>
      <w:r w:rsidR="002122FE">
        <w:instrText xml:space="preserve"> REF _Ref232410803 \h </w:instrText>
      </w:r>
      <w:r w:rsidR="002122FE">
        <w:fldChar w:fldCharType="separate"/>
      </w:r>
      <w:r w:rsidR="003323D0">
        <w:t xml:space="preserve">Supplemental Figure </w:t>
      </w:r>
      <w:r w:rsidR="003323D0">
        <w:rPr>
          <w:noProof/>
        </w:rPr>
        <w:t>3</w:t>
      </w:r>
      <w:r w:rsidR="002122FE">
        <w:fldChar w:fldCharType="end"/>
      </w:r>
      <w:r w:rsidR="003D34CD">
        <w:t>)</w:t>
      </w:r>
      <w:r w:rsidR="003D34CD" w:rsidRPr="003D34CD">
        <w:t>. Furthermore, major agricultural genera collectively constitute</w:t>
      </w:r>
      <w:r w:rsidR="006A5BFC">
        <w:t>d</w:t>
      </w:r>
      <w:r w:rsidR="003D34CD" w:rsidRPr="003D34CD">
        <w:t xml:space="preserve"> 38.8% of studied host plants</w:t>
      </w:r>
      <w:r>
        <w:t xml:space="preserve">. </w:t>
      </w:r>
      <w:r w:rsidR="003D34CD">
        <w:t xml:space="preserve">Conversely, </w:t>
      </w:r>
      <w:r w:rsidR="00E14984">
        <w:t>our analysis</w:t>
      </w:r>
      <w:r>
        <w:t xml:space="preserve"> revealed that numerous plant </w:t>
      </w:r>
      <w:r w:rsidR="005774DE">
        <w:t>phyla</w:t>
      </w:r>
      <w:r>
        <w:t xml:space="preserve"> and families ha</w:t>
      </w:r>
      <w:r w:rsidR="006A5BFC">
        <w:t>d</w:t>
      </w:r>
      <w:r>
        <w:t xml:space="preserve"> no recorded endophyte studies</w:t>
      </w:r>
      <w:r w:rsidR="002122FE" w:rsidRPr="002122FE">
        <w:t xml:space="preserve"> (</w:t>
      </w:r>
      <w:r w:rsidR="002122FE" w:rsidRPr="002122FE">
        <w:fldChar w:fldCharType="begin"/>
      </w:r>
      <w:r w:rsidR="002122FE" w:rsidRPr="002122FE">
        <w:instrText xml:space="preserve"> REF _Ref231472399 \h  \* MERGEFORMAT </w:instrText>
      </w:r>
      <w:r w:rsidR="002122FE" w:rsidRPr="002122FE">
        <w:fldChar w:fldCharType="separate"/>
      </w:r>
      <w:r w:rsidR="003323D0" w:rsidRPr="003323D0">
        <w:t xml:space="preserve">Figure </w:t>
      </w:r>
      <w:r w:rsidR="003323D0" w:rsidRPr="003323D0">
        <w:rPr>
          <w:noProof/>
        </w:rPr>
        <w:t>4</w:t>
      </w:r>
      <w:r w:rsidR="002122FE" w:rsidRPr="002122FE">
        <w:fldChar w:fldCharType="end"/>
      </w:r>
      <w:r w:rsidR="002122FE" w:rsidRPr="002122FE">
        <w:t>)</w:t>
      </w:r>
      <w:r w:rsidRPr="002122FE">
        <w:t>.</w:t>
      </w:r>
      <w:r w:rsidR="00CA1FCE" w:rsidRPr="002122FE">
        <w:t xml:space="preserve"> </w:t>
      </w:r>
      <w:r w:rsidR="002E6D27">
        <w:t xml:space="preserve">Host tissues sampled for fungal endophytes </w:t>
      </w:r>
      <w:r w:rsidR="003323D0">
        <w:t>were</w:t>
      </w:r>
      <w:r w:rsidR="002E6D27">
        <w:t xml:space="preserve"> largely represented by roots, leaves, stems, and seeds (</w:t>
      </w:r>
      <w:r w:rsidR="002E6D27">
        <w:fldChar w:fldCharType="begin"/>
      </w:r>
      <w:r w:rsidR="002E6D27">
        <w:instrText xml:space="preserve"> REF _Ref232413424 \h </w:instrText>
      </w:r>
      <w:r w:rsidR="002E6D27">
        <w:fldChar w:fldCharType="separate"/>
      </w:r>
      <w:r w:rsidR="003323D0">
        <w:t xml:space="preserve">Supplemental Figure </w:t>
      </w:r>
      <w:r w:rsidR="003323D0">
        <w:rPr>
          <w:noProof/>
        </w:rPr>
        <w:t>4</w:t>
      </w:r>
      <w:r w:rsidR="002E6D27">
        <w:fldChar w:fldCharType="end"/>
      </w:r>
      <w:r w:rsidR="002E6D27">
        <w:t>).</w:t>
      </w:r>
    </w:p>
    <w:p w14:paraId="25561D43" w14:textId="5CCE2425" w:rsidR="009F4D6D" w:rsidRDefault="00C5156E">
      <w:pPr>
        <w:pStyle w:val="BodyText"/>
      </w:pPr>
      <w:r w:rsidRPr="002122FE">
        <w:t>T</w:t>
      </w:r>
      <w:r w:rsidRPr="00C5156E">
        <w:t>his pattern of narrow focus extend</w:t>
      </w:r>
      <w:r w:rsidR="006A5BFC">
        <w:t>ed</w:t>
      </w:r>
      <w:r w:rsidRPr="00C5156E">
        <w:t xml:space="preserve"> to the </w:t>
      </w:r>
      <w:r w:rsidR="001902BF">
        <w:t xml:space="preserve">plants’ </w:t>
      </w:r>
      <w:r w:rsidRPr="00C5156E">
        <w:t xml:space="preserve">fungal partners. The most frequently studied fungal genera </w:t>
      </w:r>
      <w:r w:rsidR="006A5BFC">
        <w:t>we</w:t>
      </w:r>
      <w:r w:rsidRPr="00C5156E">
        <w:t>re those with well-known roles as agricultural pathogens, plant mutualists, or human health concerns. Genera such as </w:t>
      </w:r>
      <w:r w:rsidRPr="00C5156E">
        <w:rPr>
          <w:i/>
          <w:iCs/>
        </w:rPr>
        <w:t>Fusarium</w:t>
      </w:r>
      <w:r w:rsidR="00183E00">
        <w:rPr>
          <w:i/>
          <w:iCs/>
        </w:rPr>
        <w:t xml:space="preserve"> </w:t>
      </w:r>
      <w:r w:rsidR="00183E00" w:rsidRPr="00183E00">
        <w:t>(11</w:t>
      </w:r>
      <w:r w:rsidR="00CF4538">
        <w:t>.1</w:t>
      </w:r>
      <w:r w:rsidR="00183E00" w:rsidRPr="00183E00">
        <w:t xml:space="preserve">% of </w:t>
      </w:r>
      <w:r w:rsidR="005312DF">
        <w:t>resolved fungal taxa</w:t>
      </w:r>
      <w:r w:rsidR="00183E00" w:rsidRPr="00183E00">
        <w:t>)</w:t>
      </w:r>
      <w:r w:rsidRPr="00C5156E">
        <w:t>, </w:t>
      </w:r>
      <w:r w:rsidRPr="00C5156E">
        <w:rPr>
          <w:i/>
          <w:iCs/>
        </w:rPr>
        <w:t>Aspergillus</w:t>
      </w:r>
      <w:r w:rsidR="00183E00">
        <w:rPr>
          <w:i/>
          <w:iCs/>
        </w:rPr>
        <w:t xml:space="preserve"> </w:t>
      </w:r>
      <w:r w:rsidR="00183E00">
        <w:t>(8</w:t>
      </w:r>
      <w:r w:rsidR="00CF4538">
        <w:t>.1</w:t>
      </w:r>
      <w:r w:rsidR="00183E00">
        <w:t>%)</w:t>
      </w:r>
      <w:r w:rsidRPr="00C5156E">
        <w:t>, and the grass symbiont </w:t>
      </w:r>
      <w:r w:rsidRPr="00552E2D">
        <w:rPr>
          <w:i/>
          <w:iCs/>
        </w:rPr>
        <w:t>Epichlo</w:t>
      </w:r>
      <w:r w:rsidR="00552E2D" w:rsidRPr="00552E2D">
        <w:rPr>
          <w:i/>
          <w:iCs/>
        </w:rPr>
        <w:t>ë</w:t>
      </w:r>
      <w:r w:rsidRPr="00C5156E">
        <w:t> </w:t>
      </w:r>
      <w:r w:rsidR="00183E00">
        <w:t>(</w:t>
      </w:r>
      <w:r w:rsidR="00CF4538">
        <w:t>7.8</w:t>
      </w:r>
      <w:r w:rsidR="00183E00">
        <w:t xml:space="preserve">%) </w:t>
      </w:r>
      <w:r w:rsidRPr="00C5156E">
        <w:t>dominate</w:t>
      </w:r>
      <w:r w:rsidR="00565AD0">
        <w:t>d</w:t>
      </w:r>
      <w:r w:rsidRPr="00C5156E">
        <w:t xml:space="preserve"> the literature, while the broader diversity of fungal life remain</w:t>
      </w:r>
      <w:r w:rsidR="00565AD0">
        <w:t>ed</w:t>
      </w:r>
      <w:r w:rsidRPr="00C5156E">
        <w:t xml:space="preserve"> largely unexplored in the context of endophytism.</w:t>
      </w:r>
      <w:r w:rsidR="00183E00">
        <w:t xml:space="preserve"> </w:t>
      </w:r>
    </w:p>
    <w:p w14:paraId="09A7C5FD" w14:textId="77777777" w:rsidR="001D4DFD" w:rsidRDefault="00D54BDF" w:rsidP="001D4DFD">
      <w:pPr>
        <w:pStyle w:val="BodyText"/>
        <w:keepNext/>
      </w:pPr>
      <w:r>
        <w:rPr>
          <w:noProof/>
        </w:rPr>
        <w:lastRenderedPageBreak/>
        <w:drawing>
          <wp:inline distT="0" distB="0" distL="0" distR="0" wp14:anchorId="4BFBC84A" wp14:editId="150DD7F6">
            <wp:extent cx="5943600" cy="6858000"/>
            <wp:effectExtent l="0" t="0" r="0" b="0"/>
            <wp:docPr id="5396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858000"/>
                    </a:xfrm>
                    <a:prstGeom prst="rect">
                      <a:avLst/>
                    </a:prstGeom>
                    <a:noFill/>
                    <a:ln>
                      <a:noFill/>
                    </a:ln>
                  </pic:spPr>
                </pic:pic>
              </a:graphicData>
            </a:graphic>
          </wp:inline>
        </w:drawing>
      </w:r>
    </w:p>
    <w:p w14:paraId="5EB572C9" w14:textId="28702DCA" w:rsidR="001D4DFD" w:rsidRDefault="001D4DFD" w:rsidP="001D4DFD">
      <w:pPr>
        <w:pStyle w:val="BodyText"/>
      </w:pPr>
      <w:bookmarkStart w:id="17" w:name="_Ref231472399"/>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3323D0">
        <w:rPr>
          <w:b/>
          <w:bCs/>
          <w:noProof/>
        </w:rPr>
        <w:t>4</w:t>
      </w:r>
      <w:r w:rsidRPr="001D4DFD">
        <w:rPr>
          <w:b/>
          <w:bCs/>
        </w:rPr>
        <w:fldChar w:fldCharType="end"/>
      </w:r>
      <w:bookmarkEnd w:id="17"/>
      <w:r w:rsidRPr="001D4DFD">
        <w:rPr>
          <w:b/>
          <w:bCs/>
        </w:rPr>
        <w:t>: Host taxonomic representation in the endophyte literature.</w:t>
      </w:r>
      <w:r>
        <w:t xml:space="preserve"> </w:t>
      </w:r>
      <w:r w:rsidR="004B51E7" w:rsidRPr="004B51E7">
        <w:t>This heatmap shows the concentration of studies across plant species, genera, and families</w:t>
      </w:r>
      <w:r>
        <w:t>.</w:t>
      </w:r>
      <w:r w:rsidR="00BF29C5">
        <w:t xml:space="preserve"> Darker blue indicates a higher value for the column type</w:t>
      </w:r>
      <w:r w:rsidR="00114D2F">
        <w:t xml:space="preserve"> (coverage percent, number of studied taxa, or number of known taxa).</w:t>
      </w:r>
    </w:p>
    <w:p w14:paraId="25561D44" w14:textId="1E2B2FA5" w:rsidR="009F4D6D" w:rsidRDefault="00F10295">
      <w:pPr>
        <w:pStyle w:val="Heading3"/>
      </w:pPr>
      <w:bookmarkStart w:id="18" w:name="X23ff396f6319c66185a3b610d3dc317dab3bf41"/>
      <w:bookmarkEnd w:id="14"/>
      <w:r>
        <w:lastRenderedPageBreak/>
        <w:t xml:space="preserve">Prediction </w:t>
      </w:r>
      <w:r w:rsidR="005E4541">
        <w:t>4</w:t>
      </w:r>
      <w:r>
        <w:t>: Study Intensity Increases with GDP</w:t>
      </w:r>
    </w:p>
    <w:p w14:paraId="714B636F" w14:textId="07CB4BB9" w:rsidR="00F46073" w:rsidRDefault="00383F95" w:rsidP="009F15C5">
      <w:pPr>
        <w:pStyle w:val="BodyText"/>
      </w:pPr>
      <w:r>
        <w:t>Consistent</w:t>
      </w:r>
      <w:r w:rsidR="0024060E" w:rsidRPr="0024060E">
        <w:t xml:space="preserve"> with Prediction </w:t>
      </w:r>
      <w:r w:rsidR="005E4541">
        <w:t>4</w:t>
      </w:r>
      <w:r w:rsidR="0024060E" w:rsidRPr="0024060E">
        <w:t>, we found a strong, positive</w:t>
      </w:r>
      <w:r>
        <w:t>, and significant</w:t>
      </w:r>
      <w:r w:rsidR="0024060E" w:rsidRPr="0024060E">
        <w:t xml:space="preserve"> correlation between a country's economic output and its endophyte research intensity. A country's log-transformed Gross Domestic Product (GDP) was a significant predictor of its log-transformed study count (Spearman's ρ = 0.8</w:t>
      </w:r>
      <w:r w:rsidR="00F66BE1">
        <w:t>4</w:t>
      </w:r>
      <w:r w:rsidR="0024060E" w:rsidRPr="0024060E">
        <w:t xml:space="preserve">, </w:t>
      </w:r>
      <w:r w:rsidR="005E5130">
        <w:rPr>
          <w:i/>
          <w:iCs/>
        </w:rPr>
        <w:t>P</w:t>
      </w:r>
      <w:r w:rsidR="0024060E" w:rsidRPr="0024060E">
        <w:t xml:space="preserve"> &lt; 0.001), indicating that wealthier nations </w:t>
      </w:r>
      <w:r w:rsidR="006A5BFC">
        <w:t>were</w:t>
      </w:r>
      <w:r w:rsidR="0024060E" w:rsidRPr="0024060E">
        <w:t xml:space="preserve"> studied more frequent</w:t>
      </w:r>
      <w:r w:rsidR="0024060E" w:rsidRPr="000E0C82">
        <w:t>ly (</w:t>
      </w:r>
      <w:r w:rsidR="000E0C82" w:rsidRPr="000E0C82">
        <w:fldChar w:fldCharType="begin"/>
      </w:r>
      <w:r w:rsidR="000E0C82" w:rsidRPr="000E0C82">
        <w:instrText xml:space="preserve"> REF _Ref231472425 \h  \* MERGEFORMAT </w:instrText>
      </w:r>
      <w:r w:rsidR="000E0C82" w:rsidRPr="000E0C82">
        <w:fldChar w:fldCharType="separate"/>
      </w:r>
      <w:r w:rsidR="003323D0" w:rsidRPr="003323D0">
        <w:t xml:space="preserve">Figure </w:t>
      </w:r>
      <w:r w:rsidR="003323D0" w:rsidRPr="003323D0">
        <w:rPr>
          <w:noProof/>
        </w:rPr>
        <w:t>5</w:t>
      </w:r>
      <w:r w:rsidR="000E0C82" w:rsidRPr="000E0C82">
        <w:fldChar w:fldCharType="end"/>
      </w:r>
      <w:r w:rsidR="0024060E" w:rsidRPr="000E0C82">
        <w:t>). Furth</w:t>
      </w:r>
      <w:r w:rsidR="0024060E" w:rsidRPr="0024060E">
        <w:t xml:space="preserve">er multiple regression modeling revealed that GDP was a </w:t>
      </w:r>
      <w:r w:rsidR="00937708">
        <w:t>much</w:t>
      </w:r>
      <w:r w:rsidR="0024060E" w:rsidRPr="0024060E">
        <w:t xml:space="preserve"> superior predictor of study count compared to ecological metrics. When modeled</w:t>
      </w:r>
      <w:r w:rsidR="0024060E">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w:t>
      </w:r>
      <w:r w:rsidR="003323D0">
        <w:t>(</w:t>
      </w:r>
      <w:r w:rsidR="003323D0">
        <w:fldChar w:fldCharType="begin"/>
      </w:r>
      <w:r w:rsidR="003323D0">
        <w:instrText xml:space="preserve"> REF _Ref232413497 \h </w:instrText>
      </w:r>
      <w:r w:rsidR="003323D0">
        <w:fldChar w:fldCharType="separate"/>
      </w:r>
      <w:r w:rsidR="003323D0">
        <w:t xml:space="preserve">Supplemental Figure </w:t>
      </w:r>
      <w:r w:rsidR="003323D0">
        <w:rPr>
          <w:noProof/>
        </w:rPr>
        <w:t>5</w:t>
      </w:r>
      <w:r w:rsidR="003323D0">
        <w:fldChar w:fldCharType="end"/>
      </w:r>
      <w:r w:rsidR="003323D0">
        <w:t>)</w:t>
      </w:r>
      <w:r w:rsidR="00F46073" w:rsidRPr="00F46073">
        <w:t>. Likewise, independent non-parametric assessments confirmed that economic output (Spearman's ρ = 0.8</w:t>
      </w:r>
      <w:r w:rsidR="00C40652">
        <w:t>4</w:t>
      </w:r>
      <w:r w:rsidR="00F46073" w:rsidRPr="00F46073">
        <w:t>) correlate</w:t>
      </w:r>
      <w:r w:rsidR="006A5BFC">
        <w:t>d</w:t>
      </w:r>
      <w:r w:rsidR="00F46073" w:rsidRPr="00F46073">
        <w:t xml:space="preserve"> much more robustly with sampling intensity than d</w:t>
      </w:r>
      <w:r w:rsidR="006A5BFC">
        <w:t xml:space="preserve">id </w:t>
      </w:r>
      <w:r w:rsidR="00F977C6">
        <w:t>total</w:t>
      </w:r>
      <w:r w:rsidR="00F46073" w:rsidRPr="00F46073">
        <w:t xml:space="preserve"> species richness (Spearman's ρ = 0.58). </w:t>
      </w:r>
    </w:p>
    <w:p w14:paraId="7F135D01" w14:textId="77777777" w:rsidR="001D4DFD" w:rsidRDefault="0029529C" w:rsidP="001D4DFD">
      <w:pPr>
        <w:pStyle w:val="BodyText"/>
        <w:keepNext/>
      </w:pPr>
      <w:r>
        <w:rPr>
          <w:noProof/>
        </w:rPr>
        <w:drawing>
          <wp:inline distT="0" distB="0" distL="0" distR="0" wp14:anchorId="1B5DC2CF" wp14:editId="7F4E6F4C">
            <wp:extent cx="4114800" cy="4114800"/>
            <wp:effectExtent l="0" t="0" r="0" b="0"/>
            <wp:docPr id="285542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49B1B290" w14:textId="29F16176" w:rsidR="001D4DFD" w:rsidRPr="009F15C5" w:rsidRDefault="001D4DFD" w:rsidP="001D4DFD">
      <w:pPr>
        <w:pStyle w:val="BodyText"/>
      </w:pPr>
      <w:bookmarkStart w:id="19" w:name="_Ref231472425"/>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3323D0">
        <w:rPr>
          <w:b/>
          <w:bCs/>
          <w:noProof/>
        </w:rPr>
        <w:t>5</w:t>
      </w:r>
      <w:r w:rsidRPr="001D4DFD">
        <w:rPr>
          <w:b/>
          <w:bCs/>
        </w:rPr>
        <w:fldChar w:fldCharType="end"/>
      </w:r>
      <w:bookmarkEnd w:id="19"/>
      <w:r w:rsidRPr="001D4DFD">
        <w:rPr>
          <w:b/>
          <w:bCs/>
        </w:rPr>
        <w:t>: Relationship between a country's economic status and its endophyte research effort.</w:t>
      </w:r>
      <w:r w:rsidRPr="0020061A">
        <w:t xml:space="preserve"> </w:t>
      </w:r>
      <w:r w:rsidR="00601DBE" w:rsidRPr="00601DBE">
        <w:t>The plot displays a country's log-transformed Gross Domestic Product (GDP) against its log-transformed study count. The line represents a linear regression fit, with the shaded area showing the 95% confidence interval</w:t>
      </w:r>
      <w:r w:rsidR="00601DBE">
        <w:t>.</w:t>
      </w:r>
    </w:p>
    <w:p w14:paraId="25561D46" w14:textId="77777777" w:rsidR="009F4D6D" w:rsidRDefault="00F10295" w:rsidP="00FB7CEC">
      <w:pPr>
        <w:pStyle w:val="Style1"/>
      </w:pPr>
      <w:bookmarkStart w:id="20" w:name="priority-outputs-for-future-sampling"/>
      <w:bookmarkEnd w:id="18"/>
      <w:r>
        <w:lastRenderedPageBreak/>
        <w:t>Priority Outputs for Future Sampling</w:t>
      </w:r>
    </w:p>
    <w:p w14:paraId="39277789" w14:textId="78221163" w:rsidR="00085BBB" w:rsidRPr="000E0C82" w:rsidRDefault="00085BBB">
      <w:pPr>
        <w:pStyle w:val="Heading2"/>
        <w:rPr>
          <w:rFonts w:asciiTheme="minorHAnsi" w:eastAsiaTheme="minorHAnsi" w:hAnsiTheme="minorHAnsi" w:cstheme="minorBidi"/>
          <w:color w:val="auto"/>
          <w:sz w:val="24"/>
          <w:szCs w:val="24"/>
        </w:rPr>
      </w:pPr>
      <w:bookmarkStart w:id="21" w:name="discussion"/>
      <w:bookmarkEnd w:id="11"/>
      <w:bookmarkEnd w:id="20"/>
      <w:r w:rsidRPr="00085BBB">
        <w:rPr>
          <w:rFonts w:asciiTheme="minorHAnsi" w:eastAsiaTheme="minorHAnsi" w:hAnsiTheme="minorHAnsi" w:cstheme="minorBidi"/>
          <w:color w:val="auto"/>
          <w:sz w:val="24"/>
          <w:szCs w:val="24"/>
        </w:rPr>
        <w:t>Based on these identified gaps</w:t>
      </w:r>
      <w:r w:rsidR="006A5BFC">
        <w:rPr>
          <w:rFonts w:asciiTheme="minorHAnsi" w:eastAsiaTheme="minorHAnsi" w:hAnsiTheme="minorHAnsi" w:cstheme="minorBidi"/>
          <w:color w:val="auto"/>
          <w:sz w:val="24"/>
          <w:szCs w:val="24"/>
        </w:rPr>
        <w:t xml:space="preserve"> in the study of endophytes</w:t>
      </w:r>
      <w:r w:rsidRPr="00085BBB">
        <w:rPr>
          <w:rFonts w:asciiTheme="minorHAnsi" w:eastAsiaTheme="minorHAnsi" w:hAnsiTheme="minorHAnsi" w:cstheme="minorBidi"/>
          <w:color w:val="auto"/>
          <w:sz w:val="24"/>
          <w:szCs w:val="24"/>
        </w:rPr>
        <w:t xml:space="preserve">,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countries and host taxa</w:t>
      </w:r>
      <w:r w:rsidR="003E5631">
        <w:rPr>
          <w:rFonts w:asciiTheme="minorHAnsi" w:eastAsiaTheme="minorHAnsi" w:hAnsiTheme="minorHAnsi" w:cstheme="minorBidi"/>
          <w:color w:val="auto"/>
          <w:sz w:val="24"/>
          <w:szCs w:val="24"/>
        </w:rPr>
        <w:t xml:space="preserve">, </w:t>
      </w:r>
      <w:commentRangeStart w:id="22"/>
      <w:r w:rsidR="003E5631">
        <w:rPr>
          <w:rFonts w:asciiTheme="minorHAnsi" w:eastAsiaTheme="minorHAnsi" w:hAnsiTheme="minorHAnsi" w:cstheme="minorBidi"/>
          <w:color w:val="auto"/>
          <w:sz w:val="24"/>
          <w:szCs w:val="24"/>
        </w:rPr>
        <w:t>lists of which are included in the Supplementary Files</w:t>
      </w:r>
      <w:commentRangeEnd w:id="22"/>
      <w:r w:rsidR="006A5BFC" w:rsidRPr="00085BBB">
        <w:rPr>
          <w:rStyle w:val="CommentReference"/>
          <w:rFonts w:asciiTheme="minorHAnsi" w:eastAsiaTheme="minorHAnsi" w:hAnsiTheme="minorHAnsi" w:cstheme="minorBidi"/>
          <w:color w:val="auto"/>
          <w:sz w:val="24"/>
          <w:szCs w:val="24"/>
        </w:rPr>
        <w:commentReference w:id="22"/>
      </w:r>
      <w:r w:rsidRPr="00085BBB">
        <w:rPr>
          <w:rFonts w:asciiTheme="minorHAnsi" w:eastAsiaTheme="minorHAnsi" w:hAnsiTheme="minorHAnsi" w:cstheme="minorBidi"/>
          <w:color w:val="auto"/>
          <w:sz w:val="24"/>
          <w:szCs w:val="24"/>
        </w:rPr>
        <w:t>. The result</w:t>
      </w:r>
      <w:r w:rsidRPr="000E0C82">
        <w:rPr>
          <w:rFonts w:asciiTheme="minorHAnsi" w:eastAsiaTheme="minorHAnsi" w:hAnsiTheme="minorHAnsi" w:cstheme="minorBidi"/>
          <w:color w:val="auto"/>
          <w:sz w:val="24"/>
          <w:szCs w:val="24"/>
        </w:rPr>
        <w:t>s highlight</w:t>
      </w:r>
      <w:r w:rsidR="00DD339F">
        <w:rPr>
          <w:rFonts w:asciiTheme="minorHAnsi" w:eastAsiaTheme="minorHAnsi" w:hAnsiTheme="minorHAnsi" w:cstheme="minorBidi"/>
          <w:color w:val="auto"/>
          <w:sz w:val="24"/>
          <w:szCs w:val="24"/>
        </w:rPr>
        <w:t>ed</w:t>
      </w:r>
      <w:r w:rsidRPr="000E0C82">
        <w:rPr>
          <w:rFonts w:asciiTheme="minorHAnsi" w:eastAsiaTheme="minorHAnsi" w:hAnsiTheme="minorHAnsi" w:cstheme="minorBidi"/>
          <w:color w:val="auto"/>
          <w:sz w:val="24"/>
          <w:szCs w:val="24"/>
        </w:rPr>
        <w:t xml:space="preserve"> numerous plant genera and families with </w:t>
      </w:r>
      <w:r w:rsidR="00431824" w:rsidRPr="000E0C82">
        <w:rPr>
          <w:rFonts w:asciiTheme="minorHAnsi" w:eastAsiaTheme="minorHAnsi" w:hAnsiTheme="minorHAnsi" w:cstheme="minorBidi"/>
          <w:color w:val="auto"/>
          <w:sz w:val="24"/>
          <w:szCs w:val="24"/>
        </w:rPr>
        <w:t>minimal</w:t>
      </w:r>
      <w:r w:rsidRPr="000E0C82">
        <w:rPr>
          <w:rFonts w:asciiTheme="minorHAnsi" w:eastAsiaTheme="minorHAnsi" w:hAnsiTheme="minorHAnsi" w:cstheme="minorBidi"/>
          <w:color w:val="auto"/>
          <w:sz w:val="24"/>
          <w:szCs w:val="24"/>
        </w:rPr>
        <w:t xml:space="preserve"> representation in </w:t>
      </w:r>
      <w:r w:rsidRPr="000E0C82">
        <w:rPr>
          <w:rFonts w:asciiTheme="minorHAnsi" w:hAnsiTheme="minorHAnsi"/>
          <w:color w:val="auto"/>
          <w:sz w:val="24"/>
          <w:szCs w:val="24"/>
        </w:rPr>
        <w:t>the literature, including early-diverging lineages such as Charophyta and Bryophyta</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_Ref231472399 \h  \* MERGEFORMAT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fldChar w:fldCharType="separate"/>
      </w:r>
      <w:r w:rsidR="003323D0" w:rsidRPr="003323D0">
        <w:rPr>
          <w:rFonts w:asciiTheme="minorHAnsi" w:hAnsiTheme="minorHAnsi"/>
          <w:color w:val="auto"/>
          <w:sz w:val="24"/>
          <w:szCs w:val="24"/>
        </w:rPr>
        <w:t>Figure 4</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Likewise, </w:t>
      </w:r>
      <w:r w:rsidR="00D303F6">
        <w:rPr>
          <w:rFonts w:asciiTheme="minorHAnsi" w:hAnsiTheme="minorHAnsi"/>
          <w:color w:val="auto"/>
          <w:sz w:val="24"/>
          <w:szCs w:val="24"/>
        </w:rPr>
        <w:t>the majority of countries (133)</w:t>
      </w:r>
      <w:r w:rsidR="009F6377"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including </w:t>
      </w:r>
      <w:r w:rsidR="003C0A85">
        <w:rPr>
          <w:rFonts w:asciiTheme="minorHAnsi" w:hAnsiTheme="minorHAnsi"/>
          <w:color w:val="auto"/>
          <w:sz w:val="24"/>
          <w:szCs w:val="24"/>
        </w:rPr>
        <w:t>high-biodiversi</w:t>
      </w:r>
      <w:r w:rsidR="003C0A85" w:rsidRPr="003323D0">
        <w:rPr>
          <w:rFonts w:asciiTheme="minorHAnsi" w:hAnsiTheme="minorHAnsi"/>
          <w:color w:val="auto"/>
          <w:sz w:val="24"/>
          <w:szCs w:val="24"/>
        </w:rPr>
        <w:t xml:space="preserve">ty </w:t>
      </w:r>
      <w:r w:rsidR="00F501E8" w:rsidRPr="003323D0">
        <w:rPr>
          <w:rFonts w:asciiTheme="minorHAnsi" w:hAnsiTheme="minorHAnsi"/>
          <w:color w:val="auto"/>
          <w:sz w:val="24"/>
          <w:szCs w:val="24"/>
        </w:rPr>
        <w:t>regions</w:t>
      </w:r>
      <w:r w:rsidR="003C0A85" w:rsidRPr="003323D0">
        <w:rPr>
          <w:rFonts w:asciiTheme="minorHAnsi" w:hAnsiTheme="minorHAnsi"/>
          <w:color w:val="auto"/>
          <w:sz w:val="24"/>
          <w:szCs w:val="24"/>
        </w:rPr>
        <w:t xml:space="preserve"> </w:t>
      </w:r>
      <w:r w:rsidR="00CF7399" w:rsidRPr="003323D0">
        <w:rPr>
          <w:rFonts w:asciiTheme="minorHAnsi" w:hAnsiTheme="minorHAnsi"/>
          <w:color w:val="auto"/>
          <w:sz w:val="24"/>
          <w:szCs w:val="24"/>
        </w:rPr>
        <w:t>such as</w:t>
      </w:r>
      <w:r w:rsidR="003C0A85" w:rsidRPr="003323D0">
        <w:rPr>
          <w:rFonts w:asciiTheme="minorHAnsi" w:hAnsiTheme="minorHAnsi"/>
          <w:color w:val="auto"/>
          <w:sz w:val="24"/>
          <w:szCs w:val="24"/>
        </w:rPr>
        <w:t xml:space="preserve"> </w:t>
      </w:r>
      <w:r w:rsidR="00F501E8" w:rsidRPr="003323D0">
        <w:rPr>
          <w:rFonts w:asciiTheme="minorHAnsi" w:hAnsiTheme="minorHAnsi"/>
          <w:color w:val="auto"/>
          <w:sz w:val="24"/>
          <w:szCs w:val="24"/>
        </w:rPr>
        <w:t>much of South America</w:t>
      </w:r>
      <w:r w:rsidR="00A2475B" w:rsidRPr="003323D0">
        <w:rPr>
          <w:rFonts w:asciiTheme="minorHAnsi" w:hAnsiTheme="minorHAnsi"/>
          <w:color w:val="auto"/>
          <w:sz w:val="24"/>
          <w:szCs w:val="24"/>
        </w:rPr>
        <w:t xml:space="preserve"> (</w:t>
      </w:r>
      <w:r w:rsidR="000E0C82" w:rsidRPr="003323D0">
        <w:rPr>
          <w:rFonts w:asciiTheme="minorHAnsi" w:hAnsiTheme="minorHAnsi"/>
          <w:color w:val="auto"/>
          <w:sz w:val="24"/>
          <w:szCs w:val="24"/>
        </w:rPr>
        <w:fldChar w:fldCharType="begin"/>
      </w:r>
      <w:r w:rsidR="000E0C82" w:rsidRPr="003323D0">
        <w:rPr>
          <w:rFonts w:asciiTheme="minorHAnsi" w:hAnsiTheme="minorHAnsi"/>
          <w:color w:val="auto"/>
          <w:sz w:val="24"/>
          <w:szCs w:val="24"/>
        </w:rPr>
        <w:instrText xml:space="preserve"> REF _Ref231472351 \h  \* MERGEFORMAT </w:instrText>
      </w:r>
      <w:r w:rsidR="000E0C82" w:rsidRPr="003323D0">
        <w:rPr>
          <w:rFonts w:asciiTheme="minorHAnsi" w:hAnsiTheme="minorHAnsi"/>
          <w:color w:val="auto"/>
          <w:sz w:val="24"/>
          <w:szCs w:val="24"/>
        </w:rPr>
      </w:r>
      <w:r w:rsidR="000E0C82" w:rsidRPr="003323D0">
        <w:rPr>
          <w:rFonts w:asciiTheme="minorHAnsi" w:hAnsiTheme="minorHAnsi"/>
          <w:color w:val="auto"/>
          <w:sz w:val="24"/>
          <w:szCs w:val="24"/>
        </w:rPr>
        <w:fldChar w:fldCharType="separate"/>
      </w:r>
      <w:r w:rsidR="003323D0" w:rsidRPr="003323D0">
        <w:rPr>
          <w:rFonts w:asciiTheme="minorHAnsi" w:hAnsiTheme="minorHAnsi"/>
          <w:color w:val="auto"/>
          <w:sz w:val="24"/>
          <w:szCs w:val="24"/>
        </w:rPr>
        <w:t>Figure 2</w:t>
      </w:r>
      <w:r w:rsidR="000E0C82" w:rsidRPr="003323D0">
        <w:rPr>
          <w:rFonts w:asciiTheme="minorHAnsi" w:hAnsiTheme="minorHAnsi"/>
          <w:color w:val="auto"/>
          <w:sz w:val="24"/>
          <w:szCs w:val="24"/>
        </w:rPr>
        <w:fldChar w:fldCharType="end"/>
      </w:r>
      <w:r w:rsidR="00A2475B" w:rsidRPr="003323D0">
        <w:rPr>
          <w:rFonts w:asciiTheme="minorHAnsi" w:hAnsiTheme="minorHAnsi"/>
          <w:color w:val="auto"/>
          <w:sz w:val="24"/>
          <w:szCs w:val="24"/>
        </w:rPr>
        <w:t>)</w:t>
      </w:r>
      <w:r w:rsidR="009F6377" w:rsidRPr="003323D0">
        <w:rPr>
          <w:rFonts w:asciiTheme="minorHAnsi" w:hAnsiTheme="minorHAnsi"/>
          <w:color w:val="auto"/>
          <w:sz w:val="24"/>
          <w:szCs w:val="24"/>
        </w:rPr>
        <w:t>, r</w:t>
      </w:r>
      <w:r w:rsidR="00A366BC" w:rsidRPr="003323D0">
        <w:rPr>
          <w:rFonts w:asciiTheme="minorHAnsi" w:hAnsiTheme="minorHAnsi"/>
          <w:color w:val="auto"/>
          <w:sz w:val="24"/>
          <w:szCs w:val="24"/>
        </w:rPr>
        <w:t>emain</w:t>
      </w:r>
      <w:r w:rsidR="004531BC">
        <w:rPr>
          <w:rFonts w:asciiTheme="minorHAnsi" w:hAnsiTheme="minorHAnsi"/>
          <w:color w:val="auto"/>
          <w:sz w:val="24"/>
          <w:szCs w:val="24"/>
        </w:rPr>
        <w:t xml:space="preserve">ed </w:t>
      </w:r>
      <w:r w:rsidR="00A366BC" w:rsidRPr="003323D0">
        <w:rPr>
          <w:rFonts w:asciiTheme="minorHAnsi" w:hAnsiTheme="minorHAnsi"/>
          <w:color w:val="auto"/>
          <w:sz w:val="24"/>
          <w:szCs w:val="24"/>
        </w:rPr>
        <w:t>understudied</w:t>
      </w:r>
      <w:r w:rsidR="00A366BC" w:rsidRPr="003323D0">
        <w:rPr>
          <w:rFonts w:asciiTheme="minorHAnsi" w:eastAsiaTheme="minorHAnsi" w:hAnsiTheme="minorHAnsi" w:cstheme="minorBidi"/>
          <w:color w:val="auto"/>
          <w:sz w:val="24"/>
          <w:szCs w:val="24"/>
        </w:rPr>
        <w:t>.</w:t>
      </w:r>
      <w:r w:rsidRPr="000E0C82">
        <w:rPr>
          <w:rFonts w:asciiTheme="minorHAnsi" w:eastAsiaTheme="minorHAnsi" w:hAnsiTheme="minorHAnsi" w:cstheme="minorBidi"/>
          <w:color w:val="auto"/>
          <w:sz w:val="24"/>
          <w:szCs w:val="24"/>
        </w:rPr>
        <w:t xml:space="preserve"> </w:t>
      </w:r>
    </w:p>
    <w:p w14:paraId="57C366A5" w14:textId="77777777" w:rsidR="003A6160" w:rsidRDefault="003A6160" w:rsidP="00FB7CEC">
      <w:pPr>
        <w:pStyle w:val="Style1"/>
      </w:pPr>
      <w:r w:rsidRPr="003A6160">
        <w:t xml:space="preserve">Functional Guild Representation in the Literature </w:t>
      </w:r>
    </w:p>
    <w:p w14:paraId="3E6D34A4" w14:textId="18DEC798" w:rsidR="003A6160" w:rsidRDefault="00FB24E9" w:rsidP="003A6160">
      <w:pPr>
        <w:pStyle w:val="BodyText"/>
      </w:pPr>
      <w:r w:rsidRPr="00FB24E9">
        <w:t>While geographic and taxonomic gaps represent a limitation of the current evidence ba</w:t>
      </w:r>
      <w:r w:rsidRPr="009C7418">
        <w:t xml:space="preserve">se, </w:t>
      </w:r>
      <w:r w:rsidR="009C7418" w:rsidRPr="009C7418">
        <w:t>it was also necessary to determine if the literature was functionally constrained. To evaluate the functional focus of the global evidence base, the primary ecological guilds reported across the extracted plant-fungus interactions were categorized. Results indicate</w:t>
      </w:r>
      <w:r w:rsidR="004531BC">
        <w:t>d</w:t>
      </w:r>
      <w:r w:rsidR="009C7418" w:rsidRPr="009C7418">
        <w:t xml:space="preserve"> that the literature </w:t>
      </w:r>
      <w:r w:rsidR="004531BC">
        <w:t>was</w:t>
      </w:r>
      <w:r w:rsidR="009C7418" w:rsidRPr="009C7418">
        <w:t xml:space="preserve"> not </w:t>
      </w:r>
      <w:r w:rsidR="00FC40F1">
        <w:t>exclusively</w:t>
      </w:r>
      <w:r w:rsidR="003A6160" w:rsidRPr="003A6160">
        <w:t xml:space="preserve"> focused on benign commensalism</w:t>
      </w:r>
      <w:r w:rsidR="00FC40F1">
        <w:t xml:space="preserve"> and instead</w:t>
      </w:r>
      <w:r w:rsidR="003A6160" w:rsidRPr="003A6160">
        <w:t xml:space="preserve"> reflect</w:t>
      </w:r>
      <w:r w:rsidR="004531BC">
        <w:t>ed</w:t>
      </w:r>
      <w:r w:rsidR="003A6160" w:rsidRPr="003A6160">
        <w:t xml:space="preserve"> a broad functional continuum. While purely asymptomatic relationships comprised the plurality of documented interactions (42.5%</w:t>
      </w:r>
      <w:r w:rsidR="00723EC8">
        <w:t xml:space="preserve"> of discrete interactions</w:t>
      </w:r>
      <w:r w:rsidR="003A6160" w:rsidRPr="003A6160">
        <w:t>), a substantial proportion of the literature focuse</w:t>
      </w:r>
      <w:r w:rsidR="00BC1E9F">
        <w:t>d</w:t>
      </w:r>
      <w:r w:rsidR="003A6160" w:rsidRPr="003A6160">
        <w:t xml:space="preserve"> on pathogenic relationships (35.1%). </w:t>
      </w:r>
      <w:r w:rsidR="00680DDC">
        <w:t>T</w:t>
      </w:r>
      <w:r w:rsidR="003A6160" w:rsidRPr="003A6160">
        <w:t xml:space="preserve">he dataset captured significant functional overlap with other established guilds, with 10.3% of documented endophyte interactions explicitly involving mycorrhizal contexts, and 4.9% focused on antagonistic or biocontrol applications. </w:t>
      </w:r>
    </w:p>
    <w:p w14:paraId="2D808EDC" w14:textId="2D273639" w:rsidR="002B2FF2" w:rsidRPr="002B2FF2" w:rsidRDefault="002B2FF2" w:rsidP="002B2FF2">
      <w:pPr>
        <w:pStyle w:val="Style1"/>
      </w:pPr>
      <w:r w:rsidRPr="002B2FF2">
        <w:t xml:space="preserve">Sensitivity Analysis: Abstract and Full-Text Consistency </w:t>
      </w:r>
      <w:r w:rsidRPr="003A6160">
        <w:t xml:space="preserve"> </w:t>
      </w:r>
    </w:p>
    <w:p w14:paraId="0E78B4AF" w14:textId="7F312048" w:rsidR="004A5F76" w:rsidRDefault="00590374" w:rsidP="003A6160">
      <w:pPr>
        <w:pStyle w:val="BodyText"/>
      </w:pPr>
      <w:r w:rsidRPr="00590374">
        <w:t>To test the reliability of our abstract-led audit, we performed a comparative sensitivity analysis between the abstract and full-text datasets.</w:t>
      </w:r>
      <w:r w:rsidR="005524D8">
        <w:t xml:space="preserve"> </w:t>
      </w:r>
      <w:r w:rsidR="005524D8" w:rsidRPr="005524D8">
        <w:t>We found that abstract-led text mining results led to the same conclusions as full-text assessments for our study</w:t>
      </w:r>
      <w:r w:rsidR="005524D8">
        <w:t>.</w:t>
      </w:r>
      <w:r w:rsidR="004A5F76" w:rsidRPr="004A5F76">
        <w:t xml:space="preserve"> The abstract-only data</w:t>
      </w:r>
      <w:r w:rsidR="008D6BD6">
        <w:t>set</w:t>
      </w:r>
      <w:r w:rsidR="00541483">
        <w:t xml:space="preserve"> </w:t>
      </w:r>
      <w:r w:rsidR="004A5F76" w:rsidRPr="004A5F76">
        <w:t>comprised 29,874 distinct plant</w:t>
      </w:r>
      <w:r w:rsidR="00810B28">
        <w:t>-</w:t>
      </w:r>
      <w:r w:rsidR="004A5F76" w:rsidRPr="004A5F76">
        <w:t>fungal interactions extracted from 15,68</w:t>
      </w:r>
      <w:r w:rsidR="008D6BD6">
        <w:t>2</w:t>
      </w:r>
      <w:r w:rsidR="004A5F76" w:rsidRPr="004A5F76">
        <w:t xml:space="preserve"> publications, while the open-access full-text subset yielded 10,248 interactions across 3,0</w:t>
      </w:r>
      <w:r w:rsidR="008D6BD6">
        <w:t>68</w:t>
      </w:r>
      <w:r w:rsidR="004A5F76" w:rsidRPr="004A5F76">
        <w:t xml:space="preserve"> publications. Full-text parsing captured a higher density of records per document (3.34 interactions per paper) compared to abstracts (1.91 interactions per paper), reflecting the omission of fine-scale species tables</w:t>
      </w:r>
      <w:r w:rsidR="00D165C3">
        <w:t xml:space="preserve"> and descriptions</w:t>
      </w:r>
      <w:r w:rsidR="004A5F76" w:rsidRPr="004A5F76">
        <w:t xml:space="preserve"> from</w:t>
      </w:r>
      <w:r w:rsidR="009748C8">
        <w:t xml:space="preserve"> abstracts</w:t>
      </w:r>
      <w:r w:rsidR="004A5F76" w:rsidRPr="004A5F76">
        <w:t>.</w:t>
      </w:r>
      <w:r w:rsidR="001819A0">
        <w:t xml:space="preserve"> T</w:t>
      </w:r>
      <w:r w:rsidR="001819A0" w:rsidRPr="001819A0">
        <w:t>he abstract</w:t>
      </w:r>
      <w:r w:rsidR="00541483">
        <w:t xml:space="preserve">-only dataset </w:t>
      </w:r>
      <w:r w:rsidR="001819A0" w:rsidRPr="001819A0">
        <w:t>captured a higher absolute taxonomic volume, representing 0.69% of known plant species and 1.42% of described fungal taxa, whereas the full-text subset captured 0.35% and 0.66%, respectively.</w:t>
      </w:r>
    </w:p>
    <w:p w14:paraId="1620C119" w14:textId="79565153" w:rsidR="006E12BB" w:rsidRDefault="006E12BB" w:rsidP="003A6160">
      <w:pPr>
        <w:pStyle w:val="BodyText"/>
      </w:pPr>
      <w:r w:rsidRPr="006E12BB">
        <w:t>To</w:t>
      </w:r>
      <w:r>
        <w:t xml:space="preserve"> assess how</w:t>
      </w:r>
      <w:r w:rsidRPr="006E12BB">
        <w:t xml:space="preserve"> these different data</w:t>
      </w:r>
      <w:r w:rsidR="009F179E">
        <w:t>sets</w:t>
      </w:r>
      <w:r w:rsidRPr="006E12BB">
        <w:t xml:space="preserve"> reflect</w:t>
      </w:r>
      <w:r w:rsidR="004531BC">
        <w:t>ed</w:t>
      </w:r>
      <w:r w:rsidRPr="006E12BB">
        <w:t xml:space="preserve"> the knowledge gaps</w:t>
      </w:r>
      <w:r w:rsidR="00FA7DCE">
        <w:t xml:space="preserve"> discussed in this manuscript</w:t>
      </w:r>
      <w:r w:rsidRPr="006E12BB">
        <w:t xml:space="preserve">, we computed the Jaccard similarity index for understudied categories across both </w:t>
      </w:r>
      <w:r w:rsidR="00FA7DCE">
        <w:t>datasets</w:t>
      </w:r>
      <w:r w:rsidRPr="006E12BB">
        <w:t>. The identity of</w:t>
      </w:r>
      <w:r w:rsidR="00FA7DCE">
        <w:t xml:space="preserve"> understudied (n&lt;5)</w:t>
      </w:r>
      <w:r w:rsidRPr="006E12BB">
        <w:t xml:space="preserve"> host taxa was nearly identical between the abstract and full-text data</w:t>
      </w:r>
      <w:r w:rsidR="00FA7DCE">
        <w:t>sets</w:t>
      </w:r>
      <w:r w:rsidRPr="006E12BB">
        <w:t xml:space="preserve">, demonstrating high overlap at the family (Jaccard index = 0.857), genus (0.943), and species (0.994) levels. </w:t>
      </w:r>
      <w:r w:rsidR="00437297" w:rsidRPr="00437297">
        <w:t xml:space="preserve">The overlap of understudied (n &lt; 5) countries was more moderate (0.466), but this is a predictable drop given the absolute reduction in sample size between the </w:t>
      </w:r>
      <w:r w:rsidR="00437297">
        <w:t xml:space="preserve">abstract-only </w:t>
      </w:r>
      <w:r w:rsidR="00FA7DCE">
        <w:t>(n = 15,68</w:t>
      </w:r>
      <w:r w:rsidR="008D6BD6">
        <w:t>2</w:t>
      </w:r>
      <w:r w:rsidR="00FA7DCE">
        <w:t xml:space="preserve">) </w:t>
      </w:r>
      <w:r w:rsidR="00437297">
        <w:t xml:space="preserve">and full-text </w:t>
      </w:r>
      <w:r w:rsidR="00FA7DCE">
        <w:t>(n =</w:t>
      </w:r>
      <w:r w:rsidR="00FA7DCE" w:rsidRPr="004A5F76">
        <w:t xml:space="preserve"> 3,0</w:t>
      </w:r>
      <w:r w:rsidR="008D6BD6">
        <w:t>68</w:t>
      </w:r>
      <w:r w:rsidR="00FA7DCE">
        <w:t xml:space="preserve">) </w:t>
      </w:r>
      <w:r w:rsidR="00437297" w:rsidRPr="00437297">
        <w:lastRenderedPageBreak/>
        <w:t xml:space="preserve">datasets. Despite this, the near-perfect taxonomic consistency </w:t>
      </w:r>
      <w:r w:rsidR="00381A64">
        <w:t>suggest</w:t>
      </w:r>
      <w:r w:rsidR="00DD339F">
        <w:t>ed</w:t>
      </w:r>
      <w:r w:rsidR="00437297" w:rsidRPr="00437297">
        <w:t xml:space="preserve"> that host lineages missing from abstract records </w:t>
      </w:r>
      <w:r w:rsidR="004731A1">
        <w:t xml:space="preserve">were </w:t>
      </w:r>
      <w:r w:rsidR="00437297" w:rsidRPr="00437297">
        <w:t>equally absent from full texts.</w:t>
      </w:r>
    </w:p>
    <w:p w14:paraId="2524F5D4" w14:textId="0AFA2DFF" w:rsidR="002B2FF2" w:rsidRPr="003A6160" w:rsidRDefault="00437297" w:rsidP="003A6160">
      <w:pPr>
        <w:pStyle w:val="BodyText"/>
      </w:pPr>
      <w:r>
        <w:t>C</w:t>
      </w:r>
      <w:r w:rsidR="000F45BE" w:rsidRPr="000F45BE">
        <w:t xml:space="preserve">orrelation testing demonstrated that global structural signals remained robust </w:t>
      </w:r>
      <w:r w:rsidR="008D6BD6">
        <w:t>between the two datasets</w:t>
      </w:r>
      <w:r w:rsidR="000F45BE" w:rsidRPr="000F45BE">
        <w:t>. The dominant socioeconomic predictor discovered in this study</w:t>
      </w:r>
      <w:r w:rsidR="000F45BE">
        <w:t xml:space="preserve"> (</w:t>
      </w:r>
      <w:r w:rsidR="000F45BE" w:rsidRPr="000F45BE">
        <w:t xml:space="preserve">the relationship between log-transformed </w:t>
      </w:r>
      <w:r w:rsidR="008D6BD6">
        <w:t>GDP</w:t>
      </w:r>
      <w:r w:rsidR="000F45BE" w:rsidRPr="000F45BE">
        <w:t xml:space="preserve"> and publication volume</w:t>
      </w:r>
      <w:r w:rsidR="000F45BE">
        <w:t xml:space="preserve">) </w:t>
      </w:r>
      <w:r w:rsidR="000F45BE" w:rsidRPr="000F45BE">
        <w:t xml:space="preserve">was </w:t>
      </w:r>
      <w:r w:rsidR="008D6BD6">
        <w:t>similar</w:t>
      </w:r>
      <w:r w:rsidR="000F45BE" w:rsidRPr="000F45BE">
        <w:t xml:space="preserve"> between the abstract-only </w:t>
      </w:r>
      <w:r w:rsidR="008D6BD6">
        <w:t xml:space="preserve">dataset </w:t>
      </w:r>
      <w:r w:rsidR="002B2FF2" w:rsidRPr="002B2FF2">
        <w:t>(</w:t>
      </w:r>
      <w:r w:rsidR="00343A3C" w:rsidRPr="00343A3C">
        <w:t>Spearman’s ρ=0.78,</w:t>
      </w:r>
      <w:r w:rsidR="008D6BD6">
        <w:t xml:space="preserve"> </w:t>
      </w:r>
      <w:r w:rsidR="00343A3C" w:rsidRPr="00343A3C">
        <w:t>P&lt;0.001</w:t>
      </w:r>
      <w:r w:rsidR="002B2FF2" w:rsidRPr="002B2FF2">
        <w:t>) and the full-text data</w:t>
      </w:r>
      <w:r w:rsidR="008D6BD6">
        <w:t>set</w:t>
      </w:r>
      <w:r w:rsidR="002B2FF2" w:rsidRPr="002B2FF2">
        <w:t xml:space="preserve"> (</w:t>
      </w:r>
      <w:r w:rsidR="00343A3C" w:rsidRPr="00343A3C">
        <w:t>ρ=0.83,</w:t>
      </w:r>
      <w:r w:rsidR="008D6BD6">
        <w:t xml:space="preserve"> </w:t>
      </w:r>
      <w:r w:rsidR="00343A3C" w:rsidRPr="00343A3C">
        <w:t>P&lt;0.001</w:t>
      </w:r>
      <w:r w:rsidR="002B2FF2" w:rsidRPr="002B2FF2">
        <w:t xml:space="preserve">). These results </w:t>
      </w:r>
      <w:r w:rsidR="00CF6977">
        <w:t>support</w:t>
      </w:r>
      <w:r w:rsidR="002B2FF2" w:rsidRPr="002B2FF2">
        <w:t xml:space="preserve"> that abstract-led text mining accurately detect</w:t>
      </w:r>
      <w:r w:rsidR="004A0ECC">
        <w:t>ed</w:t>
      </w:r>
      <w:r w:rsidR="002B2FF2" w:rsidRPr="002B2FF2">
        <w:t xml:space="preserve"> the broader systemic biases operating across the global endophyte literature landscape</w:t>
      </w:r>
      <w:r w:rsidR="00073292">
        <w:t xml:space="preserve"> in this study</w:t>
      </w:r>
      <w:r w:rsidR="002B2FF2" w:rsidRPr="002B2FF2">
        <w:t>.</w:t>
      </w:r>
    </w:p>
    <w:p w14:paraId="25561D48" w14:textId="6D7B959C" w:rsidR="009F4D6D" w:rsidRDefault="00F10295">
      <w:pPr>
        <w:pStyle w:val="Heading2"/>
      </w:pPr>
      <w:r>
        <w:t>Discussion</w:t>
      </w:r>
    </w:p>
    <w:p w14:paraId="35506D9F" w14:textId="0C8A02AE" w:rsidR="002B3A97" w:rsidRPr="002B3A97" w:rsidRDefault="002B3A97" w:rsidP="002B3A97">
      <w:pPr>
        <w:pStyle w:val="FirstParagraph"/>
      </w:pPr>
      <w:r w:rsidRPr="002B3A97">
        <w:t>Our analysis of the global endophyte literature reveals a research landscape that is geographically and taxonomically constrained. The patterns of data availability are not random</w:t>
      </w:r>
      <w:r w:rsidR="00562205">
        <w:t>.</w:t>
      </w:r>
      <w:r w:rsidRPr="002B3A97">
        <w:t xml:space="preserve"> </w:t>
      </w:r>
      <w:r w:rsidR="00562205">
        <w:t>Rather</w:t>
      </w:r>
      <w:r w:rsidRPr="002B3A97">
        <w:t>, they are strongly shaped by socioeconomic factors that are decoupled from the planet’s biological richness</w:t>
      </w:r>
      <w:r w:rsidR="001C1CDC">
        <w:t>, and</w:t>
      </w:r>
      <w:r w:rsidRPr="002B3A97">
        <w:t xml:space="preserve"> </w:t>
      </w:r>
      <w:r w:rsidR="001C1CDC">
        <w:t>t</w:t>
      </w:r>
      <w:r w:rsidRPr="002B3A97">
        <w:t>his uneven distribution has profound implications for the robustness of endophyte ecological theory. Because the current literature is heavily dominated by a few economically vital agricultural grasses (</w:t>
      </w:r>
      <w:r w:rsidRPr="00B71598">
        <w:t>Poaceae</w:t>
      </w:r>
      <w:r w:rsidRPr="002B3A97">
        <w:t xml:space="preserve">) and highly studied </w:t>
      </w:r>
      <w:r w:rsidR="00DF7E34">
        <w:t xml:space="preserve">fungal </w:t>
      </w:r>
      <w:r w:rsidRPr="002B3A97">
        <w:t xml:space="preserve">symbionts like </w:t>
      </w:r>
      <w:r w:rsidRPr="002B3A97">
        <w:rPr>
          <w:i/>
          <w:iCs/>
        </w:rPr>
        <w:t>Epichloë</w:t>
      </w:r>
      <w:r w:rsidRPr="002B3A97">
        <w:t xml:space="preserve">, our foundational frameworks for symbiotic pest defense and mutualism are based on a narrow, agronomic baseline. Extrapolating these models globally leaves the field with </w:t>
      </w:r>
      <w:r w:rsidR="004544A0">
        <w:t>limitations</w:t>
      </w:r>
      <w:r w:rsidRPr="002B3A97">
        <w:t xml:space="preserve"> regarding how symbioses operate in hyper-diverse natural ecosystems or tropical plant lineages.</w:t>
      </w:r>
    </w:p>
    <w:p w14:paraId="74EF1FB7" w14:textId="2E8708EA" w:rsidR="002B3A97" w:rsidRPr="002B3A97" w:rsidRDefault="0069316B" w:rsidP="002B3A97">
      <w:pPr>
        <w:pStyle w:val="FirstParagraph"/>
      </w:pPr>
      <w:r>
        <w:t>T</w:t>
      </w:r>
      <w:r w:rsidR="002B3A97" w:rsidRPr="002B3A97">
        <w:t xml:space="preserve">his socioeconomic and functional skew necessitates a critical re-evaluation of how we interpret ubiquity in the context of global sampling effort. As anticipated by our initial </w:t>
      </w:r>
      <w:r w:rsidR="005E4541">
        <w:t>prediction</w:t>
      </w:r>
      <w:r w:rsidR="002B3A97" w:rsidRPr="002B3A97">
        <w:t>, these findings demonstrate that while the ubiquity claim is a recurring theme across the literature, the globally aggregated evidence base remains heavily constrained and insufficient to support unqualified ecological generalizations.</w:t>
      </w:r>
      <w:r>
        <w:t xml:space="preserve"> </w:t>
      </w:r>
      <w:r w:rsidR="000F79DA" w:rsidRPr="000F79DA">
        <w:t>Rather than asserting absolute global ubiquity, the available data support a more precise conclusion: every plant lineage examined to date has been found to host fungal endophytes</w:t>
      </w:r>
      <w:r w:rsidR="000F79DA">
        <w:t>.</w:t>
      </w:r>
    </w:p>
    <w:p w14:paraId="25561D4A" w14:textId="77777777" w:rsidR="009F4D6D" w:rsidRDefault="00F10295">
      <w:pPr>
        <w:pStyle w:val="Heading3"/>
      </w:pPr>
      <w:bookmarkStart w:id="23" w:name="interpreting-the-evidence-gaps"/>
      <w:r>
        <w:t>Interpreting the Evidence Gaps</w:t>
      </w:r>
    </w:p>
    <w:p w14:paraId="766084B1" w14:textId="36B9A739" w:rsidR="00AC49D1" w:rsidRPr="00AC49D1" w:rsidRDefault="00AC49D1" w:rsidP="00AC49D1">
      <w:pPr>
        <w:pStyle w:val="BodyText"/>
      </w:pPr>
      <w:bookmarkStart w:id="24" w:name="ecological-implications-of-sampling-bias"/>
      <w:bookmarkEnd w:id="23"/>
      <w:r w:rsidRPr="00AC49D1">
        <w:t>A primary finding of our study is the existence of a substantial evidence gap, with a high proportion of countries, biomes, and plant taxa represented by fewer than five recorded fungal endophyte studies in our analysis. At this threshold (n &lt; 5), study-level variance</w:t>
      </w:r>
      <w:r>
        <w:t xml:space="preserve"> </w:t>
      </w:r>
      <w:r w:rsidRPr="00AC49D1">
        <w:t xml:space="preserve">becomes indistinguishable from true biological patterns, rendering regional extrapolations invalid. In these data-starved regions, fundamental ecological inferences including estimates of host specificity, microbial endemism, and community assembly rules become ungrounded. </w:t>
      </w:r>
      <w:r w:rsidR="00A50110">
        <w:t>As a result</w:t>
      </w:r>
      <w:r w:rsidRPr="00AC49D1">
        <w:t xml:space="preserve">, it is </w:t>
      </w:r>
      <w:r>
        <w:t>difficult</w:t>
      </w:r>
      <w:r w:rsidRPr="00AC49D1">
        <w:t xml:space="preserve"> to verify </w:t>
      </w:r>
      <w:r w:rsidR="00A50110" w:rsidRPr="00A50110">
        <w:t>whether understudied tropical ecosystems harbor distinct endophyte community structures or functional roles that are absent from temperate zones</w:t>
      </w:r>
      <w:r w:rsidRPr="00AC49D1">
        <w:t>.</w:t>
      </w:r>
    </w:p>
    <w:p w14:paraId="67F98D6A" w14:textId="704303E5" w:rsidR="00710CFF" w:rsidRPr="00710CFF" w:rsidRDefault="00AC49D1" w:rsidP="00710CFF">
      <w:pPr>
        <w:pStyle w:val="BodyText"/>
      </w:pPr>
      <w:r w:rsidRPr="00AC49D1">
        <w:t xml:space="preserve">This data scarcity is most apparent at the taxonomic level. Despite aggregating decades of research across 18,750 publications, the combined record captures only 0.69% of known </w:t>
      </w:r>
      <w:r w:rsidRPr="00AC49D1">
        <w:lastRenderedPageBreak/>
        <w:t>plant species and 1.42% of described fungal taxa. Because early-diverging, non-vascular lineages such as bryophytes are almost entirely neglected in this record, our current understanding of how plant</w:t>
      </w:r>
      <w:r>
        <w:t>-</w:t>
      </w:r>
      <w:r w:rsidRPr="00AC49D1">
        <w:t>fungal symbioses originated and evolved remains fundamentally skewed toward vascular tracheophytes.</w:t>
      </w:r>
      <w:r w:rsidR="00FD7CC1">
        <w:t xml:space="preserve"> For example,</w:t>
      </w:r>
      <w:r w:rsidR="00FD7CC1" w:rsidRPr="003A36D0">
        <w:t xml:space="preserve"> we find </w:t>
      </w:r>
      <w:r w:rsidR="000B4417">
        <w:t>fewer</w:t>
      </w:r>
      <w:r w:rsidR="00223863">
        <w:t xml:space="preserve"> than five studies on fungal endophytes of bryophytes in South America</w:t>
      </w:r>
      <w:r w:rsidR="00FD7CC1" w:rsidRPr="003A36D0">
        <w:t xml:space="preserve">, despite </w:t>
      </w:r>
      <w:r w:rsidR="00223863">
        <w:t>the region</w:t>
      </w:r>
      <w:r w:rsidR="00FD7CC1" w:rsidRPr="003A36D0">
        <w:t xml:space="preserve"> possessing high non-vascular plant diversity</w:t>
      </w:r>
      <w:r w:rsidR="00FD7CC1">
        <w:t xml:space="preserve"> </w:t>
      </w:r>
      <w:r w:rsidR="00FD7CC1">
        <w:fldChar w:fldCharType="begin"/>
      </w:r>
      <w:r w:rsidR="00FD7CC1">
        <w:instrText xml:space="preserve"> ADDIN ZOTERO_ITEM CSL_CITATION {"citationID":"CId5mcgQ","properties":{"unsorted":false,"formattedCitation":"(Renvoize {\\i{}et al.}, 2000; Soto {\\i{}et al.}, 2023)","plainCitation":"(Renvoize et al., 2000; Soto et al., 2023)","noteIndex":0},"citationItems":[{"id":46632,"uris":["http://zotero.org/users/6275788/items/745PVKQH"],"itemData":{"id":46632,"type":"article-journal","container-title":"Kew Bulletin","DOI":"10.2307/4113659","ISSN":"00755974","issue":"4","journalAbbreviation":"Kew Bulletin","page":"1017","source":"DOI.org (Crossref)","title":"Paramos: A Checklist of Plant Diversity, Geographical Distribution, and Botanical Literature (Memoirs of the New York Botanical Garden Volume 84)","title-short":"Paramos","volume":"55","author":[{"family":"Renvoize","given":"Steve"},{"family":"Luteyn","given":"James L."},{"family":"Churchill","given":"Steven P."},{"family":"Iii","given":"Dana Griffin"},{"family":"Gradstein","given":"S. Rob"},{"family":"Sipman","given":"Harrie J. M."},{"family":"A.","given":"Mauricio R. Gavilanes"}],"issued":{"date-parts":[["2000"]]}}},{"id":46631,"uris":["http://zotero.org/users/6275788/items/ZL6XH5SD"],"itemData":{"id":46631,"type":"article-journal","abstract":"Introduction: Epiphytes (vascular and non-vascular) are one of the most diverse groups in the Neotropics, but despite their importance in the functioning of many ecosystems, much of their taxonomy and ecology is still unknown in the dry forest of Colombia.\nObjective: To compare the diversity patterns and species composition of vascular and non-vascular epiphytes along tropical dry forest remnants of Cauca Valley, Colombia.\nMethods: Ten permanent plots (50 x 20 m2) were established in tropical dry forest remnants. The epiphytes were sampled in 40-50 trees per plot. Alpha and gamma diversity were calculated using the richness (q0) and Shannon index (q1) (alpha was estimated as the average for phorophytes). Beta diversity was measured using the Whitaker index. To evaluate the relationship between diversities and environmental variables, GLM analysis was used.\nResults: We found 50 morphospecies of vascular epiphytes, 77 of bryophytes and 290 of lichens. The </w:instrText>
      </w:r>
      <w:r w:rsidR="00FD7CC1">
        <w:rPr>
          <w:rFonts w:ascii="Cambria Math" w:hAnsi="Cambria Math" w:cs="Cambria Math"/>
        </w:rPr>
        <w:instrText>𝛼</w:instrText>
      </w:r>
      <w:r w:rsidR="00FD7CC1">
        <w:instrText xml:space="preserve"> and </w:instrText>
      </w:r>
      <w:r w:rsidR="00FD7CC1">
        <w:rPr>
          <w:rFonts w:ascii="Cambria Math" w:hAnsi="Cambria Math" w:cs="Cambria Math"/>
        </w:rPr>
        <w:instrText>𝛾</w:instrText>
      </w:r>
      <w:r w:rsidR="00FD7CC1">
        <w:instrText xml:space="preserve"> diversity of bryophytes from each remnant was significantly explained by temperature. The abundance of lichens per tree was significantly related with the DBH and tree height of each remnant. The </w:instrText>
      </w:r>
      <w:r w:rsidR="00FD7CC1">
        <w:rPr>
          <w:rFonts w:ascii="Cambria Math" w:hAnsi="Cambria Math" w:cs="Cambria Math"/>
        </w:rPr>
        <w:instrText>𝛼</w:instrText>
      </w:r>
      <w:r w:rsidR="00FD7CC1">
        <w:instrText xml:space="preserve"> diversity of vascular epiphytes shown can be explained by temperature and precipitation. The </w:instrText>
      </w:r>
      <w:r w:rsidR="00FD7CC1">
        <w:rPr>
          <w:rFonts w:ascii="Cambria Math" w:hAnsi="Cambria Math" w:cs="Cambria Math"/>
        </w:rPr>
        <w:instrText>𝛾</w:instrText>
      </w:r>
      <w:r w:rsidR="00FD7CC1">
        <w:instrText xml:space="preserve"> diversity was strongly influenced by the beta diversity in bryophytes and lichens. This pattern is because the sites with high disturbance present a lower diversity, as a consequence of a homogenizing effect, that is, a low turnover of species between sampling units.\nConclusions: Precipitation and temperature affected the diversity of bryophytes and vascular epiphytes, while it did not show a relationship with the lichen’s diversity, for which there is not a high congruence between the diversity and composition of these epiphytes.","container-title":"Revista de Biología Tropical","DOI":"10.15517/rev.biol.trop..v71i1.53522","ISSN":"2215-2075, 0034-7744","issue":"1","journalAbbreviation":"Rev. Biol. Trop.","language":"en","license":"http://creativecommons.org/licenses/by/4.0","page":"e53522","source":"DOI.org (Crossref)","title":"Diversity patterns of vascular and non-vascular epiphytes along tropical dry forest","volume":"71","author":[{"family":"Soto","given":"Edier"},{"family":"Montoya","given":"Catalina"},{"family":"Castaño","given":"Alejandro"},{"family":"Granobles","given":"Jonathan"}],"issued":{"date-parts":[["2023",10,30]]}}}],"schema":"https://github.com/citation-style-language/schema/raw/master/csl-citation.json"} </w:instrText>
      </w:r>
      <w:r w:rsidR="00FD7CC1">
        <w:fldChar w:fldCharType="separate"/>
      </w:r>
      <w:r w:rsidR="00FD7CC1" w:rsidRPr="00280C8C">
        <w:rPr>
          <w:rFonts w:ascii="Aptos" w:hAnsi="Aptos" w:cs="Times New Roman"/>
        </w:rPr>
        <w:t xml:space="preserve">(Renvoize </w:t>
      </w:r>
      <w:r w:rsidR="00FD7CC1" w:rsidRPr="00280C8C">
        <w:rPr>
          <w:rFonts w:ascii="Aptos" w:hAnsi="Aptos" w:cs="Times New Roman"/>
          <w:i/>
          <w:iCs/>
        </w:rPr>
        <w:t>et al.</w:t>
      </w:r>
      <w:r w:rsidR="00FD7CC1" w:rsidRPr="00280C8C">
        <w:rPr>
          <w:rFonts w:ascii="Aptos" w:hAnsi="Aptos" w:cs="Times New Roman"/>
        </w:rPr>
        <w:t xml:space="preserve">, 2000; Soto </w:t>
      </w:r>
      <w:r w:rsidR="00FD7CC1" w:rsidRPr="00280C8C">
        <w:rPr>
          <w:rFonts w:ascii="Aptos" w:hAnsi="Aptos" w:cs="Times New Roman"/>
          <w:i/>
          <w:iCs/>
        </w:rPr>
        <w:t>et al.</w:t>
      </w:r>
      <w:r w:rsidR="00FD7CC1" w:rsidRPr="00280C8C">
        <w:rPr>
          <w:rFonts w:ascii="Aptos" w:hAnsi="Aptos" w:cs="Times New Roman"/>
        </w:rPr>
        <w:t>, 2023)</w:t>
      </w:r>
      <w:r w:rsidR="00FD7CC1">
        <w:fldChar w:fldCharType="end"/>
      </w:r>
      <w:r w:rsidR="00FD7CC1" w:rsidRPr="003A36D0">
        <w:t>.</w:t>
      </w:r>
      <w:r w:rsidRPr="00AC49D1">
        <w:t xml:space="preserve"> These gaps reveal a disconnect between research effort and biodiversity patterns. </w:t>
      </w:r>
      <w:r>
        <w:t>I</w:t>
      </w:r>
      <w:r w:rsidRPr="00AC49D1">
        <w:t>nstead of charting true biological boundaries, current field-level generalizations mirror wealthy sampling footprints, rendering claims about global fungal distribution and function highly speculative.</w:t>
      </w:r>
    </w:p>
    <w:p w14:paraId="25561D4C" w14:textId="2A195FF7" w:rsidR="009F4D6D" w:rsidRDefault="00F10295">
      <w:pPr>
        <w:pStyle w:val="Heading3"/>
      </w:pPr>
      <w:r>
        <w:t>Ecological Implications of Sampling Bias</w:t>
      </w:r>
    </w:p>
    <w:p w14:paraId="25561D4D" w14:textId="4F91563A" w:rsidR="009F4D6D" w:rsidRDefault="00F10295">
      <w:pPr>
        <w:pStyle w:val="FirstParagraph"/>
      </w:pPr>
      <w:r>
        <w:t xml:space="preserve">The concentration of research in temperate, high-GDP nations has significant ecological consequences. Fungal biogeography is structured by </w:t>
      </w:r>
      <w:r w:rsidR="00591E22" w:rsidRPr="00591E22">
        <w:t>environmental gradients, evolutionary history, and dispersal limitations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xml:space="preserve">. </w:t>
      </w:r>
      <w:r w:rsidR="00563E2D" w:rsidRPr="00563E2D">
        <w:t>Impactful studies on tropical fungal endophytes</w:t>
      </w:r>
      <w:r w:rsidR="008C2033">
        <w:t xml:space="preserve"> (e.g. </w:t>
      </w:r>
      <w:r w:rsidR="008C2033">
        <w:fldChar w:fldCharType="begin"/>
      </w:r>
      <w:r w:rsidR="008C2033">
        <w:instrText xml:space="preserve"> ADDIN ZOTERO_ITEM CSL_CITATION {"citationID":"ix2OObPB","properties":{"unsorted":false,"formattedCitation":"(Arnold {\\i{}et al.}, 2000; Arnold &amp; Lutzoni, 2007)","plainCitation":"(Arnold et al., 2000; Arnold &amp; Lutzoni, 2007)","noteIndex":0},"citationItems":[{"id":3852,"uris":["http://zotero.org/users/6275788/items/BS299CIX"],"itemData":{"id":3852,"type":"article-journal","abstract":"Fungal endophytes are ubiquitous fungi that inhabit healthy plant tissues without causing disease. Endophytes have been found in every plant species examined to date and may be important, but often overlooked, components of fungal biodiversity. In two sites in a lowland, moist tropical forest of central Panama, we quantified endophyte colonization patterns, richness, host preference, and spatial variation in healthy leaves of two co-occurring, understory tree species [Heisteria concinna (Olacaceae) and Ouratea lucens (Ochnaceae)]. From 83 leaves, all of which were colonized by endophytes, we isolated 418 endophyte morphospecies (estimated 347 genetically distinct taxa), most of which were represented by only a single isolate (59%). Among morphospecies encountered in more than one leaf (nonsingletons), we found evidence of host preference and spatial heterogeneity using both morphospecies frequencies and presence/absence records. Based on these data, we postulate that tropical endophytes themselves may be hyperdiverse and suggest that extrapolative estimates that exclude them will markedly underestimate fungal species diversity.","archive_location":"WOS:000088697800004","container-title":"Ecology Letters","DOI":"10.1046/j.1461-0248.2000.00159.x","ISSN":"1461-023X","issue":"4","page":"267-274","title":"Are tropical fungal endophytes hyperdiverse?","volume":"3","author":[{"family":"Arnold","given":"AE"},{"family":"Maynard","given":"Z"},{"family":"Gilbert","given":"GS"},{"family":"Coley","given":"PD"},{"family":"Kursar","given":"TA"}],"issued":{"date-parts":[["2000",7]]}}},{"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hotspots?","volume":"88","author":[{"family":"Arnold","given":"AE"},{"family":"Lutzoni","given":"F"}],"issued":{"date-parts":[["2007",3]]}}}],"schema":"https://github.com/citation-style-language/schema/raw/master/csl-citation.json"} </w:instrText>
      </w:r>
      <w:r w:rsidR="008C2033">
        <w:fldChar w:fldCharType="separate"/>
      </w:r>
      <w:r w:rsidR="00E72E82" w:rsidRPr="00E72E82">
        <w:rPr>
          <w:rFonts w:ascii="Aptos" w:hAnsi="Aptos" w:cs="Times New Roman"/>
        </w:rPr>
        <w:t xml:space="preserve">(Arnold </w:t>
      </w:r>
      <w:r w:rsidR="00E72E82" w:rsidRPr="00E72E82">
        <w:rPr>
          <w:rFonts w:ascii="Aptos" w:hAnsi="Aptos" w:cs="Times New Roman"/>
          <w:i/>
          <w:iCs/>
        </w:rPr>
        <w:t>et al.</w:t>
      </w:r>
      <w:r w:rsidR="00E72E82" w:rsidRPr="00E72E82">
        <w:rPr>
          <w:rFonts w:ascii="Aptos" w:hAnsi="Aptos" w:cs="Times New Roman"/>
        </w:rPr>
        <w:t>, 2000; Arnold &amp; Lutzoni, 2007)</w:t>
      </w:r>
      <w:r w:rsidR="008C2033">
        <w:fldChar w:fldCharType="end"/>
      </w:r>
      <w:r w:rsidR="003F7222">
        <w:t xml:space="preserve"> </w:t>
      </w:r>
      <w:r w:rsidR="00563E2D" w:rsidRPr="00563E2D">
        <w:t>demonstrate the value of this work, yet they remain exceptions to the broader global pattern. Expanding research into these high-biodiversity ecosystems represents an opportunity to understand the full spectrum of endophyte symbioses.</w:t>
      </w:r>
    </w:p>
    <w:p w14:paraId="7BDCA090" w14:textId="77777777" w:rsidR="0020201F" w:rsidRDefault="0020201F" w:rsidP="0020201F">
      <w:pPr>
        <w:pStyle w:val="Style1"/>
      </w:pPr>
      <w:r w:rsidRPr="00EF7681">
        <w:t xml:space="preserve">The Functional Continuum: Beyond Benign Ubiquity </w:t>
      </w:r>
    </w:p>
    <w:p w14:paraId="67D582CA" w14:textId="7C327912" w:rsidR="00011A2C" w:rsidRPr="00011A2C" w:rsidRDefault="00011A2C" w:rsidP="00011A2C">
      <w:pPr>
        <w:pStyle w:val="BodyText"/>
      </w:pPr>
      <w:r w:rsidRPr="00011A2C">
        <w:t>Beyond constraints in geographic and taxonomic sampling, our dataset reveals a functional skew in the literature. The classification of interaction types revealed that 35.1% of the plant-fungal associations in the dataset focused explicitly on pathology, which is in contrast to the classical definition of endophytes as strictly asymptomatic</w:t>
      </w:r>
      <w:r w:rsidR="005D12C3">
        <w:t xml:space="preserve"> </w:t>
      </w:r>
      <w:r w:rsidR="005D12C3">
        <w:fldChar w:fldCharType="begin"/>
      </w:r>
      <w:r w:rsidR="005D12C3">
        <w:instrText xml:space="preserve"> ADDIN ZOTERO_ITEM CSL_CITATION {"citationID":"jQqxv55m","properties":{"unsorted":false,"formattedCitation":"(Carroll, 1988; Cosner {\\i{}et al.}, 2025)","plainCitation":"(Carroll, 1988; Cosner et al., 2025)","noteIndex":0},"citationItems":[{"id":46674,"uris":["http://zotero.org/users/6275788/items/KSFPFGCE"],"itemData":{"id":46674,"type":"article-journal","abstract":"Endophytes are fungi that form inapparent infections within leaves and stems of healthy plants. Closely related to virulent pathogens but with limited, if any, pathogenic effects themselves, many endophytes protect host plants from natural enemies. Animal herbivores and, in some cases, pathogenic microbes are poisoned by the mycotoxins produced by endophytes. \"Constitutive mutualism\" is the relatively faithful association, usually with grasses, of endophytes that infect host ovules and are propagated in host seed; substantial fungal biomass with probable high metabolic cost develops throughout the aerial parts of the host plant. \"Inducible mutualist\" endophytes are not involved with host seed and disseminate independently through air or in water. Infecting only vegetative parts of the host and remaining metabolically inactive for long periods with relatively little fungal biomass, inducible mutualists grow rapidly and produce toxins against herbivores when damaged host tissues provide new sites for infection. I surmise that endophytes may be as common among plants as are mycorrhyzae.","container-title":"Ecology","DOI":"10.2307/1943154","ISSN":"0012-9658, 1939-9170","issue":"1","journalAbbreviation":"Ecology","language":"en","license":"http://onlinelibrary.wiley.com/termsAndConditions#vor","page":"2-9","source":"DOI.org (Crossref)","title":"Fungal Endophytes in Stems and Leaves: From Latent Pathogen to Mutualistic Symbiont","title-short":"Fungal Endophytes in Stems and Leaves","volume":"69","author":[{"family":"Carroll","given":"George"}],"issued":{"date-parts":[["1988",2]]}}},{"id":45197,"uris":["http://zotero.org/users/6275788/items/YBQYRHRS"],"itemData":{"id":45197,"type":"article-journal","container-title":"Current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A."},{"family":"Vilgalys","given":"Rytas"},{"family":"Veneault-Fourrey","given":"Claire"}],"issued":{"date-parts":[["2025",10]]}}}],"schema":"https://github.com/citation-style-language/schema/raw/master/csl-citation.json"} </w:instrText>
      </w:r>
      <w:r w:rsidR="005D12C3">
        <w:fldChar w:fldCharType="separate"/>
      </w:r>
      <w:r w:rsidR="005D12C3" w:rsidRPr="005D12C3">
        <w:rPr>
          <w:rFonts w:ascii="Aptos" w:hAnsi="Aptos" w:cs="Times New Roman"/>
        </w:rPr>
        <w:t xml:space="preserve">(Carroll, 1988; Cosner </w:t>
      </w:r>
      <w:r w:rsidR="005D12C3" w:rsidRPr="005D12C3">
        <w:rPr>
          <w:rFonts w:ascii="Aptos" w:hAnsi="Aptos" w:cs="Times New Roman"/>
          <w:i/>
          <w:iCs/>
        </w:rPr>
        <w:t>et al.</w:t>
      </w:r>
      <w:r w:rsidR="005D12C3" w:rsidRPr="005D12C3">
        <w:rPr>
          <w:rFonts w:ascii="Aptos" w:hAnsi="Aptos" w:cs="Times New Roman"/>
        </w:rPr>
        <w:t>, 2025)</w:t>
      </w:r>
      <w:r w:rsidR="005D12C3">
        <w:fldChar w:fldCharType="end"/>
      </w:r>
      <w:r w:rsidRPr="00011A2C">
        <w:t>. Rather than forcing complex plant-fungal interactions into rigid, asymptomatic definitions, future syntheses should explicitly embrace this functional fluidity.</w:t>
      </w:r>
    </w:p>
    <w:p w14:paraId="5626F3F0" w14:textId="77777777" w:rsidR="00F151AC" w:rsidRPr="00F151AC" w:rsidRDefault="00011A2C" w:rsidP="00F151AC">
      <w:pPr>
        <w:pStyle w:val="BodyText"/>
      </w:pPr>
      <w:r w:rsidRPr="00011A2C">
        <w:t>The blurring of boundaries with mycorrhizal research further illustrates this point, with 10.3% of the interactions captured under endophyte search criteria explicitly involving mycorrhizal contexts. This overlap reflects literature where fungi classified as mycorrhizal are simultaneously discussed as endophytes due to overlapping spatial definitions of intra-radical colonization. As established by others</w:t>
      </w:r>
      <w:r w:rsidR="00EC6E37">
        <w:t xml:space="preserve"> </w:t>
      </w:r>
      <w:r w:rsidR="00EC6E37">
        <w:fldChar w:fldCharType="begin"/>
      </w:r>
      <w:r w:rsidR="00EC6E37">
        <w:instrText xml:space="preserve"> ADDIN ZOTERO_ITEM CSL_CITATION {"citationID":"GmqmzobQ","properties":{"unsorted":false,"formattedCitation":"(Jumpponen,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EC6E37">
        <w:fldChar w:fldCharType="separate"/>
      </w:r>
      <w:r w:rsidR="00EC6E37" w:rsidRPr="00EC6E37">
        <w:rPr>
          <w:rFonts w:ascii="Aptos" w:hAnsi="Aptos"/>
        </w:rPr>
        <w:t>(Jumpponen, 2001; Schulz &amp; Boyle, 2005; Mandyam &amp; Jumpponen, 2015)</w:t>
      </w:r>
      <w:r w:rsidR="00EC6E37">
        <w:fldChar w:fldCharType="end"/>
      </w:r>
      <w:r w:rsidR="0020201F" w:rsidRPr="00E86108">
        <w:t>,</w:t>
      </w:r>
      <w:r w:rsidR="00C0654D" w:rsidRPr="00C0654D">
        <w:t xml:space="preserve"> </w:t>
      </w:r>
      <w:r w:rsidR="00F151AC" w:rsidRPr="00F151AC">
        <w:t xml:space="preserve">the endophytic state is not a monophyletic grouping but a life history trait describing fungi living inside a plant, a state that frequently </w:t>
      </w:r>
      <w:r w:rsidR="00F151AC" w:rsidRPr="00F151AC">
        <w:lastRenderedPageBreak/>
        <w:t>transitions into pathogenicity or mutualism depending on environmental context and host senescence.</w:t>
      </w:r>
    </w:p>
    <w:p w14:paraId="5BD9112A" w14:textId="6EC0EE0A" w:rsidR="00F151AC" w:rsidRDefault="00F151AC" w:rsidP="00F151AC">
      <w:pPr>
        <w:pStyle w:val="BodyText"/>
      </w:pPr>
      <w:r w:rsidRPr="00F151AC">
        <w:t>These patterns suggest that researchers are already implicitly treating 'endophyte' as a locational descriptor rather than a functional one. This is consistent with the word's etymology: 'endophyte' describes a spatial relationship rather than a functional outcome. While</w:t>
      </w:r>
      <w:r w:rsidR="00BD5571">
        <w:t xml:space="preserve"> </w:t>
      </w:r>
      <w:r w:rsidR="00BD5571">
        <w:fldChar w:fldCharType="begin"/>
      </w:r>
      <w:r w:rsidR="001538B6">
        <w:instrText xml:space="preserve"> ADDIN ZOTERO_ITEM CSL_CITATION {"citationID":"7BSZzPTA","properties":{"unsorted":false,"formattedCitation":"(Rodriguez {\\i{}et al.}, 2009)","plainCitation":"(Rodriguez et al., 2009)","noteIndex":0},"citationItems":[{"id":38514,"uris":["http://zotero.org/users/6275788/items/GLVZWQTP"],"itemData":{"id":38514,"type":"article-journal","container-title":"New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S."}],"issued":{"date-parts":[["2009",4]]}}}],"schema":"https://github.com/citation-style-language/schema/raw/master/csl-citation.json"} </w:instrText>
      </w:r>
      <w:r w:rsidR="00BD5571">
        <w:fldChar w:fldCharType="separate"/>
      </w:r>
      <w:r w:rsidR="001538B6" w:rsidRPr="001538B6">
        <w:rPr>
          <w:rFonts w:ascii="Aptos" w:hAnsi="Aptos" w:cs="Times New Roman"/>
        </w:rPr>
        <w:t xml:space="preserve">(Rodriguez </w:t>
      </w:r>
      <w:r w:rsidR="001538B6" w:rsidRPr="001538B6">
        <w:rPr>
          <w:rFonts w:ascii="Aptos" w:hAnsi="Aptos" w:cs="Times New Roman"/>
          <w:i/>
          <w:iCs/>
        </w:rPr>
        <w:t>et al.</w:t>
      </w:r>
      <w:r w:rsidR="001538B6" w:rsidRPr="001538B6">
        <w:rPr>
          <w:rFonts w:ascii="Aptos" w:hAnsi="Aptos" w:cs="Times New Roman"/>
        </w:rPr>
        <w:t>, 2009)</w:t>
      </w:r>
      <w:r w:rsidR="00BD5571">
        <w:fldChar w:fldCharType="end"/>
      </w:r>
      <w:r w:rsidRPr="00F151AC">
        <w:t xml:space="preserve"> distinguish endophytes from mycorrhizal fungi on functional grounds, this distinction is difficult to maintain spatially, as mycorrhizal colonization of root tissue is an intra-tissue relationship. We argue that the field would benefit from formalizing a locational definition </w:t>
      </w:r>
      <w:r w:rsidR="005A3488">
        <w:t>(</w:t>
      </w:r>
      <w:r w:rsidRPr="00F151AC">
        <w:t>fungi residing within plant tissues regardless of functional guild</w:t>
      </w:r>
      <w:r w:rsidR="005A3488">
        <w:t>)</w:t>
      </w:r>
      <w:r w:rsidRPr="00F151AC">
        <w:t xml:space="preserve"> and retiring the asymptomatic qualifier that the literature demonstrably does not apply consistently </w:t>
      </w:r>
      <w:r>
        <w:fldChar w:fldCharType="begin"/>
      </w:r>
      <w:r>
        <w:instrText xml:space="preserve"> ADDIN ZOTERO_ITEM CSL_CITATION {"citationID":"Cb0Ch02z","properties":{"unsorted":false,"formattedCitation":"(Hardoim {\\i{}et al.}, 2015)","plainCitation":"(Hardoim et al., 2015)","noteIndex":0},"citationItems":[{"id":46673,"uris":["http://zotero.org/users/6275788/items/U6BQ3W5J"],"itemData":{"id":46673,"type":"article-journal","abstract":"All plants are inhabited internally by diverse microbial communities comprising bacterial, archaeal, fungal, and protistic taxa. These microorganisms showing endophytic lifestyles play crucial roles in plant development, growth, ﬁtness, and diversiﬁcation. The increasing awareness of and information on endophytes provide insight into the complexity of the plant microbiome. The nature of plant-endophyte interactions ranges from mutualism to pathogenicity. This depends on a set of abiotic and biotic factors, including the genotypes of plants and microbes, environmental conditions, and the dynamic network of interactions within the plant biome. In this review, we address the concept of endophytism, considering the latest insights into evolution, plant ecosystem functioning, and multipartite interactions.","container-title":"Microbiology and Molecular Biology Reviews","DOI":"10.1128/MMBR.00050-14","ISSN":"1092-2172, 1098-5557","issue":"3","journalAbbreviation":"Microbiol Mol Biol Rev","language":"en","page":"293-320","source":"DOI.org (Crossref)","title":"The Hidden World within Plants: Ecological and Evolutionary Considerations for Defining Functioning of Microbial Endophytes","title-short":"The Hidden World within Plants","volume":"79","author":[{"family":"Hardoim","given":"Pablo R."},{"family":"Van Overbeek","given":"Leonard S."},{"family":"Berg","given":"Gabriele"},{"family":"Pirttilä","given":"Anna Maria"},{"family":"Compant","given":"Stéphane"},{"family":"Campisano","given":"Andrea"},{"family":"Döring","given":"Matthias"},{"family":"Sessitsch","given":"Angela"}],"issued":{"date-parts":[["2015",9]]}}}],"schema":"https://github.com/citation-style-language/schema/raw/master/csl-citation.json"} </w:instrText>
      </w:r>
      <w:r>
        <w:fldChar w:fldCharType="separate"/>
      </w:r>
      <w:r w:rsidRPr="00E72E82">
        <w:rPr>
          <w:rFonts w:ascii="Aptos" w:hAnsi="Aptos" w:cs="Times New Roman"/>
        </w:rPr>
        <w:t xml:space="preserve">(Hardoim </w:t>
      </w:r>
      <w:r w:rsidRPr="00E72E82">
        <w:rPr>
          <w:rFonts w:ascii="Aptos" w:hAnsi="Aptos" w:cs="Times New Roman"/>
          <w:i/>
          <w:iCs/>
        </w:rPr>
        <w:t>et al.</w:t>
      </w:r>
      <w:r w:rsidRPr="00E72E82">
        <w:rPr>
          <w:rFonts w:ascii="Aptos" w:hAnsi="Aptos" w:cs="Times New Roman"/>
        </w:rPr>
        <w:t>, 2015)</w:t>
      </w:r>
      <w:r>
        <w:fldChar w:fldCharType="end"/>
      </w:r>
      <w:r w:rsidRPr="00F151AC">
        <w:t>. Meaningful functional distinctions are better captured by explicit guild classifications (pathogen, mutualist, mycorrhizal, saprotroph) than by definitional restrictions on the term 'endophyte' itself. A consistent definition would also reduce the bibliometric fragmentation documented here, where the same biological interaction is classified differently depending on the author's framing.</w:t>
      </w:r>
    </w:p>
    <w:p w14:paraId="566F84CC" w14:textId="77777777" w:rsidR="009737D0" w:rsidRDefault="009737D0" w:rsidP="003A36D0">
      <w:pPr>
        <w:pStyle w:val="BodyText"/>
        <w:rPr>
          <w:rFonts w:eastAsiaTheme="majorEastAsia" w:cstheme="majorBidi"/>
          <w:color w:val="0F4761" w:themeColor="accent1" w:themeShade="BF"/>
          <w:sz w:val="28"/>
          <w:szCs w:val="28"/>
        </w:rPr>
      </w:pPr>
      <w:bookmarkStart w:id="25" w:name="X6e474aebd9916d91616fed83507395dbc2487f9"/>
      <w:bookmarkEnd w:id="24"/>
      <w:r w:rsidRPr="009737D0">
        <w:rPr>
          <w:rFonts w:eastAsiaTheme="majorEastAsia" w:cstheme="majorBidi"/>
          <w:color w:val="0F4761" w:themeColor="accent1" w:themeShade="BF"/>
          <w:sz w:val="28"/>
          <w:szCs w:val="28"/>
        </w:rPr>
        <w:t>Economic Capacity Drives Global Research Disparities</w:t>
      </w:r>
    </w:p>
    <w:p w14:paraId="18B4D1A4" w14:textId="40A30D00" w:rsidR="00D041AD" w:rsidRDefault="00787A40" w:rsidP="003A36D0">
      <w:pPr>
        <w:pStyle w:val="BodyText"/>
      </w:pPr>
      <w:r w:rsidRPr="00735C24">
        <w:t>Restricting fieldwork to wealthy, temperate nations creates a systematic data-deficit that leaves an immense repository of fungal novelty undiscovered</w:t>
      </w:r>
      <w:r w:rsidRPr="003A36D0">
        <w:t xml:space="preserve"> </w:t>
      </w:r>
      <w:r>
        <w:fldChar w:fldCharType="begin"/>
      </w:r>
      <w:r>
        <w:instrText xml:space="preserve"> ADDIN ZOTERO_ITEM CSL_CITATION {"citationID":"OLcqImLm","properties":{"unsorted":false,"formattedCitation":"(Newman &amp; Cragg, 2012)","plainCitation":"(Newman &amp; Cragg, 2012)","noteIndex":0},"citationItems":[{"id":45209,"uris":["http://zotero.org/users/6275788/items/KEMU4CY2"],"itemData":{"id":45209,"type":"article-journal","container-title":"Journal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fldChar w:fldCharType="separate"/>
      </w:r>
      <w:r w:rsidRPr="006D50A7">
        <w:rPr>
          <w:rFonts w:ascii="Aptos" w:hAnsi="Aptos"/>
        </w:rPr>
        <w:t>(Newman &amp; Cragg, 2012)</w:t>
      </w:r>
      <w:r>
        <w:fldChar w:fldCharType="end"/>
      </w:r>
      <w:r w:rsidRPr="003A36D0">
        <w:t>.</w:t>
      </w:r>
      <w:r w:rsidR="00AF1890" w:rsidRPr="00AF1890">
        <w:t xml:space="preserve"> </w:t>
      </w:r>
      <w:r w:rsidR="00B86E37">
        <w:t>T</w:t>
      </w:r>
      <w:r w:rsidR="00AF1890" w:rsidRPr="00AF1890">
        <w:t xml:space="preserve">argeted exploration of extreme environments has isolated endemic endophytes from the Antarctic vascular plant </w:t>
      </w:r>
      <w:r w:rsidR="00AF1890" w:rsidRPr="00AF1890">
        <w:rPr>
          <w:i/>
          <w:iCs/>
        </w:rPr>
        <w:t>Colobanthus quitensis</w:t>
      </w:r>
      <w:r w:rsidR="00AF1890" w:rsidRPr="00AF1890">
        <w:t xml:space="preserve"> that possess entirely novel metabolic pathways </w:t>
      </w:r>
      <w:r w:rsidR="00866EA4">
        <w:fldChar w:fldCharType="begin"/>
      </w:r>
      <w:r w:rsidR="00866EA4">
        <w:instrText xml:space="preserve"> ADDIN ZOTERO_ITEM CSL_CITATION {"citationID":"kZlu8Q9q","properties":{"unsorted":false,"formattedCitation":"(Bertini {\\i{}et al.}, 2022)","plainCitation":"(Bertini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schema":"https://github.com/citation-style-language/schema/raw/master/csl-citation.json"} </w:instrText>
      </w:r>
      <w:r w:rsidR="00866EA4">
        <w:fldChar w:fldCharType="separate"/>
      </w:r>
      <w:r w:rsidR="00866EA4" w:rsidRPr="00866EA4">
        <w:rPr>
          <w:rFonts w:ascii="Aptos" w:hAnsi="Aptos" w:cs="Times New Roman"/>
        </w:rPr>
        <w:t xml:space="preserve">(Bertini </w:t>
      </w:r>
      <w:r w:rsidR="00866EA4" w:rsidRPr="00866EA4">
        <w:rPr>
          <w:rFonts w:ascii="Aptos" w:hAnsi="Aptos" w:cs="Times New Roman"/>
          <w:i/>
          <w:iCs/>
        </w:rPr>
        <w:t>et al.</w:t>
      </w:r>
      <w:r w:rsidR="00866EA4" w:rsidRPr="00866EA4">
        <w:rPr>
          <w:rFonts w:ascii="Aptos" w:hAnsi="Aptos" w:cs="Times New Roman"/>
        </w:rPr>
        <w:t>, 2022)</w:t>
      </w:r>
      <w:r w:rsidR="00866EA4">
        <w:fldChar w:fldCharType="end"/>
      </w:r>
      <w:r w:rsidR="00AF1890" w:rsidRPr="00AF1890">
        <w:t xml:space="preserve">. </w:t>
      </w:r>
      <w:r w:rsidR="005D5DA3">
        <w:t>D</w:t>
      </w:r>
      <w:r w:rsidR="00AF1890" w:rsidRPr="00AF1890">
        <w:t xml:space="preserve">iscoveries of volatile-producing endophytes like </w:t>
      </w:r>
      <w:r w:rsidR="00AF1890" w:rsidRPr="00AF1890">
        <w:rPr>
          <w:i/>
          <w:iCs/>
        </w:rPr>
        <w:t>Muscodor albus</w:t>
      </w:r>
      <w:r w:rsidR="00AF1890" w:rsidRPr="00AF1890">
        <w:t xml:space="preserve"> from remote Honduran rainforests</w:t>
      </w:r>
      <w:r w:rsidR="00E94E69">
        <w:t xml:space="preserve"> further</w:t>
      </w:r>
      <w:r w:rsidR="00AF1890" w:rsidRPr="00AF1890">
        <w:t xml:space="preserve"> highlight th</w:t>
      </w:r>
      <w:r w:rsidR="00173072">
        <w:t xml:space="preserve">e potential </w:t>
      </w:r>
      <w:r w:rsidR="00AF1890" w:rsidRPr="00AF1890">
        <w:t>biochemical value</w:t>
      </w:r>
      <w:r w:rsidR="002620FF">
        <w:t xml:space="preserve"> </w:t>
      </w:r>
      <w:r w:rsidR="005A5C11">
        <w:t xml:space="preserve">of studying fungal endophytes in currently undersampled locations </w:t>
      </w:r>
      <w:r w:rsidR="002620FF">
        <w:fldChar w:fldCharType="begin"/>
      </w:r>
      <w:r w:rsidR="002620FF">
        <w:instrText xml:space="preserve"> ADDIN ZOTERO_ITEM CSL_CITATION {"citationID":"r4jZejC2","properties":{"unsorted":false,"formattedCitation":"(Strobel, 2003, 2018; Saxena &amp; Strobel, 2021)","plainCitation":"(Strobel, 2003, 2018; Saxena &amp; Strobel, 2021)","noteIndex":0},"citationItems":[{"id":102,"uris":["http://zotero.org/users/6275788/items/7YUNNA6X"],"itemData":{"id":102,"type":"article-journal","abstract":"An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A."}],"issued":{"date-parts":[["2003",5]]}}},{"id":9061,"uris":["http://zotero.org/users/6275788/items/GJHB9CRX"],"itemData":{"id":9061,"type":"article-journal","archive_location":"WOS:000451385000014","container-title":"JOURNAL OF FUNGI","DOI":"10.3390/jof4020057","ISSN":"2309-608X","issue":"2","title":"The Emergence of Endophytic Microbes and Their Biological Promise","volume":"4","author":[{"family":"Strobel","given":"G"}],"issued":{"date-parts":[["2018",6]]}}},{"id":46627,"uris":["http://zotero.org/users/6275788/items/7M9XYDSE"],"itemData":{"id":46627,"type":"article-journal","abstract":"Nearly 20 years ago, the first report appeared on the discovery of a novel genus—Muscodor. This organism was isolated as an endophyte from a cinnamon tree that had been introduced to Honduras from Sri Lanka in the early part of the last century. Characteristically, the original Muscodor albus, and all of its species isolated since that time are non-spore producers and each one exudes a characteristic spectrum of volatile bioactive compounds. The majority have a whitish mycelium, which is sometimes coiling, intertwined and decorated with variously shaped structures. Presently, there are at least 22 type species known/ documented and each has been described as an endophyte from various plant families with widely varying habitats. An enormous variety of volatile organic compounds (VOCs) are produced by Muscodor spp. and some of these include esters, acids, aldehydes, ketones, aromatics, alkanes, alcohols, nitrosamides and terpenoids. The VOCs are both inhibitory and lethal to a wide variety of fungi and bacteria including some major pathogens of plants and humans. Interestingly, in almost all cases studied, no one compound by itself can mimic the bioactivity of the complete gas mixture, suggesting that the volatiles are acting in a synergistic manner and this has been tested with individual as well as the VOCs in various mixtures and concentrations. This review will discuss some of the recent findings in all aspects of this unique fungal genus whilst at the same time pointing out some of the major questions that remain about its biology, ecology and its applications in agriculture, medicine and other sectors. Most importantly, the authors provide arguments supporting the claim that Muscodor is taxonomically distinct from Induratia, a recently proposed change to its nomenclature.","container-title":"Microbial Ecology","DOI":"10.1007/s00248-020-01644-0","ISSN":"0095-3628, 1432-184X","issue":"1","journalAbbreviation":"Microb Ecol","language":"en","page":"5-20","source":"DOI.org (Crossref)","title":"Marvellous Muscodor spp.: Update on Their Biology and Applications","title-short":"Marvellous Muscodor spp.","volume":"82","author":[{"family":"Saxena","given":"Sanjai"},{"family":"Strobel","given":"Gary A."}],"issued":{"date-parts":[["2021",7]]}}}],"schema":"https://github.com/citation-style-language/schema/raw/master/csl-citation.json"} </w:instrText>
      </w:r>
      <w:r w:rsidR="002620FF">
        <w:fldChar w:fldCharType="separate"/>
      </w:r>
      <w:r w:rsidR="002620FF" w:rsidRPr="002620FF">
        <w:rPr>
          <w:rFonts w:ascii="Aptos" w:hAnsi="Aptos"/>
        </w:rPr>
        <w:t>(Strobel, 2003, 2018; Saxena &amp; Strobel, 2021)</w:t>
      </w:r>
      <w:r w:rsidR="002620FF">
        <w:fldChar w:fldCharType="end"/>
      </w:r>
      <w:r w:rsidR="005A5C11">
        <w:t>.</w:t>
      </w:r>
      <w:r w:rsidR="00AF1890" w:rsidRPr="00AF1890">
        <w:t xml:space="preserve"> </w:t>
      </w:r>
      <w:r w:rsidR="009016C5" w:rsidRPr="009016C5">
        <w:t>From a taxonomic perspective, these regions are prime candidates for finding undescribed lineages</w:t>
      </w:r>
      <w:r w:rsidR="00EE20B5">
        <w:t>,</w:t>
      </w:r>
      <w:r w:rsidR="005145AD">
        <w:t xml:space="preserve"> </w:t>
      </w:r>
      <w:r w:rsidR="00E94E69">
        <w:t>as demonstrated</w:t>
      </w:r>
      <w:r w:rsidR="005145AD">
        <w:t xml:space="preserve"> when</w:t>
      </w:r>
      <w:r w:rsidR="008500F9">
        <w:t xml:space="preserve"> s</w:t>
      </w:r>
      <w:r w:rsidR="00AF1890" w:rsidRPr="00AF1890">
        <w:t xml:space="preserve">ampling of the living sapwood of wild </w:t>
      </w:r>
      <w:r w:rsidR="00AF1890" w:rsidRPr="00AF1890">
        <w:rPr>
          <w:i/>
          <w:iCs/>
        </w:rPr>
        <w:t>Hevea</w:t>
      </w:r>
      <w:r w:rsidR="00AF1890" w:rsidRPr="00AF1890">
        <w:t xml:space="preserve"> populations </w:t>
      </w:r>
      <w:r w:rsidR="002B77FD">
        <w:t xml:space="preserve">in the Amazon Basin </w:t>
      </w:r>
      <w:r w:rsidR="00AF1890" w:rsidRPr="00AF1890">
        <w:t xml:space="preserve">yielded multiple entirely novel lineages of </w:t>
      </w:r>
      <w:r w:rsidR="00AF1890" w:rsidRPr="00AF1890">
        <w:rPr>
          <w:i/>
          <w:iCs/>
        </w:rPr>
        <w:t>Tolypocladium</w:t>
      </w:r>
      <w:r w:rsidR="00792BCB">
        <w:rPr>
          <w:i/>
          <w:iCs/>
        </w:rPr>
        <w:t xml:space="preserve"> </w:t>
      </w:r>
      <w:r w:rsidR="002B77FD">
        <w:rPr>
          <w:i/>
          <w:iCs/>
        </w:rPr>
        <w:fldChar w:fldCharType="begin"/>
      </w:r>
      <w:r w:rsidR="002B77FD">
        <w:rPr>
          <w:i/>
          <w:iCs/>
        </w:rPr>
        <w:instrText xml:space="preserve"> ADDIN ZOTERO_ITEM CSL_CITATION {"citationID":"ULEjCMyD","properties":{"unsorted":false,"formattedCitation":"(Gazis {\\i{}et al.}, 2014)","plainCitation":"(Gazis et al., 2014)","noteIndex":0},"citationItems":[{"id":46629,"uris":["http://zotero.org/users/6275788/items/MI6SRB7I"],"itemData":{"id":46629,"type":"article-journal","abstract":"The objective of this study was to identify a group of unknown endophytic fungal isolates from the living sapwood of wild and planted Hevea (rubber tree) populations. Three novel lineages of Tolypocladium are described based on molecular and morphological data. Findings from this study open a window for novel hypotheses regarding the ecology and role of endophytes within plant communities as well as trait evolution and potential forces driving diversification of Cordyceps-like fungi. This study stresses the importance of integrating asexual and sexual fungal states for a more complete understanding of the natural history of this diverse group. In addition, it highlights the study of fungi in the sapwood of tropical trees as habitat for the discovery of novel fungal lineages and substrate associations.","container-title":"Mycologia","DOI":"10.3852/13-346","ISSN":"0027-5514, 1557-2536","issue":"6","journalAbbreviation":"Mycologia","language":"en","page":"1090-1105","source":"DOI.org (Crossref)","title":"Novel endophytic lineages of &lt;i&gt;Tolypocladium&lt;/i&gt; provide new insights into the ecology and evolution of &lt;i&gt;Cordyceps&lt;/i&gt; -like fungi","volume":"106","author":[{"family":"Gazis","given":"Romina"},{"family":"Skaltsas","given":"Demetra"},{"family":"Chaverri","given":"Priscila"}],"issued":{"date-parts":[["2014",11]]}}}],"schema":"https://github.com/citation-style-language/schema/raw/master/csl-citation.json"} </w:instrText>
      </w:r>
      <w:r w:rsidR="002B77FD">
        <w:rPr>
          <w:i/>
          <w:iCs/>
        </w:rPr>
        <w:fldChar w:fldCharType="separate"/>
      </w:r>
      <w:r w:rsidR="002B77FD" w:rsidRPr="002B77FD">
        <w:rPr>
          <w:rFonts w:ascii="Aptos" w:hAnsi="Aptos" w:cs="Times New Roman"/>
        </w:rPr>
        <w:t xml:space="preserve">(Gazis </w:t>
      </w:r>
      <w:r w:rsidR="002B77FD" w:rsidRPr="002B77FD">
        <w:rPr>
          <w:rFonts w:ascii="Aptos" w:hAnsi="Aptos" w:cs="Times New Roman"/>
          <w:i/>
          <w:iCs/>
        </w:rPr>
        <w:t>et al.</w:t>
      </w:r>
      <w:r w:rsidR="002B77FD" w:rsidRPr="002B77FD">
        <w:rPr>
          <w:rFonts w:ascii="Aptos" w:hAnsi="Aptos" w:cs="Times New Roman"/>
        </w:rPr>
        <w:t>, 2014)</w:t>
      </w:r>
      <w:r w:rsidR="002B77FD">
        <w:rPr>
          <w:i/>
          <w:iCs/>
        </w:rPr>
        <w:fldChar w:fldCharType="end"/>
      </w:r>
      <w:r w:rsidR="00AF1890" w:rsidRPr="00AF1890">
        <w:t>.</w:t>
      </w:r>
      <w:r w:rsidR="00AF1890">
        <w:t xml:space="preserve"> </w:t>
      </w:r>
      <w:r w:rsidR="00D1197D" w:rsidRPr="00D1197D">
        <w:t>These discoveries highlight the opportunity cost of a research landscape driven by institutional economics rather than global biodiversity</w:t>
      </w:r>
      <w:r w:rsidR="00265526">
        <w:t xml:space="preserve"> and exploration of novel sampling locations</w:t>
      </w:r>
      <w:r w:rsidR="00D1197D" w:rsidRPr="00D1197D">
        <w:t>.</w:t>
      </w:r>
    </w:p>
    <w:p w14:paraId="25561D50" w14:textId="2B14E97F" w:rsidR="009F4D6D" w:rsidRDefault="00F10295">
      <w:pPr>
        <w:pStyle w:val="Heading3"/>
      </w:pPr>
      <w:bookmarkStart w:id="26" w:name="X74ce0a8a37492e58df89abadb7679730f33fc06"/>
      <w:bookmarkEnd w:id="25"/>
      <w:r>
        <w:t>The Utility and Limitations of an Abstract-</w:t>
      </w:r>
      <w:r w:rsidR="00470874">
        <w:t>Dominated</w:t>
      </w:r>
      <w:r>
        <w:t xml:space="preserve"> Audit</w:t>
      </w:r>
    </w:p>
    <w:p w14:paraId="0B40849C" w14:textId="731B2702" w:rsidR="00C042D8" w:rsidRDefault="00297C8A">
      <w:pPr>
        <w:pStyle w:val="FirstParagraph"/>
      </w:pPr>
      <w:r w:rsidRPr="00297C8A">
        <w:t xml:space="preserve">Given that over 83% of the analyzed </w:t>
      </w:r>
      <w:r>
        <w:t>dataset</w:t>
      </w:r>
      <w:r w:rsidRPr="00297C8A">
        <w:t xml:space="preserve"> remains behind paywalls, conducting a global-scale synthesis requires utilizing abstract-level data.</w:t>
      </w:r>
      <w:r w:rsidR="002748B5" w:rsidRPr="002748B5">
        <w:t xml:space="preserve"> </w:t>
      </w:r>
      <w:r w:rsidR="008D1D3C" w:rsidRPr="008D1D3C">
        <w:t>While this approach inherently miss</w:t>
      </w:r>
      <w:r w:rsidR="008D1D3C">
        <w:t>es</w:t>
      </w:r>
      <w:r w:rsidR="008D1D3C" w:rsidRPr="008D1D3C">
        <w:t xml:space="preserve"> endophyte occurrences </w:t>
      </w:r>
      <w:r w:rsidR="00DF7E34">
        <w:t xml:space="preserve">found only </w:t>
      </w:r>
      <w:r w:rsidR="008D1D3C" w:rsidRPr="008D1D3C">
        <w:t>in full texts or supplementary next-generation sequencing tables, our methodology serves as a robust, systematic field audit of the most visible and accessible scientific evidence.</w:t>
      </w:r>
    </w:p>
    <w:p w14:paraId="0981683D" w14:textId="26B89296" w:rsidR="00B7696B" w:rsidRDefault="007E1F30">
      <w:pPr>
        <w:pStyle w:val="FirstParagraph"/>
      </w:pPr>
      <w:r w:rsidRPr="007E1F30">
        <w:t xml:space="preserve">Our direct comparison of </w:t>
      </w:r>
      <w:r w:rsidR="00C042D8">
        <w:t>the abstract-only and full-text datasets</w:t>
      </w:r>
      <w:r w:rsidRPr="007E1F30">
        <w:t xml:space="preserve"> </w:t>
      </w:r>
      <w:r w:rsidR="00B17AF8">
        <w:t>supports</w:t>
      </w:r>
      <w:r w:rsidRPr="007E1F30">
        <w:t xml:space="preserve"> the validity of this approach. While full-text parsing extracted a higher relative density of plant</w:t>
      </w:r>
      <w:r>
        <w:t>-</w:t>
      </w:r>
      <w:r w:rsidRPr="007E1F30">
        <w:t>fungal rows (10,248 interactions from 3,0</w:t>
      </w:r>
      <w:r w:rsidR="008D6BD6">
        <w:t>68</w:t>
      </w:r>
      <w:r w:rsidRPr="007E1F30">
        <w:t xml:space="preserve"> papers) than abstract mining (29,874 interactions from 15,68</w:t>
      </w:r>
      <w:r w:rsidR="008D6BD6">
        <w:t>2</w:t>
      </w:r>
      <w:r w:rsidRPr="007E1F30">
        <w:t xml:space="preserve"> papers), the underlying macroecological signals remained unchanged. The strong socioeconomic bias linking research intensity to national wealth was statistically </w:t>
      </w:r>
      <w:r w:rsidR="00C97032">
        <w:lastRenderedPageBreak/>
        <w:t>similar</w:t>
      </w:r>
      <w:r w:rsidRPr="007E1F30">
        <w:t xml:space="preserve"> </w:t>
      </w:r>
      <w:r w:rsidR="00C97032">
        <w:t>between</w:t>
      </w:r>
      <w:r w:rsidRPr="007E1F30">
        <w:t xml:space="preserve"> abstract-level data (Spearman’s ρ=0.78) </w:t>
      </w:r>
      <w:r w:rsidR="00C97032">
        <w:t>and</w:t>
      </w:r>
      <w:r w:rsidRPr="007E1F30">
        <w:t xml:space="preserve"> full-text subsets (ρ=0.83). </w:t>
      </w:r>
      <w:r w:rsidR="00B7696B" w:rsidRPr="00B7696B">
        <w:t>While abstract-mining captured a lower density of total interactions per document compared to full-text parsing, it demonstrated high fidelity in identifying host-taxonomic knowledge gaps, yielding Jaccard similarity indices above 0.85 for family-level lineages. This indicates that abstract-led mining is a reliable tool for identifying broad-scale taxonomic biases</w:t>
      </w:r>
      <w:r w:rsidR="00B7696B">
        <w:t xml:space="preserve"> in this study</w:t>
      </w:r>
      <w:r w:rsidR="00B7696B" w:rsidRPr="00B7696B">
        <w:t>, even if it lacks the granular resolution of full-text primary data.</w:t>
      </w:r>
    </w:p>
    <w:p w14:paraId="50735137" w14:textId="57370C39" w:rsidR="00155ED1" w:rsidRPr="00155ED1" w:rsidRDefault="00680DDC" w:rsidP="0033228E">
      <w:pPr>
        <w:pStyle w:val="FirstParagraph"/>
      </w:pPr>
      <w:r>
        <w:t>T</w:t>
      </w:r>
      <w:r w:rsidR="002748B5">
        <w:t>his approach highlights the systematic barriers created by paywalled science</w:t>
      </w:r>
      <w:r w:rsidR="00E343BB">
        <w:t>.</w:t>
      </w:r>
      <w:r w:rsidR="002748B5">
        <w:t xml:space="preserve"> </w:t>
      </w:r>
      <w:r w:rsidR="00155ED1">
        <w:t>By relying on the most commonly accessible part of a publication, our analysis maps the boundaries of our default knowledge. Ultimately, these boundaries are defined less by biology than by the accessibility of the literature itself.</w:t>
      </w:r>
    </w:p>
    <w:p w14:paraId="25561D52" w14:textId="2D2BAD58" w:rsidR="009F4D6D" w:rsidRDefault="00F10295">
      <w:pPr>
        <w:pStyle w:val="Heading3"/>
      </w:pPr>
      <w:bookmarkStart w:id="27" w:name="a-roadmap-for-future-sampling"/>
      <w:bookmarkEnd w:id="26"/>
      <w:r>
        <w:t>A Roadmap for Future Sampling</w:t>
      </w:r>
    </w:p>
    <w:p w14:paraId="19EA446F" w14:textId="3D8DDB2F" w:rsidR="007E6B33" w:rsidRPr="007E6B33" w:rsidRDefault="00F10295" w:rsidP="007E6B33">
      <w:pPr>
        <w:pStyle w:val="FirstParagraph"/>
      </w:pPr>
      <w:r>
        <w:t>Based on these findings, we propose a strategic roadmap 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w:t>
      </w:r>
      <w:r w:rsidR="00C17938">
        <w:t xml:space="preserve">. </w:t>
      </w:r>
      <w:r w:rsidR="00C17938" w:rsidRPr="00C17938">
        <w:t>We provide comprehensive priority lists of these understudied taxa at the phylum, family, genus, and species levels, alongside a list of 133 severely under-sampled countries, as Supplementary Data.</w:t>
      </w:r>
      <w:r>
        <w:t xml:space="preserve"> Our analysis shows a heavy concentration on </w:t>
      </w:r>
      <w:r w:rsidR="002F65F1">
        <w:t xml:space="preserve">agricultural biomes and </w:t>
      </w:r>
      <w:r>
        <w:t>economically important plant families</w:t>
      </w:r>
      <w:r w:rsidR="00365A96">
        <w:t xml:space="preserve"> </w:t>
      </w:r>
      <w:r w:rsidR="00D1197D">
        <w:t xml:space="preserve">(e.g. </w:t>
      </w:r>
      <w:r w:rsidR="00D1197D" w:rsidRPr="00D1197D">
        <w:t>Poaceae, Fabaceae</w:t>
      </w:r>
      <w:r w:rsidR="00D1197D">
        <w:t>)</w:t>
      </w:r>
      <w:r w:rsidR="003F15C1">
        <w:t>, all within the Tracheophyta phylum</w:t>
      </w:r>
      <w:r>
        <w:t xml:space="preserve">. </w:t>
      </w:r>
      <w:r w:rsidR="00191B0B" w:rsidRPr="00191B0B">
        <w:t xml:space="preserve">A concerted effort to shift focus from agricultural </w:t>
      </w:r>
      <w:r w:rsidR="00191B0B">
        <w:t>crops</w:t>
      </w:r>
      <w:r w:rsidR="00191B0B" w:rsidRPr="00191B0B">
        <w:t xml:space="preserve"> to early-diverging and non-vascular plant lineages in wild ecosystems would provide crucial insights into the evolutionary history of endophytism</w:t>
      </w:r>
      <w:r w:rsidR="00191B0B">
        <w:t>.</w:t>
      </w:r>
      <w:r>
        <w:t xml:space="preserve"> Second, </w:t>
      </w:r>
      <w:r w:rsidR="00202256">
        <w:t>the field would benefit from</w:t>
      </w:r>
      <w:r>
        <w:t xml:space="preserve"> expan</w:t>
      </w:r>
      <w:r w:rsidR="00202256">
        <w:t>sion</w:t>
      </w:r>
      <w:r>
        <w:t xml:space="preserve"> into high-biodiversity, low-GDP regions. </w:t>
      </w:r>
      <w:r w:rsidR="003B2F36">
        <w:t>L</w:t>
      </w:r>
      <w:r w:rsidR="007F152F" w:rsidRPr="007F152F">
        <w:t xml:space="preserve">arge portions of </w:t>
      </w:r>
      <w:r w:rsidR="003B2F36">
        <w:t xml:space="preserve">South America, </w:t>
      </w:r>
      <w:r w:rsidR="007F152F" w:rsidRPr="007F152F">
        <w:t>Africa</w:t>
      </w:r>
      <w:r w:rsidR="003B2F36">
        <w:t>,</w:t>
      </w:r>
      <w:r w:rsidR="007F152F" w:rsidRPr="007F152F">
        <w:t xml:space="preserve"> and Central Asia</w:t>
      </w:r>
      <w:r w:rsidR="003B2F36">
        <w:t xml:space="preserve"> </w:t>
      </w:r>
      <w:r w:rsidR="007F152F" w:rsidRPr="007F152F">
        <w:t>represent gaps</w:t>
      </w:r>
      <w:r>
        <w:t xml:space="preserve">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r w:rsidR="00DD75DB">
        <w:t xml:space="preserve"> </w:t>
      </w:r>
      <w:r w:rsidR="00DD75DB" w:rsidRPr="00085BBB">
        <w:t xml:space="preserve">These outputs provide a concrete roadmap for targeted sampling efforts designed to fill the most significant gaps in </w:t>
      </w:r>
      <w:r w:rsidR="007E6B33" w:rsidRPr="00085BBB">
        <w:t>ou</w:t>
      </w:r>
      <w:r w:rsidR="00DD75DB" w:rsidRPr="00085BBB">
        <w:t>r current understanding of global endophyte diversity.</w:t>
      </w:r>
    </w:p>
    <w:p w14:paraId="53DA89FF" w14:textId="4A95BD37" w:rsidR="007E6B33" w:rsidRDefault="007E6B33" w:rsidP="00267A70">
      <w:pPr>
        <w:pStyle w:val="Style1"/>
      </w:pPr>
      <w:r>
        <w:lastRenderedPageBreak/>
        <w:t>Conclusions</w:t>
      </w:r>
    </w:p>
    <w:p w14:paraId="0A86FB6F" w14:textId="77777777" w:rsidR="00F9600C" w:rsidRPr="00F9600C" w:rsidRDefault="00F9600C" w:rsidP="00F9600C">
      <w:pPr>
        <w:pStyle w:val="Style1"/>
        <w:rPr>
          <w:rFonts w:eastAsiaTheme="minorHAnsi" w:cstheme="minorBidi"/>
          <w:color w:val="auto"/>
          <w:sz w:val="24"/>
          <w:szCs w:val="24"/>
        </w:rPr>
      </w:pPr>
      <w:r w:rsidRPr="00F9600C">
        <w:rPr>
          <w:rFonts w:eastAsiaTheme="minorHAnsi" w:cstheme="minorBidi"/>
          <w:color w:val="auto"/>
          <w:sz w:val="24"/>
          <w:szCs w:val="24"/>
        </w:rPr>
        <w:t>Every plant lineage examined to date hosts fungal endophytes; however, the globally aggregated evidence base remains insufficient to support unqualified claims of absolute global ubiquity. Rather than a strategic effort to document global biodiversity, the current literature primarily reflects national wealth and applied agricultural priorities. Addressing these systemic gaps presents an immense opportunity for ecological discovery.</w:t>
      </w:r>
    </w:p>
    <w:p w14:paraId="65040EB9" w14:textId="0654B086" w:rsidR="00F9600C" w:rsidRDefault="00F9600C" w:rsidP="00F9600C">
      <w:pPr>
        <w:pStyle w:val="Style1"/>
        <w:rPr>
          <w:rFonts w:eastAsiaTheme="minorHAnsi" w:cstheme="minorBidi"/>
          <w:color w:val="auto"/>
          <w:sz w:val="24"/>
          <w:szCs w:val="24"/>
        </w:rPr>
      </w:pPr>
      <w:r w:rsidRPr="00F9600C">
        <w:rPr>
          <w:rFonts w:eastAsiaTheme="minorHAnsi" w:cstheme="minorBidi"/>
          <w:color w:val="auto"/>
          <w:sz w:val="24"/>
          <w:szCs w:val="24"/>
        </w:rPr>
        <w:t xml:space="preserve">Moving forward, the field of </w:t>
      </w:r>
      <w:r w:rsidR="00284A70">
        <w:rPr>
          <w:rFonts w:eastAsiaTheme="minorHAnsi" w:cstheme="minorBidi"/>
          <w:color w:val="auto"/>
          <w:sz w:val="24"/>
          <w:szCs w:val="24"/>
        </w:rPr>
        <w:t>endophyte</w:t>
      </w:r>
      <w:r w:rsidRPr="00F9600C">
        <w:rPr>
          <w:rFonts w:eastAsiaTheme="minorHAnsi" w:cstheme="minorBidi"/>
          <w:color w:val="auto"/>
          <w:sz w:val="24"/>
          <w:szCs w:val="24"/>
        </w:rPr>
        <w:t xml:space="preserve"> ecology would benefit from proactively decoupling research intensity from national institutional capacity. We recommend implementing the data-driven priority roadmap established in this study, explicitly expanding beyond agronomic contexts to target early-diverging plant lineages and undersampled regions of high biodiversity. We also recommend that the field adopt a standardized locational definition of 'endophyte' </w:t>
      </w:r>
      <w:r w:rsidR="007D552A">
        <w:rPr>
          <w:rFonts w:eastAsiaTheme="minorHAnsi" w:cstheme="minorBidi"/>
          <w:color w:val="auto"/>
          <w:sz w:val="24"/>
          <w:szCs w:val="24"/>
        </w:rPr>
        <w:t>(</w:t>
      </w:r>
      <w:r w:rsidRPr="00F9600C">
        <w:rPr>
          <w:rFonts w:eastAsiaTheme="minorHAnsi" w:cstheme="minorBidi"/>
          <w:color w:val="auto"/>
          <w:sz w:val="24"/>
          <w:szCs w:val="24"/>
        </w:rPr>
        <w:t>fungi residing within plant tissues regardless of functional outcome</w:t>
      </w:r>
      <w:r w:rsidR="007D552A">
        <w:rPr>
          <w:rFonts w:eastAsiaTheme="minorHAnsi" w:cstheme="minorBidi"/>
          <w:color w:val="auto"/>
          <w:sz w:val="24"/>
          <w:szCs w:val="24"/>
        </w:rPr>
        <w:t>)</w:t>
      </w:r>
      <w:r w:rsidR="00EE539C">
        <w:rPr>
          <w:rFonts w:eastAsiaTheme="minorHAnsi" w:cstheme="minorBidi"/>
          <w:color w:val="auto"/>
          <w:sz w:val="24"/>
          <w:szCs w:val="24"/>
        </w:rPr>
        <w:t>,</w:t>
      </w:r>
      <w:r w:rsidRPr="00F9600C">
        <w:rPr>
          <w:rFonts w:eastAsiaTheme="minorHAnsi" w:cstheme="minorBidi"/>
          <w:color w:val="auto"/>
          <w:sz w:val="24"/>
          <w:szCs w:val="24"/>
        </w:rPr>
        <w:t xml:space="preserve"> retiring the asymptomatic qualifier that the literature demonstrably does not apply consistently</w:t>
      </w:r>
      <w:r w:rsidR="007D552A">
        <w:rPr>
          <w:rFonts w:eastAsiaTheme="minorHAnsi" w:cstheme="minorBidi"/>
          <w:color w:val="auto"/>
          <w:sz w:val="24"/>
          <w:szCs w:val="24"/>
        </w:rPr>
        <w:t xml:space="preserve"> </w:t>
      </w:r>
      <w:r w:rsidR="007D552A">
        <w:rPr>
          <w:rFonts w:eastAsiaTheme="minorHAnsi" w:cstheme="minorBidi"/>
          <w:color w:val="auto"/>
          <w:sz w:val="24"/>
          <w:szCs w:val="24"/>
        </w:rPr>
        <w:fldChar w:fldCharType="begin"/>
      </w:r>
      <w:r w:rsidR="007D552A">
        <w:rPr>
          <w:rFonts w:eastAsiaTheme="minorHAnsi" w:cstheme="minorBidi"/>
          <w:color w:val="auto"/>
          <w:sz w:val="24"/>
          <w:szCs w:val="24"/>
        </w:rPr>
        <w:instrText xml:space="preserve"> ADDIN ZOTERO_ITEM CSL_CITATION {"citationID":"LKXGAB17","properties":{"unsorted":false,"formattedCitation":"(Hardoim {\\i{}et al.}, 2015)","plainCitation":"(Hardoim et al., 2015)","noteIndex":0},"citationItems":[{"id":46673,"uris":["http://zotero.org/users/6275788/items/U6BQ3W5J"],"itemData":{"id":46673,"type":"article-journal","abstract":"All plants are inhabited internally by diverse microbial communities comprising bacterial, archaeal, fungal, and protistic taxa. These microorganisms showing endophytic lifestyles play crucial roles in plant development, growth, ﬁtness, and diversiﬁcation. The increasing awareness of and information on endophytes provide insight into the complexity of the plant microbiome. The nature of plant-endophyte interactions ranges from mutualism to pathogenicity. This depends on a set of abiotic and biotic factors, including the genotypes of plants and microbes, environmental conditions, and the dynamic network of interactions within the plant biome. In this review, we address the concept of endophytism, considering the latest insights into evolution, plant ecosystem functioning, and multipartite interactions.","container-title":"Microbiology and Molecular Biology Reviews","DOI":"10.1128/MMBR.00050-14","ISSN":"1092-2172, 1098-5557","issue":"3","journalAbbreviation":"Microbiol Mol Biol Rev","language":"en","page":"293-320","source":"DOI.org (Crossref)","title":"The Hidden World within Plants: Ecological and Evolutionary Considerations for Defining Functioning of Microbial Endophytes","title-short":"The Hidden World within Plants","volume":"79","author":[{"family":"Hardoim","given":"Pablo R."},{"family":"Van Overbeek","given":"Leonard S."},{"family":"Berg","given":"Gabriele"},{"family":"Pirttilä","given":"Anna Maria"},{"family":"Compant","given":"Stéphane"},{"family":"Campisano","given":"Andrea"},{"family":"Döring","given":"Matthias"},{"family":"Sessitsch","given":"Angela"}],"issued":{"date-parts":[["2015",9]]}}}],"schema":"https://github.com/citation-style-language/schema/raw/master/csl-citation.json"} </w:instrText>
      </w:r>
      <w:r w:rsidR="007D552A">
        <w:rPr>
          <w:rFonts w:eastAsiaTheme="minorHAnsi" w:cstheme="minorBidi"/>
          <w:color w:val="auto"/>
          <w:sz w:val="24"/>
          <w:szCs w:val="24"/>
        </w:rPr>
        <w:fldChar w:fldCharType="separate"/>
      </w:r>
      <w:r w:rsidR="007D552A" w:rsidRPr="007D552A">
        <w:rPr>
          <w:rFonts w:ascii="Aptos" w:hAnsi="Aptos" w:cs="Times New Roman"/>
          <w:sz w:val="24"/>
        </w:rPr>
        <w:t xml:space="preserve">(Hardoim </w:t>
      </w:r>
      <w:r w:rsidR="007D552A" w:rsidRPr="007D552A">
        <w:rPr>
          <w:rFonts w:ascii="Aptos" w:hAnsi="Aptos" w:cs="Times New Roman"/>
          <w:i/>
          <w:iCs/>
          <w:sz w:val="24"/>
        </w:rPr>
        <w:t>et al.</w:t>
      </w:r>
      <w:r w:rsidR="007D552A" w:rsidRPr="007D552A">
        <w:rPr>
          <w:rFonts w:ascii="Aptos" w:hAnsi="Aptos" w:cs="Times New Roman"/>
          <w:sz w:val="24"/>
        </w:rPr>
        <w:t>, 2015)</w:t>
      </w:r>
      <w:r w:rsidR="007D552A">
        <w:rPr>
          <w:rFonts w:eastAsiaTheme="minorHAnsi" w:cstheme="minorBidi"/>
          <w:color w:val="auto"/>
          <w:sz w:val="24"/>
          <w:szCs w:val="24"/>
        </w:rPr>
        <w:fldChar w:fldCharType="end"/>
      </w:r>
      <w:r w:rsidRPr="00F9600C">
        <w:rPr>
          <w:rFonts w:eastAsiaTheme="minorHAnsi" w:cstheme="minorBidi"/>
          <w:color w:val="auto"/>
          <w:sz w:val="24"/>
          <w:szCs w:val="24"/>
        </w:rPr>
        <w:t>. Explicit guild classifications (pathogen, mutualist, mycorrhizal, saprotroph) are better suited to capturing functional distinctions than definitional restrictions on the term itself. Consistent terminology would reduce the bibliometric fragmentation documented here and improve the comparability of future global syntheses.</w:t>
      </w:r>
    </w:p>
    <w:p w14:paraId="25E7C155" w14:textId="11B90948" w:rsidR="005D4896" w:rsidRDefault="005D4896" w:rsidP="00F9600C">
      <w:pPr>
        <w:pStyle w:val="Style1"/>
        <w:rPr>
          <w:rFonts w:eastAsiaTheme="minorHAnsi" w:cstheme="minorBidi"/>
          <w:color w:val="auto"/>
          <w:sz w:val="24"/>
          <w:szCs w:val="24"/>
        </w:rPr>
      </w:pPr>
      <w:r w:rsidRPr="005D4896">
        <w:rPr>
          <w:rFonts w:eastAsiaTheme="minorHAnsi" w:cstheme="minorBidi"/>
          <w:color w:val="auto"/>
          <w:sz w:val="24"/>
          <w:szCs w:val="24"/>
        </w:rPr>
        <w:t>Until research effort is decoupled from national institutional capacity, the boundaries of endophyte ecology will continue to reflect the geography of scientific funding rather than the distribution of plant-fungal life.</w:t>
      </w:r>
    </w:p>
    <w:p w14:paraId="5200AB08" w14:textId="19D7B3D0" w:rsidR="00267A70" w:rsidRDefault="00234BDB" w:rsidP="00267A70">
      <w:pPr>
        <w:pStyle w:val="Style1"/>
      </w:pPr>
      <w:r>
        <w:t>Acknowledgements</w:t>
      </w:r>
    </w:p>
    <w:p w14:paraId="289555AA" w14:textId="23E98EDD" w:rsidR="00234BDB" w:rsidRDefault="00267A70" w:rsidP="00267A70">
      <w:r>
        <w:t>This work was supported by National Science Foundation (NSF) MacroSystems grant DEB-1340852 (C.A.G.), US Department of Energy program in Systems Biology Research to Advance Sustainable Bioenergy Crop Development (DE-FOA-0002214)(N.C.J.), the Lucking 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t>Author Contributions</w:t>
      </w:r>
    </w:p>
    <w:p w14:paraId="571865AE" w14:textId="564BCA50"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w:t>
      </w:r>
      <w:r w:rsidR="0083137F">
        <w:t>P.</w:t>
      </w:r>
      <w:r w:rsidR="00584AEA">
        <w:t xml:space="preserve">M., N.C.J., and C.A.G. </w:t>
      </w:r>
      <w:r w:rsidR="00830434">
        <w:t>advised throughout the project and edited the manuscript.</w:t>
      </w:r>
    </w:p>
    <w:p w14:paraId="25561D54" w14:textId="12152C23" w:rsidR="009F4D6D" w:rsidRDefault="001431F9">
      <w:pPr>
        <w:pStyle w:val="Heading2"/>
      </w:pPr>
      <w:bookmarkStart w:id="28" w:name="figure-captions"/>
      <w:bookmarkEnd w:id="21"/>
      <w:bookmarkEnd w:id="27"/>
      <w:r>
        <w:lastRenderedPageBreak/>
        <w:t>Supplementary Figures</w:t>
      </w:r>
    </w:p>
    <w:p w14:paraId="6575698F" w14:textId="77777777" w:rsidR="007D04DD" w:rsidRDefault="007D04DD" w:rsidP="007D04DD">
      <w:pPr>
        <w:pStyle w:val="BodyText"/>
        <w:keepNext/>
      </w:pPr>
      <w:r>
        <w:rPr>
          <w:noProof/>
        </w:rPr>
        <w:drawing>
          <wp:inline distT="0" distB="0" distL="0" distR="0" wp14:anchorId="38496266" wp14:editId="08C1E4E9">
            <wp:extent cx="5943600" cy="4568825"/>
            <wp:effectExtent l="0" t="0" r="0" b="3175"/>
            <wp:docPr id="13683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568825"/>
                    </a:xfrm>
                    <a:prstGeom prst="rect">
                      <a:avLst/>
                    </a:prstGeom>
                    <a:noFill/>
                    <a:ln>
                      <a:noFill/>
                    </a:ln>
                  </pic:spPr>
                </pic:pic>
              </a:graphicData>
            </a:graphic>
          </wp:inline>
        </w:drawing>
      </w:r>
    </w:p>
    <w:p w14:paraId="1D7C35ED" w14:textId="708FBF63" w:rsidR="007D04DD" w:rsidRDefault="007D04DD" w:rsidP="007D04DD">
      <w:pPr>
        <w:pStyle w:val="Caption"/>
        <w:rPr>
          <w:b/>
          <w:bCs/>
          <w:i w:val="0"/>
          <w:iCs/>
        </w:rPr>
      </w:pPr>
      <w:bookmarkStart w:id="29" w:name="_Ref232410560"/>
      <w:r>
        <w:t xml:space="preserve">Supplemental Figure </w:t>
      </w:r>
      <w:r w:rsidR="003323D0">
        <w:fldChar w:fldCharType="begin"/>
      </w:r>
      <w:r w:rsidR="003323D0">
        <w:instrText xml:space="preserve"> SEQ Supplemental_Figure \* ARABIC </w:instrText>
      </w:r>
      <w:r w:rsidR="003323D0">
        <w:fldChar w:fldCharType="separate"/>
      </w:r>
      <w:r w:rsidR="003323D0">
        <w:rPr>
          <w:noProof/>
        </w:rPr>
        <w:t>1</w:t>
      </w:r>
      <w:r w:rsidR="003323D0">
        <w:rPr>
          <w:noProof/>
        </w:rPr>
        <w:fldChar w:fldCharType="end"/>
      </w:r>
      <w:bookmarkEnd w:id="29"/>
      <w:r w:rsidR="001147AE">
        <w:t xml:space="preserve">: </w:t>
      </w:r>
      <w:r w:rsidR="001147AE" w:rsidRPr="00B965FF">
        <w:rPr>
          <w:b/>
          <w:bCs/>
          <w:i w:val="0"/>
          <w:iCs/>
        </w:rPr>
        <w:t>Heatmap of study counts by biome and country, displaying the top 10 categories of each</w:t>
      </w:r>
      <w:r w:rsidR="001147AE">
        <w:rPr>
          <w:b/>
          <w:bCs/>
          <w:i w:val="0"/>
          <w:iCs/>
        </w:rPr>
        <w:t>, where all European Union countries are grouped.</w:t>
      </w:r>
    </w:p>
    <w:p w14:paraId="438C8AE9" w14:textId="77777777" w:rsidR="001D0CB8" w:rsidRDefault="001D0CB8" w:rsidP="001D0CB8">
      <w:pPr>
        <w:pStyle w:val="BodyText"/>
        <w:keepNext/>
      </w:pPr>
      <w:r>
        <w:rPr>
          <w:noProof/>
        </w:rPr>
        <w:lastRenderedPageBreak/>
        <w:drawing>
          <wp:inline distT="0" distB="0" distL="0" distR="0" wp14:anchorId="51760F9E" wp14:editId="394206FA">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01B9D6E7" w14:textId="62817CDC" w:rsidR="001D0CB8" w:rsidRDefault="001D0CB8" w:rsidP="001D0CB8">
      <w:pPr>
        <w:pStyle w:val="Caption"/>
      </w:pPr>
      <w:bookmarkStart w:id="30" w:name="_Ref232410756"/>
      <w:r>
        <w:t xml:space="preserve">Supplemental Figure </w:t>
      </w:r>
      <w:r w:rsidR="003323D0">
        <w:fldChar w:fldCharType="begin"/>
      </w:r>
      <w:r w:rsidR="003323D0">
        <w:instrText xml:space="preserve"> SEQ Supplemental_Figure \* ARABIC </w:instrText>
      </w:r>
      <w:r w:rsidR="003323D0">
        <w:fldChar w:fldCharType="separate"/>
      </w:r>
      <w:r w:rsidR="003323D0">
        <w:rPr>
          <w:noProof/>
        </w:rPr>
        <w:t>2</w:t>
      </w:r>
      <w:r w:rsidR="003323D0">
        <w:rPr>
          <w:noProof/>
        </w:rPr>
        <w:fldChar w:fldCharType="end"/>
      </w:r>
      <w:bookmarkEnd w:id="30"/>
      <w:r>
        <w:t>: Top 8 most studied biomes in fungal endophyte research from 1990 to 2024.</w:t>
      </w:r>
    </w:p>
    <w:p w14:paraId="5BAAD3CF" w14:textId="77777777" w:rsidR="001D0CB8" w:rsidRPr="007D04DD" w:rsidRDefault="001D0CB8" w:rsidP="007D04DD">
      <w:pPr>
        <w:pStyle w:val="Caption"/>
      </w:pPr>
    </w:p>
    <w:p w14:paraId="600A7910" w14:textId="77777777" w:rsidR="000E123C" w:rsidRDefault="00F544F9" w:rsidP="000E123C">
      <w:pPr>
        <w:pStyle w:val="BodyText"/>
        <w:keepNext/>
      </w:pPr>
      <w:r>
        <w:rPr>
          <w:noProof/>
        </w:rPr>
        <w:lastRenderedPageBreak/>
        <w:drawing>
          <wp:inline distT="0" distB="0" distL="0" distR="0" wp14:anchorId="2AF80AD5" wp14:editId="458E0818">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3FD0C9B3" w14:textId="64E700CC" w:rsidR="000E123C" w:rsidRPr="00F544F9" w:rsidRDefault="000E123C" w:rsidP="000E123C">
      <w:pPr>
        <w:pStyle w:val="BodyText"/>
      </w:pPr>
      <w:bookmarkStart w:id="31" w:name="_Ref232410803"/>
      <w:r>
        <w:t xml:space="preserve">Supplemental Figure </w:t>
      </w:r>
      <w:r w:rsidR="003323D0">
        <w:fldChar w:fldCharType="begin"/>
      </w:r>
      <w:r w:rsidR="003323D0">
        <w:instrText xml:space="preserve"> SEQ Supplemental_Figure \* ARABIC </w:instrText>
      </w:r>
      <w:r w:rsidR="003323D0">
        <w:fldChar w:fldCharType="separate"/>
      </w:r>
      <w:r w:rsidR="003323D0">
        <w:rPr>
          <w:noProof/>
        </w:rPr>
        <w:t>3</w:t>
      </w:r>
      <w:r w:rsidR="003323D0">
        <w:rPr>
          <w:noProof/>
        </w:rPr>
        <w:fldChar w:fldCharType="end"/>
      </w:r>
      <w:bookmarkEnd w:id="31"/>
      <w:r>
        <w:t>: Top 8 most studied plant families in the dataset over time, showing the prevalence of Poaceae in the dataset of studied plant hosts.</w:t>
      </w:r>
    </w:p>
    <w:p w14:paraId="132ABF90" w14:textId="47D69CBD" w:rsidR="00F544F9" w:rsidRDefault="00F544F9" w:rsidP="000E123C">
      <w:pPr>
        <w:pStyle w:val="Caption"/>
      </w:pPr>
    </w:p>
    <w:bookmarkEnd w:id="1"/>
    <w:bookmarkEnd w:id="28"/>
    <w:p w14:paraId="120DFB62" w14:textId="40CAF894" w:rsidR="000E123C" w:rsidRDefault="00772645" w:rsidP="000E123C">
      <w:pPr>
        <w:pStyle w:val="BodyText"/>
        <w:keepNext/>
      </w:pPr>
      <w:r>
        <w:rPr>
          <w:noProof/>
        </w:rPr>
        <w:drawing>
          <wp:inline distT="0" distB="0" distL="0" distR="0" wp14:anchorId="1AE742B1" wp14:editId="2F44C4CF">
            <wp:extent cx="4572000" cy="3516923"/>
            <wp:effectExtent l="0" t="0" r="0" b="7620"/>
            <wp:docPr id="13767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82310" cy="3524854"/>
                    </a:xfrm>
                    <a:prstGeom prst="rect">
                      <a:avLst/>
                    </a:prstGeom>
                    <a:noFill/>
                    <a:ln>
                      <a:noFill/>
                    </a:ln>
                  </pic:spPr>
                </pic:pic>
              </a:graphicData>
            </a:graphic>
          </wp:inline>
        </w:drawing>
      </w:r>
    </w:p>
    <w:p w14:paraId="343DB548" w14:textId="747AA431" w:rsidR="00526817" w:rsidRDefault="000E123C" w:rsidP="000E123C">
      <w:pPr>
        <w:pStyle w:val="Caption"/>
      </w:pPr>
      <w:bookmarkStart w:id="32" w:name="_Ref232413424"/>
      <w:r>
        <w:t xml:space="preserve">Supplemental Figure </w:t>
      </w:r>
      <w:r w:rsidR="003323D0">
        <w:fldChar w:fldCharType="begin"/>
      </w:r>
      <w:r w:rsidR="003323D0">
        <w:instrText xml:space="preserve"> SEQ Supplemental_Figure \* ARABIC </w:instrText>
      </w:r>
      <w:r w:rsidR="003323D0">
        <w:fldChar w:fldCharType="separate"/>
      </w:r>
      <w:r w:rsidR="003323D0">
        <w:rPr>
          <w:noProof/>
        </w:rPr>
        <w:t>4</w:t>
      </w:r>
      <w:r w:rsidR="003323D0">
        <w:rPr>
          <w:noProof/>
        </w:rPr>
        <w:fldChar w:fldCharType="end"/>
      </w:r>
      <w:bookmarkEnd w:id="32"/>
      <w:r>
        <w:t>: Most frequently studied plant tissues for fungal endophytes.</w:t>
      </w:r>
    </w:p>
    <w:p w14:paraId="73A73406" w14:textId="77777777" w:rsidR="000E123C" w:rsidRDefault="00073BEE" w:rsidP="000E123C">
      <w:pPr>
        <w:pStyle w:val="BodyText"/>
        <w:keepNext/>
      </w:pPr>
      <w:r>
        <w:rPr>
          <w:noProof/>
        </w:rPr>
        <w:lastRenderedPageBreak/>
        <w:drawing>
          <wp:inline distT="0" distB="0" distL="0" distR="0" wp14:anchorId="1B967A2B" wp14:editId="76D982EF">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73F7894D" w14:textId="5C3872D9" w:rsidR="00E942C8" w:rsidRDefault="000E123C" w:rsidP="00840C47">
      <w:pPr>
        <w:pStyle w:val="Caption"/>
      </w:pPr>
      <w:bookmarkStart w:id="33" w:name="_Ref232413497"/>
      <w:r>
        <w:t xml:space="preserve">Supplemental Figure </w:t>
      </w:r>
      <w:r w:rsidR="003323D0">
        <w:fldChar w:fldCharType="begin"/>
      </w:r>
      <w:r w:rsidR="003323D0">
        <w:instrText xml:space="preserve"> SEQ Supplemental_Figure \* ARABIC </w:instrText>
      </w:r>
      <w:r w:rsidR="003323D0">
        <w:fldChar w:fldCharType="separate"/>
      </w:r>
      <w:r w:rsidR="003323D0">
        <w:rPr>
          <w:noProof/>
        </w:rPr>
        <w:t>5</w:t>
      </w:r>
      <w:r w:rsidR="003323D0">
        <w:rPr>
          <w:noProof/>
        </w:rPr>
        <w:fldChar w:fldCharType="end"/>
      </w:r>
      <w:bookmarkEnd w:id="33"/>
      <w:r>
        <w:t>: Correlation heatmap of research effort, socioeconomic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p>
    <w:p w14:paraId="1CD3B945" w14:textId="5E39B947" w:rsidR="006C06B3" w:rsidRDefault="006C06B3">
      <w:pPr>
        <w:pStyle w:val="BodyText"/>
      </w:pPr>
    </w:p>
    <w:p w14:paraId="10BC5715" w14:textId="77777777" w:rsidR="00526817" w:rsidRDefault="00526817">
      <w:pPr>
        <w:pStyle w:val="BodyText"/>
      </w:pPr>
    </w:p>
    <w:p w14:paraId="0A94B73F" w14:textId="0F4B3D24" w:rsidR="00526817" w:rsidRDefault="00526817">
      <w:pPr>
        <w:pStyle w:val="BodyText"/>
      </w:pPr>
      <w:r>
        <w:t xml:space="preserve">Works </w:t>
      </w:r>
      <w:commentRangeStart w:id="34"/>
      <w:commentRangeStart w:id="35"/>
      <w:r>
        <w:t>Cited</w:t>
      </w:r>
      <w:commentRangeEnd w:id="34"/>
      <w:r>
        <w:rPr>
          <w:rStyle w:val="CommentReference"/>
          <w:sz w:val="24"/>
          <w:szCs w:val="24"/>
        </w:rPr>
        <w:commentReference w:id="34"/>
      </w:r>
      <w:commentRangeEnd w:id="35"/>
      <w:r w:rsidR="00126178">
        <w:rPr>
          <w:rStyle w:val="CommentReference"/>
          <w:sz w:val="24"/>
          <w:szCs w:val="24"/>
        </w:rPr>
        <w:commentReference w:id="35"/>
      </w:r>
    </w:p>
    <w:p w14:paraId="2D8123F4" w14:textId="77777777" w:rsidR="007D552A" w:rsidRPr="007D552A" w:rsidRDefault="00526817" w:rsidP="007D552A">
      <w:pPr>
        <w:pStyle w:val="Bibliography"/>
      </w:pPr>
      <w:r>
        <w:fldChar w:fldCharType="begin"/>
      </w:r>
      <w:r w:rsidR="00B71598">
        <w:instrText xml:space="preserve"> ADDIN ZOTERO_BIBL {"uncited":[],"omitted":[],"custom":[]} CSL_BIBLIOGRAPHY </w:instrText>
      </w:r>
      <w:r>
        <w:fldChar w:fldCharType="separate"/>
      </w:r>
      <w:r w:rsidR="007D552A" w:rsidRPr="007D552A">
        <w:rPr>
          <w:b/>
          <w:bCs/>
        </w:rPr>
        <w:t>Arnold A, Lutzoni F</w:t>
      </w:r>
      <w:r w:rsidR="007D552A" w:rsidRPr="007D552A">
        <w:t xml:space="preserve">. </w:t>
      </w:r>
      <w:r w:rsidR="007D552A" w:rsidRPr="007D552A">
        <w:rPr>
          <w:b/>
          <w:bCs/>
        </w:rPr>
        <w:t>2007</w:t>
      </w:r>
      <w:r w:rsidR="007D552A" w:rsidRPr="007D552A">
        <w:t xml:space="preserve">. Diversity and host range of foliar fungal endophytes: Are tropical leaves biodiversity hotspots? </w:t>
      </w:r>
      <w:r w:rsidR="007D552A" w:rsidRPr="007D552A">
        <w:rPr>
          <w:i/>
          <w:iCs/>
        </w:rPr>
        <w:t>Ecology</w:t>
      </w:r>
      <w:r w:rsidR="007D552A" w:rsidRPr="007D552A">
        <w:t xml:space="preserve"> </w:t>
      </w:r>
      <w:r w:rsidR="007D552A" w:rsidRPr="007D552A">
        <w:rPr>
          <w:b/>
          <w:bCs/>
        </w:rPr>
        <w:t>88</w:t>
      </w:r>
      <w:r w:rsidR="007D552A" w:rsidRPr="007D552A">
        <w:t>: 541–549.</w:t>
      </w:r>
    </w:p>
    <w:p w14:paraId="4E4D16EA" w14:textId="77777777" w:rsidR="007D552A" w:rsidRPr="007D552A" w:rsidRDefault="007D552A" w:rsidP="007D552A">
      <w:pPr>
        <w:pStyle w:val="Bibliography"/>
      </w:pPr>
      <w:r w:rsidRPr="007D552A">
        <w:rPr>
          <w:b/>
          <w:bCs/>
        </w:rPr>
        <w:t>Arnold A, Maynard Z, Gilbert G, Coley P, Kursar T</w:t>
      </w:r>
      <w:r w:rsidRPr="007D552A">
        <w:t xml:space="preserve">. </w:t>
      </w:r>
      <w:r w:rsidRPr="007D552A">
        <w:rPr>
          <w:b/>
          <w:bCs/>
        </w:rPr>
        <w:t>2000</w:t>
      </w:r>
      <w:r w:rsidRPr="007D552A">
        <w:t xml:space="preserve">. Are tropical fungal endophytes hyperdiverse? </w:t>
      </w:r>
      <w:r w:rsidRPr="007D552A">
        <w:rPr>
          <w:i/>
          <w:iCs/>
        </w:rPr>
        <w:t>Ecology Letters</w:t>
      </w:r>
      <w:r w:rsidRPr="007D552A">
        <w:t xml:space="preserve"> </w:t>
      </w:r>
      <w:r w:rsidRPr="007D552A">
        <w:rPr>
          <w:b/>
          <w:bCs/>
        </w:rPr>
        <w:t>3</w:t>
      </w:r>
      <w:r w:rsidRPr="007D552A">
        <w:t>: 267–274.</w:t>
      </w:r>
    </w:p>
    <w:p w14:paraId="7E74EF96" w14:textId="77777777" w:rsidR="007D552A" w:rsidRPr="007D552A" w:rsidRDefault="007D552A" w:rsidP="007D552A">
      <w:pPr>
        <w:pStyle w:val="Bibliography"/>
      </w:pPr>
      <w:r w:rsidRPr="007D552A">
        <w:rPr>
          <w:b/>
          <w:bCs/>
        </w:rPr>
        <w:t xml:space="preserve">Bertini L, Perazzolli M, Proietti S, Capaldi G, Savatin D, Bigini V, Longa C, Basaglia M, Favaro L, Casella S, </w:t>
      </w:r>
      <w:r w:rsidRPr="007D552A">
        <w:rPr>
          <w:b/>
          <w:bCs/>
          <w:i/>
          <w:iCs/>
        </w:rPr>
        <w:t>et al.</w:t>
      </w:r>
      <w:r w:rsidRPr="007D552A">
        <w:t xml:space="preserve"> </w:t>
      </w:r>
      <w:r w:rsidRPr="007D552A">
        <w:rPr>
          <w:b/>
          <w:bCs/>
        </w:rPr>
        <w:t>2022</w:t>
      </w:r>
      <w:r w:rsidRPr="007D552A">
        <w:t xml:space="preserve">. Biodiversity and Bioprospecting of Fungal Endophytes from the Antarctic Plant Colobanthus quitensis. </w:t>
      </w:r>
      <w:r w:rsidRPr="007D552A">
        <w:rPr>
          <w:i/>
          <w:iCs/>
        </w:rPr>
        <w:t>Journal of Fungi</w:t>
      </w:r>
      <w:r w:rsidRPr="007D552A">
        <w:t xml:space="preserve"> </w:t>
      </w:r>
      <w:r w:rsidRPr="007D552A">
        <w:rPr>
          <w:b/>
          <w:bCs/>
        </w:rPr>
        <w:t>8</w:t>
      </w:r>
      <w:r w:rsidRPr="007D552A">
        <w:t>.</w:t>
      </w:r>
    </w:p>
    <w:p w14:paraId="671852DD" w14:textId="77777777" w:rsidR="007D552A" w:rsidRPr="007D552A" w:rsidRDefault="007D552A" w:rsidP="007D552A">
      <w:pPr>
        <w:pStyle w:val="Bibliography"/>
      </w:pPr>
      <w:r w:rsidRPr="007D552A">
        <w:rPr>
          <w:b/>
          <w:bCs/>
        </w:rPr>
        <w:t>Carroll G</w:t>
      </w:r>
      <w:r w:rsidRPr="007D552A">
        <w:t xml:space="preserve">. </w:t>
      </w:r>
      <w:r w:rsidRPr="007D552A">
        <w:rPr>
          <w:b/>
          <w:bCs/>
        </w:rPr>
        <w:t>1988</w:t>
      </w:r>
      <w:r w:rsidRPr="007D552A">
        <w:t xml:space="preserve">. Fungal Endophytes in Stems and Leaves: From Latent Pathogen to Mutualistic Symbiont. </w:t>
      </w:r>
      <w:r w:rsidRPr="007D552A">
        <w:rPr>
          <w:i/>
          <w:iCs/>
        </w:rPr>
        <w:t>Ecology</w:t>
      </w:r>
      <w:r w:rsidRPr="007D552A">
        <w:t xml:space="preserve"> </w:t>
      </w:r>
      <w:r w:rsidRPr="007D552A">
        <w:rPr>
          <w:b/>
          <w:bCs/>
        </w:rPr>
        <w:t>69</w:t>
      </w:r>
      <w:r w:rsidRPr="007D552A">
        <w:t>: 2–9.</w:t>
      </w:r>
    </w:p>
    <w:p w14:paraId="2B2FCE6A" w14:textId="77777777" w:rsidR="007D552A" w:rsidRPr="007D552A" w:rsidRDefault="007D552A" w:rsidP="007D552A">
      <w:pPr>
        <w:pStyle w:val="Bibliography"/>
      </w:pPr>
      <w:r w:rsidRPr="007D552A">
        <w:rPr>
          <w:b/>
          <w:bCs/>
        </w:rPr>
        <w:t>Christie AP, Amano T, Martin PA, Petrovan SO, Shackelford GE, Simmons BI, Smith RK, Williams DR, Wordley CFR, Sutherland WJ</w:t>
      </w:r>
      <w:r w:rsidRPr="007D552A">
        <w:t xml:space="preserve">. </w:t>
      </w:r>
      <w:r w:rsidRPr="007D552A">
        <w:rPr>
          <w:b/>
          <w:bCs/>
        </w:rPr>
        <w:t>2021</w:t>
      </w:r>
      <w:r w:rsidRPr="007D552A">
        <w:t xml:space="preserve">. The challenge of biased evidence in conservation. </w:t>
      </w:r>
      <w:r w:rsidRPr="007D552A">
        <w:rPr>
          <w:i/>
          <w:iCs/>
        </w:rPr>
        <w:t>Conservation Biology</w:t>
      </w:r>
      <w:r w:rsidRPr="007D552A">
        <w:t xml:space="preserve"> </w:t>
      </w:r>
      <w:r w:rsidRPr="007D552A">
        <w:rPr>
          <w:b/>
          <w:bCs/>
        </w:rPr>
        <w:t>35</w:t>
      </w:r>
      <w:r w:rsidRPr="007D552A">
        <w:t>: 249–262.</w:t>
      </w:r>
    </w:p>
    <w:p w14:paraId="640E8216" w14:textId="77777777" w:rsidR="007D552A" w:rsidRPr="007D552A" w:rsidRDefault="007D552A" w:rsidP="007D552A">
      <w:pPr>
        <w:pStyle w:val="Bibliography"/>
      </w:pPr>
      <w:r w:rsidRPr="007D552A">
        <w:rPr>
          <w:b/>
          <w:bCs/>
        </w:rPr>
        <w:t>Cosner J, Pandharikar G, Tremble K, Nash J, Rush TA, Vilgalys R, Veneault-Fourrey C</w:t>
      </w:r>
      <w:r w:rsidRPr="007D552A">
        <w:t xml:space="preserve">. </w:t>
      </w:r>
      <w:r w:rsidRPr="007D552A">
        <w:rPr>
          <w:b/>
          <w:bCs/>
        </w:rPr>
        <w:t>2025</w:t>
      </w:r>
      <w:r w:rsidRPr="007D552A">
        <w:t xml:space="preserve">. Fungal endophytes. </w:t>
      </w:r>
      <w:r w:rsidRPr="007D552A">
        <w:rPr>
          <w:i/>
          <w:iCs/>
        </w:rPr>
        <w:t>Current Biology</w:t>
      </w:r>
      <w:r w:rsidRPr="007D552A">
        <w:t xml:space="preserve"> </w:t>
      </w:r>
      <w:r w:rsidRPr="007D552A">
        <w:rPr>
          <w:b/>
          <w:bCs/>
        </w:rPr>
        <w:t>35</w:t>
      </w:r>
      <w:r w:rsidRPr="007D552A">
        <w:t>: R904–R910.</w:t>
      </w:r>
    </w:p>
    <w:p w14:paraId="1BA16E12" w14:textId="77777777" w:rsidR="007D552A" w:rsidRPr="007D552A" w:rsidRDefault="007D552A" w:rsidP="007D552A">
      <w:pPr>
        <w:pStyle w:val="Bibliography"/>
      </w:pPr>
      <w:r w:rsidRPr="007D552A">
        <w:rPr>
          <w:b/>
          <w:bCs/>
        </w:rPr>
        <w:lastRenderedPageBreak/>
        <w:t>Cvitanovic C, Fulton CJ, Wilson SK, Van Kerkhoff L, Cripps IL, Muthiga N</w:t>
      </w:r>
      <w:r w:rsidRPr="007D552A">
        <w:t xml:space="preserve">. </w:t>
      </w:r>
      <w:r w:rsidRPr="007D552A">
        <w:rPr>
          <w:b/>
          <w:bCs/>
        </w:rPr>
        <w:t>2014</w:t>
      </w:r>
      <w:r w:rsidRPr="007D552A">
        <w:t xml:space="preserve">. Utility of primary scientific literature to environmental managers: An international case study on coral-dominated marine protected areas. </w:t>
      </w:r>
      <w:r w:rsidRPr="007D552A">
        <w:rPr>
          <w:i/>
          <w:iCs/>
        </w:rPr>
        <w:t>Ocean &amp; Coastal Management</w:t>
      </w:r>
      <w:r w:rsidRPr="007D552A">
        <w:t xml:space="preserve"> </w:t>
      </w:r>
      <w:r w:rsidRPr="007D552A">
        <w:rPr>
          <w:b/>
          <w:bCs/>
        </w:rPr>
        <w:t>102</w:t>
      </w:r>
      <w:r w:rsidRPr="007D552A">
        <w:t>: 72–78.</w:t>
      </w:r>
    </w:p>
    <w:p w14:paraId="1B08677B" w14:textId="77777777" w:rsidR="007D552A" w:rsidRPr="007D552A" w:rsidRDefault="007D552A" w:rsidP="007D552A">
      <w:pPr>
        <w:pStyle w:val="Bibliography"/>
      </w:pPr>
      <w:r w:rsidRPr="007D552A">
        <w:rPr>
          <w:b/>
          <w:bCs/>
        </w:rPr>
        <w:t>Davis EC, Shaw AJ</w:t>
      </w:r>
      <w:r w:rsidRPr="007D552A">
        <w:t xml:space="preserve">. </w:t>
      </w:r>
      <w:r w:rsidRPr="007D552A">
        <w:rPr>
          <w:b/>
          <w:bCs/>
        </w:rPr>
        <w:t>2008</w:t>
      </w:r>
      <w:r w:rsidRPr="007D552A">
        <w:t>. Biogeographic and phylogenetic patterns in diversity of liverwort</w:t>
      </w:r>
      <w:r w:rsidRPr="007D552A">
        <w:rPr>
          <w:rFonts w:ascii="Cambria Math" w:hAnsi="Cambria Math" w:cs="Cambria Math"/>
        </w:rPr>
        <w:t>‐</w:t>
      </w:r>
      <w:r w:rsidRPr="007D552A">
        <w:t xml:space="preserve">associated endophytes. </w:t>
      </w:r>
      <w:r w:rsidRPr="007D552A">
        <w:rPr>
          <w:i/>
          <w:iCs/>
        </w:rPr>
        <w:t>American Journal of Botany</w:t>
      </w:r>
      <w:r w:rsidRPr="007D552A">
        <w:t xml:space="preserve"> </w:t>
      </w:r>
      <w:r w:rsidRPr="007D552A">
        <w:rPr>
          <w:b/>
          <w:bCs/>
        </w:rPr>
        <w:t>95</w:t>
      </w:r>
      <w:r w:rsidRPr="007D552A">
        <w:t>: 914–924.</w:t>
      </w:r>
    </w:p>
    <w:p w14:paraId="2C76A357" w14:textId="77777777" w:rsidR="007D552A" w:rsidRPr="007D552A" w:rsidRDefault="007D552A" w:rsidP="007D552A">
      <w:pPr>
        <w:pStyle w:val="Bibliography"/>
      </w:pPr>
      <w:r w:rsidRPr="007D552A">
        <w:rPr>
          <w:b/>
          <w:bCs/>
        </w:rPr>
        <w:t>Gazis R, Skaltsas D, Chaverri P</w:t>
      </w:r>
      <w:r w:rsidRPr="007D552A">
        <w:t xml:space="preserve">. </w:t>
      </w:r>
      <w:r w:rsidRPr="007D552A">
        <w:rPr>
          <w:b/>
          <w:bCs/>
        </w:rPr>
        <w:t>2014</w:t>
      </w:r>
      <w:r w:rsidRPr="007D552A">
        <w:t xml:space="preserve">. Novel endophytic lineages of </w:t>
      </w:r>
      <w:r w:rsidRPr="007D552A">
        <w:rPr>
          <w:i/>
          <w:iCs/>
        </w:rPr>
        <w:t>Tolypocladium</w:t>
      </w:r>
      <w:r w:rsidRPr="007D552A">
        <w:t xml:space="preserve"> provide new insights into the ecology and evolution of </w:t>
      </w:r>
      <w:r w:rsidRPr="007D552A">
        <w:rPr>
          <w:i/>
          <w:iCs/>
        </w:rPr>
        <w:t>Cordyceps</w:t>
      </w:r>
      <w:r w:rsidRPr="007D552A">
        <w:t xml:space="preserve"> -like fungi. </w:t>
      </w:r>
      <w:r w:rsidRPr="007D552A">
        <w:rPr>
          <w:i/>
          <w:iCs/>
        </w:rPr>
        <w:t>Mycologia</w:t>
      </w:r>
      <w:r w:rsidRPr="007D552A">
        <w:t xml:space="preserve"> </w:t>
      </w:r>
      <w:r w:rsidRPr="007D552A">
        <w:rPr>
          <w:b/>
          <w:bCs/>
        </w:rPr>
        <w:t>106</w:t>
      </w:r>
      <w:r w:rsidRPr="007D552A">
        <w:t>: 1090–1105.</w:t>
      </w:r>
    </w:p>
    <w:p w14:paraId="5E650949" w14:textId="77777777" w:rsidR="007D552A" w:rsidRPr="007D552A" w:rsidRDefault="007D552A" w:rsidP="007D552A">
      <w:pPr>
        <w:pStyle w:val="Bibliography"/>
      </w:pPr>
      <w:r w:rsidRPr="007D552A">
        <w:rPr>
          <w:b/>
          <w:bCs/>
        </w:rPr>
        <w:t>GBIF Secretariat</w:t>
      </w:r>
      <w:r w:rsidRPr="007D552A">
        <w:t xml:space="preserve">. </w:t>
      </w:r>
      <w:r w:rsidRPr="007D552A">
        <w:rPr>
          <w:b/>
          <w:bCs/>
        </w:rPr>
        <w:t>2023</w:t>
      </w:r>
      <w:r w:rsidRPr="007D552A">
        <w:t>. GBIF Backbone Taxonomy.</w:t>
      </w:r>
    </w:p>
    <w:p w14:paraId="652216B3" w14:textId="77777777" w:rsidR="007D552A" w:rsidRPr="007D552A" w:rsidRDefault="007D552A" w:rsidP="007D552A">
      <w:pPr>
        <w:pStyle w:val="Bibliography"/>
      </w:pPr>
      <w:r w:rsidRPr="007D552A">
        <w:rPr>
          <w:b/>
          <w:bCs/>
        </w:rPr>
        <w:t>Hardoim PR, Van Overbeek LS, Berg G, Pirttilä AM, Compant S, Campisano A, Döring M, Sessitsch A</w:t>
      </w:r>
      <w:r w:rsidRPr="007D552A">
        <w:t xml:space="preserve">. </w:t>
      </w:r>
      <w:r w:rsidRPr="007D552A">
        <w:rPr>
          <w:b/>
          <w:bCs/>
        </w:rPr>
        <w:t>2015</w:t>
      </w:r>
      <w:r w:rsidRPr="007D552A">
        <w:t xml:space="preserve">. The Hidden World within Plants: Ecological and Evolutionary Considerations for Defining Functioning of Microbial Endophytes. </w:t>
      </w:r>
      <w:r w:rsidRPr="007D552A">
        <w:rPr>
          <w:i/>
          <w:iCs/>
        </w:rPr>
        <w:t>Microbiology and Molecular Biology Reviews</w:t>
      </w:r>
      <w:r w:rsidRPr="007D552A">
        <w:t xml:space="preserve"> </w:t>
      </w:r>
      <w:r w:rsidRPr="007D552A">
        <w:rPr>
          <w:b/>
          <w:bCs/>
        </w:rPr>
        <w:t>79</w:t>
      </w:r>
      <w:r w:rsidRPr="007D552A">
        <w:t>: 293–320.</w:t>
      </w:r>
    </w:p>
    <w:p w14:paraId="67CDC16B" w14:textId="77777777" w:rsidR="007D552A" w:rsidRPr="007D552A" w:rsidRDefault="007D552A" w:rsidP="007D552A">
      <w:pPr>
        <w:pStyle w:val="Bibliography"/>
      </w:pPr>
      <w:r w:rsidRPr="007D552A">
        <w:rPr>
          <w:b/>
          <w:bCs/>
        </w:rPr>
        <w:t>Harrison JG, Griffin EA</w:t>
      </w:r>
      <w:r w:rsidRPr="007D552A">
        <w:t xml:space="preserve">. </w:t>
      </w:r>
      <w:r w:rsidRPr="007D552A">
        <w:rPr>
          <w:b/>
          <w:bCs/>
        </w:rPr>
        <w:t>2020</w:t>
      </w:r>
      <w:r w:rsidRPr="007D552A">
        <w:t xml:space="preserve">. The diversity and distribution of endophytes across biomes, plant phylogeny and host tissues: how far have we come and where do we go from here? </w:t>
      </w:r>
      <w:r w:rsidRPr="007D552A">
        <w:rPr>
          <w:i/>
          <w:iCs/>
        </w:rPr>
        <w:t>Environmental Microbiology</w:t>
      </w:r>
      <w:r w:rsidRPr="007D552A">
        <w:t xml:space="preserve"> </w:t>
      </w:r>
      <w:r w:rsidRPr="007D552A">
        <w:rPr>
          <w:b/>
          <w:bCs/>
        </w:rPr>
        <w:t>22</w:t>
      </w:r>
      <w:r w:rsidRPr="007D552A">
        <w:t>: 2107–2123.</w:t>
      </w:r>
    </w:p>
    <w:p w14:paraId="5B821164" w14:textId="77777777" w:rsidR="007D552A" w:rsidRPr="007D552A" w:rsidRDefault="007D552A" w:rsidP="007D552A">
      <w:pPr>
        <w:pStyle w:val="Bibliography"/>
      </w:pPr>
      <w:r w:rsidRPr="007D552A">
        <w:rPr>
          <w:b/>
          <w:bCs/>
        </w:rPr>
        <w:t>Hughes A, Orr M, Ma K, Costello M, Waller J, Provoost P, Zhu C, Qiao H</w:t>
      </w:r>
      <w:r w:rsidRPr="007D552A">
        <w:t xml:space="preserve">. </w:t>
      </w:r>
      <w:r w:rsidRPr="007D552A">
        <w:rPr>
          <w:b/>
          <w:bCs/>
        </w:rPr>
        <w:t>2020</w:t>
      </w:r>
      <w:r w:rsidRPr="007D552A">
        <w:t>. Sampling biases shape our view of the natural world.</w:t>
      </w:r>
    </w:p>
    <w:p w14:paraId="27E21C45" w14:textId="77777777" w:rsidR="007D552A" w:rsidRPr="007D552A" w:rsidRDefault="007D552A" w:rsidP="007D552A">
      <w:pPr>
        <w:pStyle w:val="Bibliography"/>
      </w:pPr>
      <w:r w:rsidRPr="007D552A">
        <w:rPr>
          <w:b/>
          <w:bCs/>
        </w:rPr>
        <w:t>Jumpponen A</w:t>
      </w:r>
      <w:r w:rsidRPr="007D552A">
        <w:t xml:space="preserve">. </w:t>
      </w:r>
      <w:r w:rsidRPr="007D552A">
        <w:rPr>
          <w:b/>
          <w:bCs/>
        </w:rPr>
        <w:t>2001</w:t>
      </w:r>
      <w:r w:rsidRPr="007D552A">
        <w:t xml:space="preserve">. Dark septate endophytes - are they mycorrhizal? </w:t>
      </w:r>
      <w:r w:rsidRPr="007D552A">
        <w:rPr>
          <w:i/>
          <w:iCs/>
        </w:rPr>
        <w:t>Mycorrhiza</w:t>
      </w:r>
      <w:r w:rsidRPr="007D552A">
        <w:t xml:space="preserve"> </w:t>
      </w:r>
      <w:r w:rsidRPr="007D552A">
        <w:rPr>
          <w:b/>
          <w:bCs/>
        </w:rPr>
        <w:t>11</w:t>
      </w:r>
      <w:r w:rsidRPr="007D552A">
        <w:t>: 207–211.</w:t>
      </w:r>
    </w:p>
    <w:p w14:paraId="28634EF8" w14:textId="77777777" w:rsidR="007D552A" w:rsidRPr="007D552A" w:rsidRDefault="007D552A" w:rsidP="007D552A">
      <w:pPr>
        <w:pStyle w:val="Bibliography"/>
      </w:pPr>
      <w:r w:rsidRPr="007D552A">
        <w:rPr>
          <w:b/>
          <w:bCs/>
        </w:rPr>
        <w:t>Kusari S, Hertweck C, Spiteller M</w:t>
      </w:r>
      <w:r w:rsidRPr="007D552A">
        <w:t xml:space="preserve">. </w:t>
      </w:r>
      <w:r w:rsidRPr="007D552A">
        <w:rPr>
          <w:b/>
          <w:bCs/>
        </w:rPr>
        <w:t>2012</w:t>
      </w:r>
      <w:r w:rsidRPr="007D552A">
        <w:t xml:space="preserve">. Chemical Ecology of Endophytic Fungi: Origins of Secondary Metabolites. </w:t>
      </w:r>
      <w:r w:rsidRPr="007D552A">
        <w:rPr>
          <w:i/>
          <w:iCs/>
        </w:rPr>
        <w:t>Chemistry &amp; Biology</w:t>
      </w:r>
      <w:r w:rsidRPr="007D552A">
        <w:t xml:space="preserve"> </w:t>
      </w:r>
      <w:r w:rsidRPr="007D552A">
        <w:rPr>
          <w:b/>
          <w:bCs/>
        </w:rPr>
        <w:t>19</w:t>
      </w:r>
      <w:r w:rsidRPr="007D552A">
        <w:t>: 792–798.</w:t>
      </w:r>
    </w:p>
    <w:p w14:paraId="04D95A03" w14:textId="77777777" w:rsidR="007D552A" w:rsidRPr="007D552A" w:rsidRDefault="007D552A" w:rsidP="007D552A">
      <w:pPr>
        <w:pStyle w:val="Bibliography"/>
      </w:pPr>
      <w:r w:rsidRPr="007D552A">
        <w:rPr>
          <w:b/>
          <w:bCs/>
        </w:rPr>
        <w:t>Mandyam KG, Jumpponen A</w:t>
      </w:r>
      <w:r w:rsidRPr="007D552A">
        <w:t xml:space="preserve">. </w:t>
      </w:r>
      <w:r w:rsidRPr="007D552A">
        <w:rPr>
          <w:b/>
          <w:bCs/>
        </w:rPr>
        <w:t>2015</w:t>
      </w:r>
      <w:r w:rsidRPr="007D552A">
        <w:t xml:space="preserve">. Mutualism-parasitism paradigm synthesized from results of root-endophyte models. </w:t>
      </w:r>
      <w:r w:rsidRPr="007D552A">
        <w:rPr>
          <w:i/>
          <w:iCs/>
        </w:rPr>
        <w:t>Frontiers in Microbiology</w:t>
      </w:r>
      <w:r w:rsidRPr="007D552A">
        <w:t xml:space="preserve"> </w:t>
      </w:r>
      <w:r w:rsidRPr="007D552A">
        <w:rPr>
          <w:b/>
          <w:bCs/>
        </w:rPr>
        <w:t>5</w:t>
      </w:r>
      <w:r w:rsidRPr="007D552A">
        <w:t>.</w:t>
      </w:r>
    </w:p>
    <w:p w14:paraId="215ED75E" w14:textId="77777777" w:rsidR="007D552A" w:rsidRPr="007D552A" w:rsidRDefault="007D552A" w:rsidP="007D552A">
      <w:pPr>
        <w:pStyle w:val="Bibliography"/>
      </w:pPr>
      <w:r w:rsidRPr="007D552A">
        <w:rPr>
          <w:b/>
          <w:bCs/>
        </w:rPr>
        <w:t>Microsoft</w:t>
      </w:r>
      <w:r w:rsidRPr="007D552A">
        <w:t xml:space="preserve">. </w:t>
      </w:r>
      <w:r w:rsidRPr="007D552A">
        <w:rPr>
          <w:b/>
          <w:bCs/>
        </w:rPr>
        <w:t>2026</w:t>
      </w:r>
      <w:r w:rsidRPr="007D552A">
        <w:t>. Visual Studio Code.</w:t>
      </w:r>
    </w:p>
    <w:p w14:paraId="4E79066B" w14:textId="77777777" w:rsidR="007D552A" w:rsidRPr="007D552A" w:rsidRDefault="007D552A" w:rsidP="007D552A">
      <w:pPr>
        <w:pStyle w:val="Bibliography"/>
      </w:pPr>
      <w:r w:rsidRPr="007D552A">
        <w:rPr>
          <w:b/>
          <w:bCs/>
        </w:rPr>
        <w:t>Mörsdorf MA, Ravolainen VT, Støvern LE, Yoccoz NG, Jónsdóttir IS, Bråthen KA</w:t>
      </w:r>
      <w:r w:rsidRPr="007D552A">
        <w:t xml:space="preserve">. </w:t>
      </w:r>
      <w:r w:rsidRPr="007D552A">
        <w:rPr>
          <w:b/>
          <w:bCs/>
        </w:rPr>
        <w:t>2015</w:t>
      </w:r>
      <w:r w:rsidRPr="007D552A">
        <w:t xml:space="preserve">. Definition of sampling units begets conclusions in ecology: the case of habitats for plant communities. </w:t>
      </w:r>
      <w:r w:rsidRPr="007D552A">
        <w:rPr>
          <w:i/>
          <w:iCs/>
        </w:rPr>
        <w:t>PeerJ</w:t>
      </w:r>
      <w:r w:rsidRPr="007D552A">
        <w:t xml:space="preserve"> </w:t>
      </w:r>
      <w:r w:rsidRPr="007D552A">
        <w:rPr>
          <w:b/>
          <w:bCs/>
        </w:rPr>
        <w:t>3</w:t>
      </w:r>
      <w:r w:rsidRPr="007D552A">
        <w:t>: e815.</w:t>
      </w:r>
    </w:p>
    <w:p w14:paraId="13F80579" w14:textId="77777777" w:rsidR="007D552A" w:rsidRPr="007D552A" w:rsidRDefault="007D552A" w:rsidP="007D552A">
      <w:pPr>
        <w:pStyle w:val="Bibliography"/>
      </w:pPr>
      <w:r w:rsidRPr="007D552A">
        <w:rPr>
          <w:b/>
          <w:bCs/>
        </w:rPr>
        <w:t>Myers JA, Chase JM, Jiménez I, Jørgensen PM, Araujo</w:t>
      </w:r>
      <w:r w:rsidRPr="007D552A">
        <w:rPr>
          <w:rFonts w:ascii="Cambria Math" w:hAnsi="Cambria Math" w:cs="Cambria Math"/>
          <w:b/>
          <w:bCs/>
        </w:rPr>
        <w:t>‐</w:t>
      </w:r>
      <w:r w:rsidRPr="007D552A">
        <w:rPr>
          <w:b/>
          <w:bCs/>
        </w:rPr>
        <w:t>Murakami A, Paniagua</w:t>
      </w:r>
      <w:r w:rsidRPr="007D552A">
        <w:rPr>
          <w:rFonts w:ascii="Cambria Math" w:hAnsi="Cambria Math" w:cs="Cambria Math"/>
          <w:b/>
          <w:bCs/>
        </w:rPr>
        <w:t>‐</w:t>
      </w:r>
      <w:r w:rsidRPr="007D552A">
        <w:rPr>
          <w:b/>
          <w:bCs/>
        </w:rPr>
        <w:t>Zambrana N, Seidel R</w:t>
      </w:r>
      <w:r w:rsidRPr="007D552A">
        <w:t xml:space="preserve">. </w:t>
      </w:r>
      <w:r w:rsidRPr="007D552A">
        <w:rPr>
          <w:b/>
          <w:bCs/>
        </w:rPr>
        <w:t>2013</w:t>
      </w:r>
      <w:r w:rsidRPr="007D552A">
        <w:t>. Beta</w:t>
      </w:r>
      <w:r w:rsidRPr="007D552A">
        <w:rPr>
          <w:rFonts w:ascii="Cambria Math" w:hAnsi="Cambria Math" w:cs="Cambria Math"/>
        </w:rPr>
        <w:t>‐</w:t>
      </w:r>
      <w:r w:rsidRPr="007D552A">
        <w:t xml:space="preserve">diversity in temperate and tropical forests reflects dissimilar mechanisms of community assembly (H Cornell, Ed.). </w:t>
      </w:r>
      <w:r w:rsidRPr="007D552A">
        <w:rPr>
          <w:i/>
          <w:iCs/>
        </w:rPr>
        <w:t>Ecology Letters</w:t>
      </w:r>
      <w:r w:rsidRPr="007D552A">
        <w:t xml:space="preserve"> </w:t>
      </w:r>
      <w:r w:rsidRPr="007D552A">
        <w:rPr>
          <w:b/>
          <w:bCs/>
        </w:rPr>
        <w:t>16</w:t>
      </w:r>
      <w:r w:rsidRPr="007D552A">
        <w:t>: 151–157.</w:t>
      </w:r>
    </w:p>
    <w:p w14:paraId="2CF6BB30" w14:textId="77777777" w:rsidR="007D552A" w:rsidRPr="007D552A" w:rsidRDefault="007D552A" w:rsidP="007D552A">
      <w:pPr>
        <w:pStyle w:val="Bibliography"/>
      </w:pPr>
      <w:r w:rsidRPr="007D552A">
        <w:rPr>
          <w:b/>
          <w:bCs/>
        </w:rPr>
        <w:lastRenderedPageBreak/>
        <w:t>Newman DJ, Cragg GM</w:t>
      </w:r>
      <w:r w:rsidRPr="007D552A">
        <w:t xml:space="preserve">. </w:t>
      </w:r>
      <w:r w:rsidRPr="007D552A">
        <w:rPr>
          <w:b/>
          <w:bCs/>
        </w:rPr>
        <w:t>2012</w:t>
      </w:r>
      <w:r w:rsidRPr="007D552A">
        <w:t xml:space="preserve">. Natural Products As Sources of New Drugs over the 30 Years from 1981 to 2010. </w:t>
      </w:r>
      <w:r w:rsidRPr="007D552A">
        <w:rPr>
          <w:i/>
          <w:iCs/>
        </w:rPr>
        <w:t>Journal of Natural Products</w:t>
      </w:r>
      <w:r w:rsidRPr="007D552A">
        <w:t xml:space="preserve"> </w:t>
      </w:r>
      <w:r w:rsidRPr="007D552A">
        <w:rPr>
          <w:b/>
          <w:bCs/>
        </w:rPr>
        <w:t>75</w:t>
      </w:r>
      <w:r w:rsidRPr="007D552A">
        <w:t>: 311–335.</w:t>
      </w:r>
    </w:p>
    <w:p w14:paraId="1077FE2D" w14:textId="77777777" w:rsidR="007D552A" w:rsidRPr="007D552A" w:rsidRDefault="007D552A" w:rsidP="007D552A">
      <w:pPr>
        <w:pStyle w:val="Bibliography"/>
      </w:pPr>
      <w:r w:rsidRPr="007D552A">
        <w:rPr>
          <w:b/>
          <w:bCs/>
        </w:rPr>
        <w:t>Nuñez MA, Chiuffo MC, Pauchard A, Zenni RD</w:t>
      </w:r>
      <w:r w:rsidRPr="007D552A">
        <w:t xml:space="preserve">. </w:t>
      </w:r>
      <w:r w:rsidRPr="007D552A">
        <w:rPr>
          <w:b/>
          <w:bCs/>
        </w:rPr>
        <w:t>2021</w:t>
      </w:r>
      <w:r w:rsidRPr="007D552A">
        <w:t xml:space="preserve">. Making ecology really global. </w:t>
      </w:r>
      <w:r w:rsidRPr="007D552A">
        <w:rPr>
          <w:i/>
          <w:iCs/>
        </w:rPr>
        <w:t>Trends in Ecology &amp; Evolution</w:t>
      </w:r>
      <w:r w:rsidRPr="007D552A">
        <w:t xml:space="preserve"> </w:t>
      </w:r>
      <w:r w:rsidRPr="007D552A">
        <w:rPr>
          <w:b/>
          <w:bCs/>
        </w:rPr>
        <w:t>36</w:t>
      </w:r>
      <w:r w:rsidRPr="007D552A">
        <w:t>: 766–769.</w:t>
      </w:r>
    </w:p>
    <w:p w14:paraId="665EC0BD" w14:textId="77777777" w:rsidR="007D552A" w:rsidRPr="007D552A" w:rsidRDefault="007D552A" w:rsidP="007D552A">
      <w:pPr>
        <w:pStyle w:val="Bibliography"/>
      </w:pPr>
      <w:r w:rsidRPr="00522E69">
        <w:rPr>
          <w:b/>
          <w:bCs/>
          <w:lang w:val="sv-SE"/>
        </w:rPr>
        <w:t>Orlando L, Rivera-Rebella C, Pinelli V, Pereira-Garbero R, Hernandez D, Ortiz E, Ziegler L</w:t>
      </w:r>
      <w:r w:rsidRPr="00522E69">
        <w:rPr>
          <w:lang w:val="sv-SE"/>
        </w:rPr>
        <w:t xml:space="preserve">. </w:t>
      </w:r>
      <w:r w:rsidRPr="00522E69">
        <w:rPr>
          <w:b/>
          <w:bCs/>
          <w:lang w:val="sv-SE"/>
        </w:rPr>
        <w:t>2018</w:t>
      </w:r>
      <w:r w:rsidRPr="00522E69">
        <w:rPr>
          <w:lang w:val="sv-SE"/>
        </w:rPr>
        <w:t xml:space="preserve">. </w:t>
      </w:r>
      <w:r w:rsidRPr="007D552A">
        <w:t xml:space="preserve">100 articles every ecologist can actually read? </w:t>
      </w:r>
      <w:r w:rsidRPr="007D552A">
        <w:rPr>
          <w:i/>
          <w:iCs/>
        </w:rPr>
        <w:t>Neotropical Biology and Conservation</w:t>
      </w:r>
      <w:r w:rsidRPr="007D552A">
        <w:t xml:space="preserve"> </w:t>
      </w:r>
      <w:r w:rsidRPr="007D552A">
        <w:rPr>
          <w:b/>
          <w:bCs/>
        </w:rPr>
        <w:t>13</w:t>
      </w:r>
      <w:r w:rsidRPr="007D552A">
        <w:t>: 334–336.</w:t>
      </w:r>
    </w:p>
    <w:p w14:paraId="5C14FBEF" w14:textId="77777777" w:rsidR="007D552A" w:rsidRPr="007D552A" w:rsidRDefault="007D552A" w:rsidP="007D552A">
      <w:pPr>
        <w:pStyle w:val="Bibliography"/>
      </w:pPr>
      <w:r w:rsidRPr="007D552A">
        <w:rPr>
          <w:b/>
          <w:bCs/>
        </w:rPr>
        <w:t>Petrini O</w:t>
      </w:r>
      <w:r w:rsidRPr="007D552A">
        <w:t xml:space="preserve">. </w:t>
      </w:r>
      <w:r w:rsidRPr="007D552A">
        <w:rPr>
          <w:b/>
          <w:bCs/>
        </w:rPr>
        <w:t>1991</w:t>
      </w:r>
      <w:r w:rsidRPr="007D552A">
        <w:t>. Fungal Endophytes of Tree Leaves. In: Andrews JH, Hirano SS, eds. Brock/Springer Series in Contemporary Bioscience. Microbial Ecology of Leaves. New York, NY: Springer New York, 179–197.</w:t>
      </w:r>
    </w:p>
    <w:p w14:paraId="2C11E188" w14:textId="77777777" w:rsidR="007D552A" w:rsidRPr="007D552A" w:rsidRDefault="007D552A" w:rsidP="007D552A">
      <w:pPr>
        <w:pStyle w:val="Bibliography"/>
      </w:pPr>
      <w:r w:rsidRPr="007D552A">
        <w:rPr>
          <w:b/>
          <w:bCs/>
        </w:rPr>
        <w:t>Pyšek P, Richardson DM, Pergl J, Jarošík V, Sixtová Z, Weber E</w:t>
      </w:r>
      <w:r w:rsidRPr="007D552A">
        <w:t xml:space="preserve">. </w:t>
      </w:r>
      <w:r w:rsidRPr="007D552A">
        <w:rPr>
          <w:b/>
          <w:bCs/>
        </w:rPr>
        <w:t>2008</w:t>
      </w:r>
      <w:r w:rsidRPr="007D552A">
        <w:t xml:space="preserve">. Geographical and taxonomic biases in invasion ecology. </w:t>
      </w:r>
      <w:r w:rsidRPr="007D552A">
        <w:rPr>
          <w:i/>
          <w:iCs/>
        </w:rPr>
        <w:t>Trends in Ecology &amp; Evolution</w:t>
      </w:r>
      <w:r w:rsidRPr="007D552A">
        <w:t xml:space="preserve"> </w:t>
      </w:r>
      <w:r w:rsidRPr="007D552A">
        <w:rPr>
          <w:b/>
          <w:bCs/>
        </w:rPr>
        <w:t>23</w:t>
      </w:r>
      <w:r w:rsidRPr="007D552A">
        <w:t>: 237–244.</w:t>
      </w:r>
    </w:p>
    <w:p w14:paraId="4505F2DA" w14:textId="77777777" w:rsidR="007D552A" w:rsidRPr="007D552A" w:rsidRDefault="007D552A" w:rsidP="007D552A">
      <w:pPr>
        <w:pStyle w:val="Bibliography"/>
      </w:pPr>
      <w:r w:rsidRPr="007D552A">
        <w:rPr>
          <w:b/>
          <w:bCs/>
        </w:rPr>
        <w:t>Python Software Foundation</w:t>
      </w:r>
      <w:r w:rsidRPr="007D552A">
        <w:t xml:space="preserve">. </w:t>
      </w:r>
      <w:r w:rsidRPr="007D552A">
        <w:rPr>
          <w:b/>
          <w:bCs/>
        </w:rPr>
        <w:t>2025</w:t>
      </w:r>
      <w:r w:rsidRPr="007D552A">
        <w:t xml:space="preserve">. </w:t>
      </w:r>
      <w:r w:rsidRPr="007D552A">
        <w:rPr>
          <w:i/>
          <w:iCs/>
        </w:rPr>
        <w:t>Python Language Reference, Version 3.13.5</w:t>
      </w:r>
      <w:r w:rsidRPr="007D552A">
        <w:t>.</w:t>
      </w:r>
    </w:p>
    <w:p w14:paraId="104263E0" w14:textId="77777777" w:rsidR="007D552A" w:rsidRPr="007D552A" w:rsidRDefault="007D552A" w:rsidP="007D552A">
      <w:pPr>
        <w:pStyle w:val="Bibliography"/>
      </w:pPr>
      <w:r w:rsidRPr="007D552A">
        <w:rPr>
          <w:b/>
          <w:bCs/>
        </w:rPr>
        <w:t>R Core Team</w:t>
      </w:r>
      <w:r w:rsidRPr="007D552A">
        <w:t xml:space="preserve">. </w:t>
      </w:r>
      <w:r w:rsidRPr="007D552A">
        <w:rPr>
          <w:b/>
          <w:bCs/>
        </w:rPr>
        <w:t>2023</w:t>
      </w:r>
      <w:r w:rsidRPr="007D552A">
        <w:t>. R: A Language and Environment for Statistical Computing.</w:t>
      </w:r>
    </w:p>
    <w:p w14:paraId="5DFE3136" w14:textId="77777777" w:rsidR="007D552A" w:rsidRPr="007D552A" w:rsidRDefault="007D552A" w:rsidP="007D552A">
      <w:pPr>
        <w:pStyle w:val="Bibliography"/>
      </w:pPr>
      <w:r w:rsidRPr="007D552A">
        <w:rPr>
          <w:b/>
          <w:bCs/>
        </w:rPr>
        <w:t>Renvoize S, Luteyn JL, Churchill SP, Iii DG, Gradstein SR, Sipman HJM, A. MRG</w:t>
      </w:r>
      <w:r w:rsidRPr="007D552A">
        <w:t xml:space="preserve">. </w:t>
      </w:r>
      <w:r w:rsidRPr="007D552A">
        <w:rPr>
          <w:b/>
          <w:bCs/>
        </w:rPr>
        <w:t>2000</w:t>
      </w:r>
      <w:r w:rsidRPr="007D552A">
        <w:t xml:space="preserve">. Paramos: A Checklist of Plant Diversity, Geographical Distribution, and Botanical Literature (Memoirs of the New York Botanical Garden Volume 84). </w:t>
      </w:r>
      <w:r w:rsidRPr="007D552A">
        <w:rPr>
          <w:i/>
          <w:iCs/>
        </w:rPr>
        <w:t>Kew Bulletin</w:t>
      </w:r>
      <w:r w:rsidRPr="007D552A">
        <w:t xml:space="preserve"> </w:t>
      </w:r>
      <w:r w:rsidRPr="007D552A">
        <w:rPr>
          <w:b/>
          <w:bCs/>
        </w:rPr>
        <w:t>55</w:t>
      </w:r>
      <w:r w:rsidRPr="007D552A">
        <w:t>: 1017.</w:t>
      </w:r>
    </w:p>
    <w:p w14:paraId="7BB2BE3A" w14:textId="77777777" w:rsidR="007D552A" w:rsidRPr="007D552A" w:rsidRDefault="007D552A" w:rsidP="007D552A">
      <w:pPr>
        <w:pStyle w:val="Bibliography"/>
      </w:pPr>
      <w:r w:rsidRPr="007D552A">
        <w:rPr>
          <w:b/>
          <w:bCs/>
        </w:rPr>
        <w:t>Rodriguez RJ, White Jr JF, Arnold AE, Redman RS</w:t>
      </w:r>
      <w:r w:rsidRPr="007D552A">
        <w:t xml:space="preserve">. </w:t>
      </w:r>
      <w:r w:rsidRPr="007D552A">
        <w:rPr>
          <w:b/>
          <w:bCs/>
        </w:rPr>
        <w:t>2009</w:t>
      </w:r>
      <w:r w:rsidRPr="007D552A">
        <w:t xml:space="preserve">. Fungal endophytes: diversity and functional roles. </w:t>
      </w:r>
      <w:r w:rsidRPr="007D552A">
        <w:rPr>
          <w:i/>
          <w:iCs/>
        </w:rPr>
        <w:t>New Phytologist</w:t>
      </w:r>
      <w:r w:rsidRPr="007D552A">
        <w:t xml:space="preserve"> </w:t>
      </w:r>
      <w:r w:rsidRPr="007D552A">
        <w:rPr>
          <w:b/>
          <w:bCs/>
        </w:rPr>
        <w:t>182</w:t>
      </w:r>
      <w:r w:rsidRPr="007D552A">
        <w:t>: 314–330.</w:t>
      </w:r>
    </w:p>
    <w:p w14:paraId="1338C091" w14:textId="77777777" w:rsidR="007D552A" w:rsidRPr="007D552A" w:rsidRDefault="007D552A" w:rsidP="007D552A">
      <w:pPr>
        <w:pStyle w:val="Bibliography"/>
      </w:pPr>
      <w:r w:rsidRPr="007D552A">
        <w:rPr>
          <w:b/>
          <w:bCs/>
        </w:rPr>
        <w:t>Saxena S, Strobel GA</w:t>
      </w:r>
      <w:r w:rsidRPr="007D552A">
        <w:t xml:space="preserve">. </w:t>
      </w:r>
      <w:r w:rsidRPr="007D552A">
        <w:rPr>
          <w:b/>
          <w:bCs/>
        </w:rPr>
        <w:t>2021</w:t>
      </w:r>
      <w:r w:rsidRPr="007D552A">
        <w:t xml:space="preserve">. Marvellous Muscodor spp.: Update on Their Biology and Applications. </w:t>
      </w:r>
      <w:r w:rsidRPr="007D552A">
        <w:rPr>
          <w:i/>
          <w:iCs/>
        </w:rPr>
        <w:t>Microbial Ecology</w:t>
      </w:r>
      <w:r w:rsidRPr="007D552A">
        <w:t xml:space="preserve"> </w:t>
      </w:r>
      <w:r w:rsidRPr="007D552A">
        <w:rPr>
          <w:b/>
          <w:bCs/>
        </w:rPr>
        <w:t>82</w:t>
      </w:r>
      <w:r w:rsidRPr="007D552A">
        <w:t>: 5–20.</w:t>
      </w:r>
    </w:p>
    <w:p w14:paraId="03403A25" w14:textId="77777777" w:rsidR="007D552A" w:rsidRPr="007D552A" w:rsidRDefault="007D552A" w:rsidP="007D552A">
      <w:pPr>
        <w:pStyle w:val="Bibliography"/>
      </w:pPr>
      <w:r w:rsidRPr="007D552A">
        <w:rPr>
          <w:b/>
          <w:bCs/>
        </w:rPr>
        <w:t>Scherer RW, Meerpohl JJ, Pfeifer N, Schmucker C, Schwarzer G, Von Elm E</w:t>
      </w:r>
      <w:r w:rsidRPr="007D552A">
        <w:t xml:space="preserve">. </w:t>
      </w:r>
      <w:r w:rsidRPr="007D552A">
        <w:rPr>
          <w:b/>
          <w:bCs/>
        </w:rPr>
        <w:t>2018</w:t>
      </w:r>
      <w:r w:rsidRPr="007D552A">
        <w:t xml:space="preserve">. Full publication of results initially presented in abstracts (Cochrane Methodology Review Group, Ed.). </w:t>
      </w:r>
      <w:r w:rsidRPr="007D552A">
        <w:rPr>
          <w:i/>
          <w:iCs/>
        </w:rPr>
        <w:t>Cochrane Database of Systematic Reviews</w:t>
      </w:r>
      <w:r w:rsidRPr="007D552A">
        <w:t xml:space="preserve"> </w:t>
      </w:r>
      <w:r w:rsidRPr="007D552A">
        <w:rPr>
          <w:b/>
          <w:bCs/>
        </w:rPr>
        <w:t>2018</w:t>
      </w:r>
      <w:r w:rsidRPr="007D552A">
        <w:t>.</w:t>
      </w:r>
    </w:p>
    <w:p w14:paraId="52034B26" w14:textId="77777777" w:rsidR="007D552A" w:rsidRPr="007D552A" w:rsidRDefault="007D552A" w:rsidP="007D552A">
      <w:pPr>
        <w:pStyle w:val="Bibliography"/>
      </w:pPr>
      <w:r w:rsidRPr="007D552A">
        <w:rPr>
          <w:b/>
          <w:bCs/>
        </w:rPr>
        <w:t>Schulz B, Boyle C</w:t>
      </w:r>
      <w:r w:rsidRPr="007D552A">
        <w:t xml:space="preserve">. </w:t>
      </w:r>
      <w:r w:rsidRPr="007D552A">
        <w:rPr>
          <w:b/>
          <w:bCs/>
        </w:rPr>
        <w:t>2005</w:t>
      </w:r>
      <w:r w:rsidRPr="007D552A">
        <w:t xml:space="preserve">. The endophytic continuum. </w:t>
      </w:r>
      <w:r w:rsidRPr="007D552A">
        <w:rPr>
          <w:i/>
          <w:iCs/>
        </w:rPr>
        <w:t>Mycological Research</w:t>
      </w:r>
      <w:r w:rsidRPr="007D552A">
        <w:t xml:space="preserve"> </w:t>
      </w:r>
      <w:r w:rsidRPr="007D552A">
        <w:rPr>
          <w:b/>
          <w:bCs/>
        </w:rPr>
        <w:t>109</w:t>
      </w:r>
      <w:r w:rsidRPr="007D552A">
        <w:t>: 661–686.</w:t>
      </w:r>
    </w:p>
    <w:p w14:paraId="6366C300" w14:textId="77777777" w:rsidR="007D552A" w:rsidRPr="007D552A" w:rsidRDefault="007D552A" w:rsidP="007D552A">
      <w:pPr>
        <w:pStyle w:val="Bibliography"/>
      </w:pPr>
      <w:r w:rsidRPr="007D552A">
        <w:rPr>
          <w:b/>
          <w:bCs/>
        </w:rPr>
        <w:t>Soberon J, Peterson AT</w:t>
      </w:r>
      <w:r w:rsidRPr="007D552A">
        <w:t xml:space="preserve">. </w:t>
      </w:r>
      <w:r w:rsidRPr="007D552A">
        <w:rPr>
          <w:b/>
          <w:bCs/>
        </w:rPr>
        <w:t>2005</w:t>
      </w:r>
      <w:r w:rsidRPr="007D552A">
        <w:t xml:space="preserve">. Interpretation of Models of Fundamental Ecological Niches and Species’ Distributional Areas. </w:t>
      </w:r>
      <w:r w:rsidRPr="007D552A">
        <w:rPr>
          <w:i/>
          <w:iCs/>
        </w:rPr>
        <w:t>Biodiversity Informatics</w:t>
      </w:r>
      <w:r w:rsidRPr="007D552A">
        <w:t xml:space="preserve"> </w:t>
      </w:r>
      <w:r w:rsidRPr="007D552A">
        <w:rPr>
          <w:b/>
          <w:bCs/>
        </w:rPr>
        <w:t>2</w:t>
      </w:r>
      <w:r w:rsidRPr="007D552A">
        <w:t>.</w:t>
      </w:r>
    </w:p>
    <w:p w14:paraId="7853D1CE" w14:textId="77777777" w:rsidR="007D552A" w:rsidRPr="007D552A" w:rsidRDefault="007D552A" w:rsidP="007D552A">
      <w:pPr>
        <w:pStyle w:val="Bibliography"/>
      </w:pPr>
      <w:r w:rsidRPr="007D552A">
        <w:rPr>
          <w:b/>
          <w:bCs/>
        </w:rPr>
        <w:t>Soto E, Montoya C, Castaño A, Granobles J</w:t>
      </w:r>
      <w:r w:rsidRPr="007D552A">
        <w:t xml:space="preserve">. </w:t>
      </w:r>
      <w:r w:rsidRPr="007D552A">
        <w:rPr>
          <w:b/>
          <w:bCs/>
        </w:rPr>
        <w:t>2023</w:t>
      </w:r>
      <w:r w:rsidRPr="007D552A">
        <w:t xml:space="preserve">. Diversity patterns of vascular and non-vascular epiphytes along tropical dry forest. </w:t>
      </w:r>
      <w:r w:rsidRPr="007D552A">
        <w:rPr>
          <w:i/>
          <w:iCs/>
        </w:rPr>
        <w:t>Revista de Biología Tropical</w:t>
      </w:r>
      <w:r w:rsidRPr="007D552A">
        <w:t xml:space="preserve"> </w:t>
      </w:r>
      <w:r w:rsidRPr="007D552A">
        <w:rPr>
          <w:b/>
          <w:bCs/>
        </w:rPr>
        <w:t>71</w:t>
      </w:r>
      <w:r w:rsidRPr="007D552A">
        <w:t>: e53522.</w:t>
      </w:r>
    </w:p>
    <w:p w14:paraId="42A4C0E0" w14:textId="77777777" w:rsidR="007D552A" w:rsidRPr="007D552A" w:rsidRDefault="007D552A" w:rsidP="007D552A">
      <w:pPr>
        <w:pStyle w:val="Bibliography"/>
      </w:pPr>
      <w:r w:rsidRPr="007D552A">
        <w:rPr>
          <w:b/>
          <w:bCs/>
        </w:rPr>
        <w:t>Stone JK, Bacon CW, White F</w:t>
      </w:r>
      <w:r w:rsidRPr="007D552A">
        <w:t xml:space="preserve">. </w:t>
      </w:r>
      <w:r w:rsidRPr="007D552A">
        <w:rPr>
          <w:b/>
          <w:bCs/>
        </w:rPr>
        <w:t>2000</w:t>
      </w:r>
      <w:r w:rsidRPr="007D552A">
        <w:t>. An Overview of Endophytic Microbes: Endophytism Defined. In: Microbial Endophytes. CRC Press, 1–28.</w:t>
      </w:r>
    </w:p>
    <w:p w14:paraId="458820B9" w14:textId="77777777" w:rsidR="007D552A" w:rsidRPr="007D552A" w:rsidRDefault="007D552A" w:rsidP="007D552A">
      <w:pPr>
        <w:pStyle w:val="Bibliography"/>
      </w:pPr>
      <w:r w:rsidRPr="007D552A">
        <w:rPr>
          <w:b/>
          <w:bCs/>
        </w:rPr>
        <w:lastRenderedPageBreak/>
        <w:t>Strobel GA</w:t>
      </w:r>
      <w:r w:rsidRPr="007D552A">
        <w:t xml:space="preserve">. </w:t>
      </w:r>
      <w:r w:rsidRPr="007D552A">
        <w:rPr>
          <w:b/>
          <w:bCs/>
        </w:rPr>
        <w:t>2003</w:t>
      </w:r>
      <w:r w:rsidRPr="007D552A">
        <w:t xml:space="preserve">. Endophytes as sources of bioactive products. </w:t>
      </w:r>
      <w:r w:rsidRPr="007D552A">
        <w:rPr>
          <w:i/>
          <w:iCs/>
        </w:rPr>
        <w:t>Microbes and Infection</w:t>
      </w:r>
      <w:r w:rsidRPr="007D552A">
        <w:t xml:space="preserve"> </w:t>
      </w:r>
      <w:r w:rsidRPr="007D552A">
        <w:rPr>
          <w:b/>
          <w:bCs/>
        </w:rPr>
        <w:t>5</w:t>
      </w:r>
      <w:r w:rsidRPr="007D552A">
        <w:t>: 535–544.</w:t>
      </w:r>
    </w:p>
    <w:p w14:paraId="125C40C3" w14:textId="77777777" w:rsidR="007D552A" w:rsidRPr="007D552A" w:rsidRDefault="007D552A" w:rsidP="007D552A">
      <w:pPr>
        <w:pStyle w:val="Bibliography"/>
      </w:pPr>
      <w:r w:rsidRPr="007D552A">
        <w:rPr>
          <w:b/>
          <w:bCs/>
        </w:rPr>
        <w:t>Strobel G</w:t>
      </w:r>
      <w:r w:rsidRPr="007D552A">
        <w:t xml:space="preserve">. </w:t>
      </w:r>
      <w:r w:rsidRPr="007D552A">
        <w:rPr>
          <w:b/>
          <w:bCs/>
        </w:rPr>
        <w:t>2018</w:t>
      </w:r>
      <w:r w:rsidRPr="007D552A">
        <w:t xml:space="preserve">. The Emergence of Endophytic Microbes and Their Biological Promise. </w:t>
      </w:r>
      <w:r w:rsidRPr="007D552A">
        <w:rPr>
          <w:i/>
          <w:iCs/>
        </w:rPr>
        <w:t>JOURNAL OF FUNGI</w:t>
      </w:r>
      <w:r w:rsidRPr="007D552A">
        <w:t xml:space="preserve"> </w:t>
      </w:r>
      <w:r w:rsidRPr="007D552A">
        <w:rPr>
          <w:b/>
          <w:bCs/>
        </w:rPr>
        <w:t>4</w:t>
      </w:r>
      <w:r w:rsidRPr="007D552A">
        <w:t>.</w:t>
      </w:r>
    </w:p>
    <w:p w14:paraId="782D2D5D" w14:textId="77777777" w:rsidR="007D552A" w:rsidRPr="007D552A" w:rsidRDefault="007D552A" w:rsidP="007D552A">
      <w:pPr>
        <w:pStyle w:val="Bibliography"/>
      </w:pPr>
      <w:r w:rsidRPr="007D552A">
        <w:rPr>
          <w:b/>
          <w:bCs/>
        </w:rPr>
        <w:t xml:space="preserve">Tedersoo L, Bahram M, Põlme S, Kõljalg U, Yorou NS, Wijesundera R, Ruiz LV, Vasco-Palacios AM, Thu PQ, Suija A, </w:t>
      </w:r>
      <w:r w:rsidRPr="007D552A">
        <w:rPr>
          <w:b/>
          <w:bCs/>
          <w:i/>
          <w:iCs/>
        </w:rPr>
        <w:t>et al.</w:t>
      </w:r>
      <w:r w:rsidRPr="007D552A">
        <w:t xml:space="preserve"> </w:t>
      </w:r>
      <w:r w:rsidRPr="007D552A">
        <w:rPr>
          <w:b/>
          <w:bCs/>
        </w:rPr>
        <w:t>2014</w:t>
      </w:r>
      <w:r w:rsidRPr="007D552A">
        <w:t xml:space="preserve">. Global diversity and geography of soil fungi. </w:t>
      </w:r>
      <w:r w:rsidRPr="007D552A">
        <w:rPr>
          <w:i/>
          <w:iCs/>
        </w:rPr>
        <w:t>Science</w:t>
      </w:r>
      <w:r w:rsidRPr="007D552A">
        <w:t xml:space="preserve"> </w:t>
      </w:r>
      <w:r w:rsidRPr="007D552A">
        <w:rPr>
          <w:b/>
          <w:bCs/>
        </w:rPr>
        <w:t>346</w:t>
      </w:r>
      <w:r w:rsidRPr="007D552A">
        <w:t>: 1256688.</w:t>
      </w:r>
    </w:p>
    <w:p w14:paraId="78322F49" w14:textId="77777777" w:rsidR="007D552A" w:rsidRPr="007D552A" w:rsidRDefault="007D552A" w:rsidP="007D552A">
      <w:pPr>
        <w:pStyle w:val="Bibliography"/>
      </w:pPr>
      <w:r w:rsidRPr="007D552A">
        <w:rPr>
          <w:b/>
          <w:bCs/>
        </w:rPr>
        <w:t>Townsend A, Asner G, Cleveland C</w:t>
      </w:r>
      <w:r w:rsidRPr="007D552A">
        <w:t xml:space="preserve">. </w:t>
      </w:r>
      <w:r w:rsidRPr="007D552A">
        <w:rPr>
          <w:b/>
          <w:bCs/>
        </w:rPr>
        <w:t>2008</w:t>
      </w:r>
      <w:r w:rsidRPr="007D552A">
        <w:t xml:space="preserve">. The biogeochemical heterogeneity of tropical forests. </w:t>
      </w:r>
      <w:r w:rsidRPr="007D552A">
        <w:rPr>
          <w:i/>
          <w:iCs/>
        </w:rPr>
        <w:t>Trends in Ecology &amp; Evolution</w:t>
      </w:r>
      <w:r w:rsidRPr="007D552A">
        <w:t xml:space="preserve"> </w:t>
      </w:r>
      <w:r w:rsidRPr="007D552A">
        <w:rPr>
          <w:b/>
          <w:bCs/>
        </w:rPr>
        <w:t>23</w:t>
      </w:r>
      <w:r w:rsidRPr="007D552A">
        <w:t>: 424–431.</w:t>
      </w:r>
    </w:p>
    <w:p w14:paraId="384CEFF1" w14:textId="77777777" w:rsidR="007D552A" w:rsidRPr="007D552A" w:rsidRDefault="007D552A" w:rsidP="007D552A">
      <w:pPr>
        <w:pStyle w:val="Bibliography"/>
      </w:pPr>
      <w:r w:rsidRPr="007D552A">
        <w:rPr>
          <w:b/>
          <w:bCs/>
        </w:rPr>
        <w:t>U’Ren JM, Lutzoni F, Miadlikowska J, Laetsch AD, Arnold AE</w:t>
      </w:r>
      <w:r w:rsidRPr="007D552A">
        <w:t xml:space="preserve">. </w:t>
      </w:r>
      <w:r w:rsidRPr="007D552A">
        <w:rPr>
          <w:b/>
          <w:bCs/>
        </w:rPr>
        <w:t>2012</w:t>
      </w:r>
      <w:r w:rsidRPr="007D552A">
        <w:t xml:space="preserve">. Host and geographic structure of endophytic and endolichenic fungi at a continental scale. </w:t>
      </w:r>
      <w:r w:rsidRPr="007D552A">
        <w:rPr>
          <w:i/>
          <w:iCs/>
        </w:rPr>
        <w:t>American Journal of Botany</w:t>
      </w:r>
      <w:r w:rsidRPr="007D552A">
        <w:t xml:space="preserve"> </w:t>
      </w:r>
      <w:r w:rsidRPr="007D552A">
        <w:rPr>
          <w:b/>
          <w:bCs/>
        </w:rPr>
        <w:t>99</w:t>
      </w:r>
      <w:r w:rsidRPr="007D552A">
        <w:t>: 898–914.</w:t>
      </w:r>
    </w:p>
    <w:p w14:paraId="7A9DC418" w14:textId="77777777" w:rsidR="007D552A" w:rsidRPr="007D552A" w:rsidRDefault="007D552A" w:rsidP="007D552A">
      <w:pPr>
        <w:pStyle w:val="Bibliography"/>
      </w:pPr>
      <w:r w:rsidRPr="007D552A">
        <w:rPr>
          <w:b/>
          <w:bCs/>
        </w:rPr>
        <w:t>Wilson D</w:t>
      </w:r>
      <w:r w:rsidRPr="007D552A">
        <w:t xml:space="preserve">. </w:t>
      </w:r>
      <w:r w:rsidRPr="007D552A">
        <w:rPr>
          <w:b/>
          <w:bCs/>
        </w:rPr>
        <w:t>1995</w:t>
      </w:r>
      <w:r w:rsidRPr="007D552A">
        <w:t xml:space="preserve">. Fungal Endophytes Which Invade Insect Galls - Insect Pathogens, Benign Saprophytes, or Fungal Inquilines. </w:t>
      </w:r>
      <w:r w:rsidRPr="007D552A">
        <w:rPr>
          <w:i/>
          <w:iCs/>
        </w:rPr>
        <w:t>Oecologia</w:t>
      </w:r>
      <w:r w:rsidRPr="007D552A">
        <w:t xml:space="preserve"> </w:t>
      </w:r>
      <w:r w:rsidRPr="007D552A">
        <w:rPr>
          <w:b/>
          <w:bCs/>
        </w:rPr>
        <w:t>103</w:t>
      </w:r>
      <w:r w:rsidRPr="007D552A">
        <w:t>: 255–260.</w:t>
      </w:r>
    </w:p>
    <w:p w14:paraId="1178BADE" w14:textId="77777777" w:rsidR="007D552A" w:rsidRPr="007D552A" w:rsidRDefault="007D552A" w:rsidP="007D552A">
      <w:pPr>
        <w:pStyle w:val="Bibliography"/>
      </w:pPr>
      <w:r w:rsidRPr="007D552A">
        <w:rPr>
          <w:b/>
          <w:bCs/>
        </w:rPr>
        <w:t>World Bank</w:t>
      </w:r>
      <w:r w:rsidRPr="007D552A">
        <w:t xml:space="preserve">. </w:t>
      </w:r>
      <w:r w:rsidRPr="007D552A">
        <w:rPr>
          <w:b/>
          <w:bCs/>
        </w:rPr>
        <w:t>2026</w:t>
      </w:r>
      <w:r w:rsidRPr="007D552A">
        <w:t>. World Bank Open Data: GDP (Current US$).</w:t>
      </w:r>
    </w:p>
    <w:p w14:paraId="5FA58AB9" w14:textId="77777777" w:rsidR="007D552A" w:rsidRPr="007D552A" w:rsidRDefault="007D552A" w:rsidP="007D552A">
      <w:pPr>
        <w:pStyle w:val="Bibliography"/>
      </w:pPr>
      <w:r w:rsidRPr="007D552A">
        <w:rPr>
          <w:b/>
          <w:bCs/>
        </w:rPr>
        <w:t>Zuk M</w:t>
      </w:r>
      <w:r w:rsidRPr="007D552A">
        <w:t xml:space="preserve">. </w:t>
      </w:r>
      <w:r w:rsidRPr="007D552A">
        <w:rPr>
          <w:b/>
          <w:bCs/>
        </w:rPr>
        <w:t>2016</w:t>
      </w:r>
      <w:r w:rsidRPr="007D552A">
        <w:t xml:space="preserve">. Temperate Assumptions: How Where We Work Influences How We Think. </w:t>
      </w:r>
      <w:r w:rsidRPr="007D552A">
        <w:rPr>
          <w:i/>
          <w:iCs/>
        </w:rPr>
        <w:t>The American Naturalist</w:t>
      </w:r>
      <w:r w:rsidRPr="007D552A">
        <w:t xml:space="preserve"> </w:t>
      </w:r>
      <w:r w:rsidRPr="007D552A">
        <w:rPr>
          <w:b/>
          <w:bCs/>
        </w:rPr>
        <w:t>188</w:t>
      </w:r>
      <w:r w:rsidRPr="007D552A">
        <w:t>: S1–S7.</w:t>
      </w:r>
    </w:p>
    <w:p w14:paraId="274FB4CB" w14:textId="45DAEF20" w:rsidR="00526817" w:rsidRDefault="00526817">
      <w:pPr>
        <w:pStyle w:val="BodyText"/>
      </w:pPr>
      <w:r>
        <w:fldChar w:fldCharType="end"/>
      </w:r>
    </w:p>
    <w:sectPr w:rsidR="00526817" w:rsidSect="00465D1D">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Beatrice Bock" w:date="2026-06-04T13:06:00Z" w:initials="BB">
    <w:p w14:paraId="2F9765AA" w14:textId="77777777" w:rsidR="00F52713" w:rsidRDefault="00F52713" w:rsidP="00F52713">
      <w:pPr>
        <w:pStyle w:val="CommentText"/>
      </w:pPr>
      <w:r>
        <w:rPr>
          <w:rStyle w:val="CommentReference"/>
        </w:rPr>
        <w:annotationRef/>
      </w:r>
      <w:r>
        <w:t>Will add actual link once I upload to Zenodo, which I will do right before submitting in case I do any last minute additions to the code.</w:t>
      </w:r>
    </w:p>
  </w:comment>
  <w:comment w:id="22" w:author="Catherine A Gehring" w:date="2026-06-19T07:39:00Z" w:initials="CAG">
    <w:p w14:paraId="13BD89C9" w14:textId="77777777" w:rsidR="006A5BFC" w:rsidRDefault="006A5BFC" w:rsidP="006A5BFC">
      <w:r>
        <w:rPr>
          <w:rStyle w:val="CommentReference"/>
        </w:rPr>
        <w:annotationRef/>
      </w:r>
      <w:r>
        <w:rPr>
          <w:sz w:val="20"/>
          <w:szCs w:val="20"/>
        </w:rPr>
        <w:t>just say the location within the supplementary files?</w:t>
      </w:r>
    </w:p>
  </w:comment>
  <w:comment w:id="34"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 w:id="35" w:author="Beatrice Bock" w:date="2026-06-05T11:27:00Z" w:initials="BB">
    <w:p w14:paraId="7B869264" w14:textId="77777777" w:rsidR="00126178" w:rsidRDefault="00126178" w:rsidP="00126178">
      <w:pPr>
        <w:pStyle w:val="CommentText"/>
      </w:pPr>
      <w:r>
        <w:rPr>
          <w:rStyle w:val="CommentReference"/>
        </w:rPr>
        <w:annotationRef/>
      </w:r>
      <w:r>
        <w:t>I will comb through before submissino and make sure zotero has the correct formatting for everything (e.g. double checking that journal names aren’t all caps or something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9765AA" w15:done="0"/>
  <w15:commentEx w15:paraId="13BD89C9" w15:done="0"/>
  <w15:commentEx w15:paraId="24657CB9" w15:done="0"/>
  <w15:commentEx w15:paraId="7B869264" w15:paraIdParent="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088E29" w16cex:dateUtc="2026-06-04T20:06:00Z"/>
  <w16cex:commentExtensible w16cex:durableId="6F1FEEAB" w16cex:dateUtc="2026-06-19T14:39:00Z"/>
  <w16cex:commentExtensible w16cex:durableId="455E5E7B" w16cex:dateUtc="2026-05-19T18:06:00Z"/>
  <w16cex:commentExtensible w16cex:durableId="693D5917" w16cex:dateUtc="2026-06-05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9765AA" w16cid:durableId="32088E29"/>
  <w16cid:commentId w16cid:paraId="13BD89C9" w16cid:durableId="6F1FEEAB"/>
  <w16cid:commentId w16cid:paraId="24657CB9" w16cid:durableId="455E5E7B"/>
  <w16cid:commentId w16cid:paraId="7B869264" w16cid:durableId="693D59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C10974"/>
    <w:multiLevelType w:val="hybridMultilevel"/>
    <w:tmpl w:val="AC5E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EE2BAB"/>
    <w:multiLevelType w:val="hybridMultilevel"/>
    <w:tmpl w:val="642EC5C6"/>
    <w:lvl w:ilvl="0" w:tplc="18F82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3"/>
  </w:num>
  <w:num w:numId="4" w16cid:durableId="2098598637">
    <w:abstractNumId w:val="5"/>
  </w:num>
  <w:num w:numId="5" w16cid:durableId="1432437731">
    <w:abstractNumId w:val="4"/>
  </w:num>
  <w:num w:numId="6" w16cid:durableId="223956229">
    <w:abstractNumId w:val="6"/>
  </w:num>
  <w:num w:numId="7" w16cid:durableId="4569210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trice Bock">
    <w15:presenceInfo w15:providerId="None" w15:userId="Beatrice Bock"/>
  </w15:person>
  <w15:person w15:author="Catherine A Gehring">
    <w15:presenceInfo w15:providerId="AD" w15:userId="S::Catherine.Gehring@nau.edu::f94c289c-fb91-4c6b-be26-e22b576965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6D"/>
    <w:rsid w:val="00001138"/>
    <w:rsid w:val="00001FF1"/>
    <w:rsid w:val="00003603"/>
    <w:rsid w:val="00011A2C"/>
    <w:rsid w:val="00011E26"/>
    <w:rsid w:val="0002156E"/>
    <w:rsid w:val="00022B2C"/>
    <w:rsid w:val="000235D9"/>
    <w:rsid w:val="00024008"/>
    <w:rsid w:val="00031A02"/>
    <w:rsid w:val="00034A20"/>
    <w:rsid w:val="00034A40"/>
    <w:rsid w:val="00035883"/>
    <w:rsid w:val="00052212"/>
    <w:rsid w:val="000525C8"/>
    <w:rsid w:val="00067EE6"/>
    <w:rsid w:val="00071DC9"/>
    <w:rsid w:val="00073292"/>
    <w:rsid w:val="00073BEE"/>
    <w:rsid w:val="0007625B"/>
    <w:rsid w:val="00080AE0"/>
    <w:rsid w:val="0008511D"/>
    <w:rsid w:val="00085BBB"/>
    <w:rsid w:val="000A07CA"/>
    <w:rsid w:val="000A371B"/>
    <w:rsid w:val="000A5136"/>
    <w:rsid w:val="000A56A7"/>
    <w:rsid w:val="000A5C22"/>
    <w:rsid w:val="000A6E9A"/>
    <w:rsid w:val="000B35FF"/>
    <w:rsid w:val="000B4417"/>
    <w:rsid w:val="000C5D2A"/>
    <w:rsid w:val="000D28BE"/>
    <w:rsid w:val="000D6FC5"/>
    <w:rsid w:val="000E0C82"/>
    <w:rsid w:val="000E123C"/>
    <w:rsid w:val="000E3997"/>
    <w:rsid w:val="000E5838"/>
    <w:rsid w:val="000F45BE"/>
    <w:rsid w:val="000F79DA"/>
    <w:rsid w:val="00100210"/>
    <w:rsid w:val="00102CEB"/>
    <w:rsid w:val="001064AA"/>
    <w:rsid w:val="00107BF6"/>
    <w:rsid w:val="00107D85"/>
    <w:rsid w:val="001147AE"/>
    <w:rsid w:val="0011498F"/>
    <w:rsid w:val="00114D2F"/>
    <w:rsid w:val="00120FE9"/>
    <w:rsid w:val="00126178"/>
    <w:rsid w:val="0013095E"/>
    <w:rsid w:val="0013106E"/>
    <w:rsid w:val="00136423"/>
    <w:rsid w:val="001400C1"/>
    <w:rsid w:val="00141695"/>
    <w:rsid w:val="001431F9"/>
    <w:rsid w:val="00146A4A"/>
    <w:rsid w:val="00146F12"/>
    <w:rsid w:val="001472D1"/>
    <w:rsid w:val="001534D8"/>
    <w:rsid w:val="001538B6"/>
    <w:rsid w:val="00155ED1"/>
    <w:rsid w:val="00156E7C"/>
    <w:rsid w:val="00157AD0"/>
    <w:rsid w:val="00160FBA"/>
    <w:rsid w:val="001661F9"/>
    <w:rsid w:val="00166887"/>
    <w:rsid w:val="00170AF4"/>
    <w:rsid w:val="00173072"/>
    <w:rsid w:val="00173FDB"/>
    <w:rsid w:val="00176977"/>
    <w:rsid w:val="00181525"/>
    <w:rsid w:val="001819A0"/>
    <w:rsid w:val="00182224"/>
    <w:rsid w:val="00182F11"/>
    <w:rsid w:val="00183E00"/>
    <w:rsid w:val="00185238"/>
    <w:rsid w:val="001858D4"/>
    <w:rsid w:val="001902BF"/>
    <w:rsid w:val="00191737"/>
    <w:rsid w:val="00191B0B"/>
    <w:rsid w:val="001955B6"/>
    <w:rsid w:val="001A1879"/>
    <w:rsid w:val="001A5A46"/>
    <w:rsid w:val="001A6CF2"/>
    <w:rsid w:val="001B0317"/>
    <w:rsid w:val="001B1F0D"/>
    <w:rsid w:val="001B5728"/>
    <w:rsid w:val="001B6745"/>
    <w:rsid w:val="001C15C3"/>
    <w:rsid w:val="001C16E8"/>
    <w:rsid w:val="001C1CDC"/>
    <w:rsid w:val="001C40FA"/>
    <w:rsid w:val="001C488D"/>
    <w:rsid w:val="001C7681"/>
    <w:rsid w:val="001D0CB8"/>
    <w:rsid w:val="001D4DFD"/>
    <w:rsid w:val="001D54BF"/>
    <w:rsid w:val="001E430A"/>
    <w:rsid w:val="001E54EC"/>
    <w:rsid w:val="001F236E"/>
    <w:rsid w:val="001F4936"/>
    <w:rsid w:val="0020061A"/>
    <w:rsid w:val="0020088B"/>
    <w:rsid w:val="00201B4A"/>
    <w:rsid w:val="0020201F"/>
    <w:rsid w:val="00202256"/>
    <w:rsid w:val="002056BE"/>
    <w:rsid w:val="002061DA"/>
    <w:rsid w:val="002119C3"/>
    <w:rsid w:val="002122FE"/>
    <w:rsid w:val="00215062"/>
    <w:rsid w:val="00223863"/>
    <w:rsid w:val="00225EC6"/>
    <w:rsid w:val="00234BDB"/>
    <w:rsid w:val="0023699D"/>
    <w:rsid w:val="0024060E"/>
    <w:rsid w:val="0024411D"/>
    <w:rsid w:val="00245B0E"/>
    <w:rsid w:val="00251487"/>
    <w:rsid w:val="00255CDF"/>
    <w:rsid w:val="002579F3"/>
    <w:rsid w:val="0026117D"/>
    <w:rsid w:val="002620FF"/>
    <w:rsid w:val="00265526"/>
    <w:rsid w:val="00267A70"/>
    <w:rsid w:val="002748B5"/>
    <w:rsid w:val="002748BB"/>
    <w:rsid w:val="0027524D"/>
    <w:rsid w:val="002757DE"/>
    <w:rsid w:val="0028066A"/>
    <w:rsid w:val="00280C8C"/>
    <w:rsid w:val="0028152E"/>
    <w:rsid w:val="002838F2"/>
    <w:rsid w:val="002843C6"/>
    <w:rsid w:val="00284874"/>
    <w:rsid w:val="00284A70"/>
    <w:rsid w:val="00285150"/>
    <w:rsid w:val="00294CB1"/>
    <w:rsid w:val="00294CEE"/>
    <w:rsid w:val="0029529C"/>
    <w:rsid w:val="00297C8A"/>
    <w:rsid w:val="002B12B8"/>
    <w:rsid w:val="002B2905"/>
    <w:rsid w:val="002B2FF2"/>
    <w:rsid w:val="002B3A97"/>
    <w:rsid w:val="002B704A"/>
    <w:rsid w:val="002B77FD"/>
    <w:rsid w:val="002C614C"/>
    <w:rsid w:val="002C618D"/>
    <w:rsid w:val="002C779E"/>
    <w:rsid w:val="002C7856"/>
    <w:rsid w:val="002D2DD7"/>
    <w:rsid w:val="002D5CE3"/>
    <w:rsid w:val="002D7EDD"/>
    <w:rsid w:val="002E00CA"/>
    <w:rsid w:val="002E6D27"/>
    <w:rsid w:val="002F3FFC"/>
    <w:rsid w:val="002F65F1"/>
    <w:rsid w:val="002F7A48"/>
    <w:rsid w:val="00305DBB"/>
    <w:rsid w:val="003066E5"/>
    <w:rsid w:val="003130D4"/>
    <w:rsid w:val="00313494"/>
    <w:rsid w:val="00322EC2"/>
    <w:rsid w:val="003306DC"/>
    <w:rsid w:val="00330759"/>
    <w:rsid w:val="00330D4E"/>
    <w:rsid w:val="0033228E"/>
    <w:rsid w:val="003323D0"/>
    <w:rsid w:val="0033447F"/>
    <w:rsid w:val="00336748"/>
    <w:rsid w:val="003368FB"/>
    <w:rsid w:val="00336F3F"/>
    <w:rsid w:val="00337D58"/>
    <w:rsid w:val="00342E9D"/>
    <w:rsid w:val="00343A3C"/>
    <w:rsid w:val="003455A1"/>
    <w:rsid w:val="00346E26"/>
    <w:rsid w:val="00347251"/>
    <w:rsid w:val="00347A73"/>
    <w:rsid w:val="00354B1B"/>
    <w:rsid w:val="00356E8E"/>
    <w:rsid w:val="00357520"/>
    <w:rsid w:val="003600DA"/>
    <w:rsid w:val="003604A8"/>
    <w:rsid w:val="00365A96"/>
    <w:rsid w:val="003713D7"/>
    <w:rsid w:val="00373074"/>
    <w:rsid w:val="003768AC"/>
    <w:rsid w:val="00380F86"/>
    <w:rsid w:val="00381A64"/>
    <w:rsid w:val="00383F95"/>
    <w:rsid w:val="0038449F"/>
    <w:rsid w:val="0038717E"/>
    <w:rsid w:val="00394C6E"/>
    <w:rsid w:val="003A36D0"/>
    <w:rsid w:val="003A533B"/>
    <w:rsid w:val="003A6160"/>
    <w:rsid w:val="003A6B67"/>
    <w:rsid w:val="003A6D90"/>
    <w:rsid w:val="003B0DC2"/>
    <w:rsid w:val="003B1BDC"/>
    <w:rsid w:val="003B2F36"/>
    <w:rsid w:val="003B36BF"/>
    <w:rsid w:val="003B6F15"/>
    <w:rsid w:val="003C0A85"/>
    <w:rsid w:val="003C283D"/>
    <w:rsid w:val="003C2D71"/>
    <w:rsid w:val="003C3DB6"/>
    <w:rsid w:val="003C3F0B"/>
    <w:rsid w:val="003C70EA"/>
    <w:rsid w:val="003D02EF"/>
    <w:rsid w:val="003D2C92"/>
    <w:rsid w:val="003D33A5"/>
    <w:rsid w:val="003D34CD"/>
    <w:rsid w:val="003D61C0"/>
    <w:rsid w:val="003E057F"/>
    <w:rsid w:val="003E5631"/>
    <w:rsid w:val="003E66CC"/>
    <w:rsid w:val="003F15C1"/>
    <w:rsid w:val="003F448E"/>
    <w:rsid w:val="003F5D82"/>
    <w:rsid w:val="003F7222"/>
    <w:rsid w:val="0040081F"/>
    <w:rsid w:val="00400EAE"/>
    <w:rsid w:val="00401C82"/>
    <w:rsid w:val="00403B1A"/>
    <w:rsid w:val="00407E24"/>
    <w:rsid w:val="0041447C"/>
    <w:rsid w:val="00420A06"/>
    <w:rsid w:val="00420ACE"/>
    <w:rsid w:val="004240C2"/>
    <w:rsid w:val="004249C9"/>
    <w:rsid w:val="00425F6B"/>
    <w:rsid w:val="00431816"/>
    <w:rsid w:val="00431824"/>
    <w:rsid w:val="00434045"/>
    <w:rsid w:val="00435ED8"/>
    <w:rsid w:val="00437297"/>
    <w:rsid w:val="00440C52"/>
    <w:rsid w:val="0044195F"/>
    <w:rsid w:val="00447B8E"/>
    <w:rsid w:val="00447D01"/>
    <w:rsid w:val="00450237"/>
    <w:rsid w:val="004530FA"/>
    <w:rsid w:val="004531BC"/>
    <w:rsid w:val="004544A0"/>
    <w:rsid w:val="00456732"/>
    <w:rsid w:val="00456BF8"/>
    <w:rsid w:val="00457629"/>
    <w:rsid w:val="0046205F"/>
    <w:rsid w:val="00462C45"/>
    <w:rsid w:val="00463655"/>
    <w:rsid w:val="00463FD4"/>
    <w:rsid w:val="00465D1D"/>
    <w:rsid w:val="004705A0"/>
    <w:rsid w:val="00470874"/>
    <w:rsid w:val="00472E83"/>
    <w:rsid w:val="004731A1"/>
    <w:rsid w:val="00474D84"/>
    <w:rsid w:val="00477944"/>
    <w:rsid w:val="0048460A"/>
    <w:rsid w:val="00485234"/>
    <w:rsid w:val="00486568"/>
    <w:rsid w:val="00486781"/>
    <w:rsid w:val="00490968"/>
    <w:rsid w:val="0049458C"/>
    <w:rsid w:val="00495EB0"/>
    <w:rsid w:val="004963AB"/>
    <w:rsid w:val="004A0188"/>
    <w:rsid w:val="004A0ECC"/>
    <w:rsid w:val="004A1743"/>
    <w:rsid w:val="004A28CD"/>
    <w:rsid w:val="004A2A52"/>
    <w:rsid w:val="004A3F61"/>
    <w:rsid w:val="004A5F76"/>
    <w:rsid w:val="004B2605"/>
    <w:rsid w:val="004B35AD"/>
    <w:rsid w:val="004B51E7"/>
    <w:rsid w:val="004C6760"/>
    <w:rsid w:val="004C7E6F"/>
    <w:rsid w:val="004D18A8"/>
    <w:rsid w:val="004D28E1"/>
    <w:rsid w:val="004D34AE"/>
    <w:rsid w:val="004D55E8"/>
    <w:rsid w:val="004D759F"/>
    <w:rsid w:val="004E16A9"/>
    <w:rsid w:val="004E23A1"/>
    <w:rsid w:val="004E3DE3"/>
    <w:rsid w:val="004E4D48"/>
    <w:rsid w:val="004E58B9"/>
    <w:rsid w:val="004E5A59"/>
    <w:rsid w:val="004E7494"/>
    <w:rsid w:val="004F179F"/>
    <w:rsid w:val="004F62A6"/>
    <w:rsid w:val="00501457"/>
    <w:rsid w:val="00504036"/>
    <w:rsid w:val="00506D93"/>
    <w:rsid w:val="00512A4F"/>
    <w:rsid w:val="005145AD"/>
    <w:rsid w:val="00514BF5"/>
    <w:rsid w:val="00522150"/>
    <w:rsid w:val="00522E69"/>
    <w:rsid w:val="00523357"/>
    <w:rsid w:val="00523BB3"/>
    <w:rsid w:val="005261AD"/>
    <w:rsid w:val="00526817"/>
    <w:rsid w:val="00527397"/>
    <w:rsid w:val="005312DF"/>
    <w:rsid w:val="00532226"/>
    <w:rsid w:val="0053331D"/>
    <w:rsid w:val="005352B6"/>
    <w:rsid w:val="00537FDB"/>
    <w:rsid w:val="00541483"/>
    <w:rsid w:val="00545022"/>
    <w:rsid w:val="00546DEC"/>
    <w:rsid w:val="00551B98"/>
    <w:rsid w:val="005524D8"/>
    <w:rsid w:val="00552E2D"/>
    <w:rsid w:val="00553045"/>
    <w:rsid w:val="005531DC"/>
    <w:rsid w:val="005533D4"/>
    <w:rsid w:val="005538A3"/>
    <w:rsid w:val="00554896"/>
    <w:rsid w:val="00562205"/>
    <w:rsid w:val="00563E2D"/>
    <w:rsid w:val="00563FB6"/>
    <w:rsid w:val="00565AD0"/>
    <w:rsid w:val="00566ED1"/>
    <w:rsid w:val="005676F3"/>
    <w:rsid w:val="005710D6"/>
    <w:rsid w:val="00571278"/>
    <w:rsid w:val="005724C1"/>
    <w:rsid w:val="005736DC"/>
    <w:rsid w:val="005774DE"/>
    <w:rsid w:val="0058013F"/>
    <w:rsid w:val="00584AEA"/>
    <w:rsid w:val="00590374"/>
    <w:rsid w:val="00591E22"/>
    <w:rsid w:val="00593279"/>
    <w:rsid w:val="00594A61"/>
    <w:rsid w:val="00597004"/>
    <w:rsid w:val="00597D46"/>
    <w:rsid w:val="005A207B"/>
    <w:rsid w:val="005A3488"/>
    <w:rsid w:val="005A562F"/>
    <w:rsid w:val="005A5761"/>
    <w:rsid w:val="005A5C11"/>
    <w:rsid w:val="005A710C"/>
    <w:rsid w:val="005B162E"/>
    <w:rsid w:val="005B3BF1"/>
    <w:rsid w:val="005B79C9"/>
    <w:rsid w:val="005C6DD3"/>
    <w:rsid w:val="005C7F33"/>
    <w:rsid w:val="005D12C3"/>
    <w:rsid w:val="005D1C65"/>
    <w:rsid w:val="005D4896"/>
    <w:rsid w:val="005D5937"/>
    <w:rsid w:val="005D5DA3"/>
    <w:rsid w:val="005E08FE"/>
    <w:rsid w:val="005E4541"/>
    <w:rsid w:val="005E5116"/>
    <w:rsid w:val="005E5130"/>
    <w:rsid w:val="005E5DB9"/>
    <w:rsid w:val="005E6831"/>
    <w:rsid w:val="005E70A1"/>
    <w:rsid w:val="005F032F"/>
    <w:rsid w:val="005F08A1"/>
    <w:rsid w:val="005F10B3"/>
    <w:rsid w:val="005F27A3"/>
    <w:rsid w:val="005F56EB"/>
    <w:rsid w:val="005F767C"/>
    <w:rsid w:val="005F7AC2"/>
    <w:rsid w:val="00600867"/>
    <w:rsid w:val="006019A8"/>
    <w:rsid w:val="00601DBE"/>
    <w:rsid w:val="006067D3"/>
    <w:rsid w:val="00607D92"/>
    <w:rsid w:val="006111DD"/>
    <w:rsid w:val="00613174"/>
    <w:rsid w:val="00614A40"/>
    <w:rsid w:val="00621422"/>
    <w:rsid w:val="00622E6D"/>
    <w:rsid w:val="00624213"/>
    <w:rsid w:val="006307C2"/>
    <w:rsid w:val="006317F8"/>
    <w:rsid w:val="00633C85"/>
    <w:rsid w:val="00645F90"/>
    <w:rsid w:val="00646E89"/>
    <w:rsid w:val="006478D0"/>
    <w:rsid w:val="00660EC6"/>
    <w:rsid w:val="006630A5"/>
    <w:rsid w:val="0066334E"/>
    <w:rsid w:val="006658E2"/>
    <w:rsid w:val="00677C67"/>
    <w:rsid w:val="00680DDC"/>
    <w:rsid w:val="006838D5"/>
    <w:rsid w:val="00685EA3"/>
    <w:rsid w:val="00686E88"/>
    <w:rsid w:val="00687CEC"/>
    <w:rsid w:val="00692942"/>
    <w:rsid w:val="0069316B"/>
    <w:rsid w:val="006A0590"/>
    <w:rsid w:val="006A061A"/>
    <w:rsid w:val="006A0B42"/>
    <w:rsid w:val="006A0D11"/>
    <w:rsid w:val="006A0E24"/>
    <w:rsid w:val="006A1F53"/>
    <w:rsid w:val="006A5BFC"/>
    <w:rsid w:val="006A68DC"/>
    <w:rsid w:val="006A7159"/>
    <w:rsid w:val="006B0BBE"/>
    <w:rsid w:val="006C06B3"/>
    <w:rsid w:val="006C42DD"/>
    <w:rsid w:val="006C785A"/>
    <w:rsid w:val="006D0AFF"/>
    <w:rsid w:val="006D41A3"/>
    <w:rsid w:val="006D50A7"/>
    <w:rsid w:val="006D7E03"/>
    <w:rsid w:val="006E12BB"/>
    <w:rsid w:val="006E178E"/>
    <w:rsid w:val="006E7964"/>
    <w:rsid w:val="006F7508"/>
    <w:rsid w:val="00710B3C"/>
    <w:rsid w:val="00710CFF"/>
    <w:rsid w:val="007112DB"/>
    <w:rsid w:val="007127CB"/>
    <w:rsid w:val="00713465"/>
    <w:rsid w:val="0071372D"/>
    <w:rsid w:val="007156AF"/>
    <w:rsid w:val="00723EC8"/>
    <w:rsid w:val="007252E8"/>
    <w:rsid w:val="00727AED"/>
    <w:rsid w:val="00731C00"/>
    <w:rsid w:val="00735C24"/>
    <w:rsid w:val="0074053C"/>
    <w:rsid w:val="00741CCA"/>
    <w:rsid w:val="00744E96"/>
    <w:rsid w:val="00745FEC"/>
    <w:rsid w:val="0074725C"/>
    <w:rsid w:val="00755B3A"/>
    <w:rsid w:val="00757DA0"/>
    <w:rsid w:val="00760974"/>
    <w:rsid w:val="0076134B"/>
    <w:rsid w:val="00766FA4"/>
    <w:rsid w:val="00772645"/>
    <w:rsid w:val="007749FF"/>
    <w:rsid w:val="00777888"/>
    <w:rsid w:val="00780D80"/>
    <w:rsid w:val="007849CF"/>
    <w:rsid w:val="007853F4"/>
    <w:rsid w:val="00786518"/>
    <w:rsid w:val="0078789E"/>
    <w:rsid w:val="00787A40"/>
    <w:rsid w:val="00792BCB"/>
    <w:rsid w:val="00792CAB"/>
    <w:rsid w:val="00796C64"/>
    <w:rsid w:val="007A1230"/>
    <w:rsid w:val="007B18FC"/>
    <w:rsid w:val="007B51FF"/>
    <w:rsid w:val="007B55DE"/>
    <w:rsid w:val="007B7F50"/>
    <w:rsid w:val="007C20D4"/>
    <w:rsid w:val="007C3696"/>
    <w:rsid w:val="007C4A87"/>
    <w:rsid w:val="007C4BDC"/>
    <w:rsid w:val="007C56FB"/>
    <w:rsid w:val="007C699F"/>
    <w:rsid w:val="007C7023"/>
    <w:rsid w:val="007C7F41"/>
    <w:rsid w:val="007D04DD"/>
    <w:rsid w:val="007D15C7"/>
    <w:rsid w:val="007D552A"/>
    <w:rsid w:val="007D627D"/>
    <w:rsid w:val="007D787D"/>
    <w:rsid w:val="007E1F30"/>
    <w:rsid w:val="007E5CEE"/>
    <w:rsid w:val="007E681B"/>
    <w:rsid w:val="007E6B33"/>
    <w:rsid w:val="007F1454"/>
    <w:rsid w:val="007F152F"/>
    <w:rsid w:val="007F3B6A"/>
    <w:rsid w:val="007F5CC1"/>
    <w:rsid w:val="00810B28"/>
    <w:rsid w:val="00813069"/>
    <w:rsid w:val="00813420"/>
    <w:rsid w:val="00815810"/>
    <w:rsid w:val="00820BAB"/>
    <w:rsid w:val="00824892"/>
    <w:rsid w:val="00825272"/>
    <w:rsid w:val="00830434"/>
    <w:rsid w:val="00830AE4"/>
    <w:rsid w:val="00830D45"/>
    <w:rsid w:val="0083137F"/>
    <w:rsid w:val="0083299E"/>
    <w:rsid w:val="00832A63"/>
    <w:rsid w:val="00836D7D"/>
    <w:rsid w:val="00840C47"/>
    <w:rsid w:val="00847901"/>
    <w:rsid w:val="008500F9"/>
    <w:rsid w:val="00853774"/>
    <w:rsid w:val="00864341"/>
    <w:rsid w:val="008649D1"/>
    <w:rsid w:val="00864D6D"/>
    <w:rsid w:val="0086675E"/>
    <w:rsid w:val="00866EA4"/>
    <w:rsid w:val="00867957"/>
    <w:rsid w:val="0087214C"/>
    <w:rsid w:val="00875B00"/>
    <w:rsid w:val="008773CC"/>
    <w:rsid w:val="00877BDD"/>
    <w:rsid w:val="00880002"/>
    <w:rsid w:val="00880576"/>
    <w:rsid w:val="00883F19"/>
    <w:rsid w:val="0088667A"/>
    <w:rsid w:val="00886979"/>
    <w:rsid w:val="00890F8C"/>
    <w:rsid w:val="00894185"/>
    <w:rsid w:val="00894D02"/>
    <w:rsid w:val="008953BD"/>
    <w:rsid w:val="0089669B"/>
    <w:rsid w:val="008A57FC"/>
    <w:rsid w:val="008A6862"/>
    <w:rsid w:val="008B4CE0"/>
    <w:rsid w:val="008B59A2"/>
    <w:rsid w:val="008C085A"/>
    <w:rsid w:val="008C2033"/>
    <w:rsid w:val="008C59EE"/>
    <w:rsid w:val="008C6CE7"/>
    <w:rsid w:val="008C7B0D"/>
    <w:rsid w:val="008D1D3C"/>
    <w:rsid w:val="008D2307"/>
    <w:rsid w:val="008D49B8"/>
    <w:rsid w:val="008D6BD6"/>
    <w:rsid w:val="008D7EE2"/>
    <w:rsid w:val="008E058E"/>
    <w:rsid w:val="008E1F04"/>
    <w:rsid w:val="008E77DE"/>
    <w:rsid w:val="008F0144"/>
    <w:rsid w:val="008F1956"/>
    <w:rsid w:val="008F37BB"/>
    <w:rsid w:val="008F5D92"/>
    <w:rsid w:val="009016C5"/>
    <w:rsid w:val="009122B4"/>
    <w:rsid w:val="0091416C"/>
    <w:rsid w:val="009158B8"/>
    <w:rsid w:val="00916520"/>
    <w:rsid w:val="00916602"/>
    <w:rsid w:val="009166C0"/>
    <w:rsid w:val="00917D0B"/>
    <w:rsid w:val="00931CE3"/>
    <w:rsid w:val="00935522"/>
    <w:rsid w:val="0093635F"/>
    <w:rsid w:val="00937708"/>
    <w:rsid w:val="00941FD7"/>
    <w:rsid w:val="00942E81"/>
    <w:rsid w:val="009431E0"/>
    <w:rsid w:val="009506E8"/>
    <w:rsid w:val="009615AB"/>
    <w:rsid w:val="00962E9F"/>
    <w:rsid w:val="00963841"/>
    <w:rsid w:val="009645FB"/>
    <w:rsid w:val="00965F9A"/>
    <w:rsid w:val="0096791E"/>
    <w:rsid w:val="00967E3D"/>
    <w:rsid w:val="00970F1F"/>
    <w:rsid w:val="009737D0"/>
    <w:rsid w:val="009748C8"/>
    <w:rsid w:val="00976671"/>
    <w:rsid w:val="00987E47"/>
    <w:rsid w:val="00992A59"/>
    <w:rsid w:val="00996147"/>
    <w:rsid w:val="009A2660"/>
    <w:rsid w:val="009A2DB2"/>
    <w:rsid w:val="009A42FA"/>
    <w:rsid w:val="009A62E1"/>
    <w:rsid w:val="009A6DBD"/>
    <w:rsid w:val="009B1317"/>
    <w:rsid w:val="009B1F08"/>
    <w:rsid w:val="009B23F9"/>
    <w:rsid w:val="009B506F"/>
    <w:rsid w:val="009B77EC"/>
    <w:rsid w:val="009C2687"/>
    <w:rsid w:val="009C7418"/>
    <w:rsid w:val="009D2A2D"/>
    <w:rsid w:val="009D2AF3"/>
    <w:rsid w:val="009D33F7"/>
    <w:rsid w:val="009D3F13"/>
    <w:rsid w:val="009D60E9"/>
    <w:rsid w:val="009D6EA8"/>
    <w:rsid w:val="009E6E28"/>
    <w:rsid w:val="009F15C5"/>
    <w:rsid w:val="009F16F5"/>
    <w:rsid w:val="009F179E"/>
    <w:rsid w:val="009F2AB2"/>
    <w:rsid w:val="009F4D6D"/>
    <w:rsid w:val="009F577C"/>
    <w:rsid w:val="009F6377"/>
    <w:rsid w:val="00A03BF4"/>
    <w:rsid w:val="00A03EF0"/>
    <w:rsid w:val="00A06509"/>
    <w:rsid w:val="00A07834"/>
    <w:rsid w:val="00A07D68"/>
    <w:rsid w:val="00A10C47"/>
    <w:rsid w:val="00A110AC"/>
    <w:rsid w:val="00A14650"/>
    <w:rsid w:val="00A14A68"/>
    <w:rsid w:val="00A15649"/>
    <w:rsid w:val="00A1663C"/>
    <w:rsid w:val="00A17B96"/>
    <w:rsid w:val="00A17C04"/>
    <w:rsid w:val="00A17F66"/>
    <w:rsid w:val="00A20258"/>
    <w:rsid w:val="00A20913"/>
    <w:rsid w:val="00A20A85"/>
    <w:rsid w:val="00A22429"/>
    <w:rsid w:val="00A2275D"/>
    <w:rsid w:val="00A24029"/>
    <w:rsid w:val="00A2475B"/>
    <w:rsid w:val="00A30DBD"/>
    <w:rsid w:val="00A33294"/>
    <w:rsid w:val="00A366BC"/>
    <w:rsid w:val="00A41D3A"/>
    <w:rsid w:val="00A434A7"/>
    <w:rsid w:val="00A446C1"/>
    <w:rsid w:val="00A46C79"/>
    <w:rsid w:val="00A50110"/>
    <w:rsid w:val="00A51A41"/>
    <w:rsid w:val="00A54BE0"/>
    <w:rsid w:val="00A57E0E"/>
    <w:rsid w:val="00A61CA0"/>
    <w:rsid w:val="00A62257"/>
    <w:rsid w:val="00A62D04"/>
    <w:rsid w:val="00A6325B"/>
    <w:rsid w:val="00A66A41"/>
    <w:rsid w:val="00A70A1A"/>
    <w:rsid w:val="00A70BCC"/>
    <w:rsid w:val="00A72F4C"/>
    <w:rsid w:val="00A757BF"/>
    <w:rsid w:val="00A81052"/>
    <w:rsid w:val="00A8590B"/>
    <w:rsid w:val="00A9357C"/>
    <w:rsid w:val="00AA0BA7"/>
    <w:rsid w:val="00AA2DB7"/>
    <w:rsid w:val="00AA3D97"/>
    <w:rsid w:val="00AA633E"/>
    <w:rsid w:val="00AB20C5"/>
    <w:rsid w:val="00AB2456"/>
    <w:rsid w:val="00AB5231"/>
    <w:rsid w:val="00AB69A0"/>
    <w:rsid w:val="00AC0275"/>
    <w:rsid w:val="00AC3B0D"/>
    <w:rsid w:val="00AC4056"/>
    <w:rsid w:val="00AC49D1"/>
    <w:rsid w:val="00AC7438"/>
    <w:rsid w:val="00AD10F2"/>
    <w:rsid w:val="00AD1C14"/>
    <w:rsid w:val="00AD5444"/>
    <w:rsid w:val="00AD61D1"/>
    <w:rsid w:val="00AE2C3E"/>
    <w:rsid w:val="00AE4A3A"/>
    <w:rsid w:val="00AE569D"/>
    <w:rsid w:val="00AE5C9A"/>
    <w:rsid w:val="00AE5E89"/>
    <w:rsid w:val="00AE6938"/>
    <w:rsid w:val="00AF13C7"/>
    <w:rsid w:val="00AF1890"/>
    <w:rsid w:val="00AF60CC"/>
    <w:rsid w:val="00B000A4"/>
    <w:rsid w:val="00B01D1A"/>
    <w:rsid w:val="00B04577"/>
    <w:rsid w:val="00B13487"/>
    <w:rsid w:val="00B15FDD"/>
    <w:rsid w:val="00B17AF8"/>
    <w:rsid w:val="00B310AA"/>
    <w:rsid w:val="00B350A4"/>
    <w:rsid w:val="00B355D7"/>
    <w:rsid w:val="00B4081B"/>
    <w:rsid w:val="00B412B3"/>
    <w:rsid w:val="00B60AED"/>
    <w:rsid w:val="00B616FF"/>
    <w:rsid w:val="00B6176C"/>
    <w:rsid w:val="00B617CA"/>
    <w:rsid w:val="00B62018"/>
    <w:rsid w:val="00B63CC3"/>
    <w:rsid w:val="00B70D80"/>
    <w:rsid w:val="00B71598"/>
    <w:rsid w:val="00B746AC"/>
    <w:rsid w:val="00B7579B"/>
    <w:rsid w:val="00B7696B"/>
    <w:rsid w:val="00B77E90"/>
    <w:rsid w:val="00B834E1"/>
    <w:rsid w:val="00B83FE7"/>
    <w:rsid w:val="00B8482A"/>
    <w:rsid w:val="00B86E37"/>
    <w:rsid w:val="00B94124"/>
    <w:rsid w:val="00B943E8"/>
    <w:rsid w:val="00B965FF"/>
    <w:rsid w:val="00B979A5"/>
    <w:rsid w:val="00BA05C9"/>
    <w:rsid w:val="00BA5764"/>
    <w:rsid w:val="00BA5D9D"/>
    <w:rsid w:val="00BA6344"/>
    <w:rsid w:val="00BB0D7D"/>
    <w:rsid w:val="00BB32EC"/>
    <w:rsid w:val="00BC04A8"/>
    <w:rsid w:val="00BC04AE"/>
    <w:rsid w:val="00BC1E9F"/>
    <w:rsid w:val="00BC2B3E"/>
    <w:rsid w:val="00BC7A69"/>
    <w:rsid w:val="00BC7E4D"/>
    <w:rsid w:val="00BC7FFE"/>
    <w:rsid w:val="00BD5571"/>
    <w:rsid w:val="00BD6011"/>
    <w:rsid w:val="00BE1876"/>
    <w:rsid w:val="00BE31CA"/>
    <w:rsid w:val="00BE3FDB"/>
    <w:rsid w:val="00BE5265"/>
    <w:rsid w:val="00BE7679"/>
    <w:rsid w:val="00BF0C68"/>
    <w:rsid w:val="00BF29C5"/>
    <w:rsid w:val="00BF42CB"/>
    <w:rsid w:val="00C024F3"/>
    <w:rsid w:val="00C042D8"/>
    <w:rsid w:val="00C0654D"/>
    <w:rsid w:val="00C110C3"/>
    <w:rsid w:val="00C17938"/>
    <w:rsid w:val="00C26D3D"/>
    <w:rsid w:val="00C27E41"/>
    <w:rsid w:val="00C30441"/>
    <w:rsid w:val="00C31F81"/>
    <w:rsid w:val="00C346E4"/>
    <w:rsid w:val="00C34A0B"/>
    <w:rsid w:val="00C356B7"/>
    <w:rsid w:val="00C35EF8"/>
    <w:rsid w:val="00C40652"/>
    <w:rsid w:val="00C459E2"/>
    <w:rsid w:val="00C510C2"/>
    <w:rsid w:val="00C5156E"/>
    <w:rsid w:val="00C57540"/>
    <w:rsid w:val="00C57588"/>
    <w:rsid w:val="00C64BF7"/>
    <w:rsid w:val="00C64C04"/>
    <w:rsid w:val="00C64F73"/>
    <w:rsid w:val="00C70899"/>
    <w:rsid w:val="00C82EBF"/>
    <w:rsid w:val="00C85808"/>
    <w:rsid w:val="00C85935"/>
    <w:rsid w:val="00C87B3D"/>
    <w:rsid w:val="00C87F06"/>
    <w:rsid w:val="00C9416C"/>
    <w:rsid w:val="00C97032"/>
    <w:rsid w:val="00CA1FCE"/>
    <w:rsid w:val="00CA2079"/>
    <w:rsid w:val="00CA4DE3"/>
    <w:rsid w:val="00CA6C6A"/>
    <w:rsid w:val="00CA6E5B"/>
    <w:rsid w:val="00CC1C62"/>
    <w:rsid w:val="00CC32F0"/>
    <w:rsid w:val="00CC5305"/>
    <w:rsid w:val="00CC5566"/>
    <w:rsid w:val="00CD0B77"/>
    <w:rsid w:val="00CD0C1F"/>
    <w:rsid w:val="00CD38DD"/>
    <w:rsid w:val="00CE0D65"/>
    <w:rsid w:val="00CE5E35"/>
    <w:rsid w:val="00CE61CB"/>
    <w:rsid w:val="00CF22BD"/>
    <w:rsid w:val="00CF3252"/>
    <w:rsid w:val="00CF4538"/>
    <w:rsid w:val="00CF47C8"/>
    <w:rsid w:val="00CF52A4"/>
    <w:rsid w:val="00CF6977"/>
    <w:rsid w:val="00CF6E0E"/>
    <w:rsid w:val="00CF7399"/>
    <w:rsid w:val="00D041AD"/>
    <w:rsid w:val="00D057AE"/>
    <w:rsid w:val="00D1197D"/>
    <w:rsid w:val="00D165C3"/>
    <w:rsid w:val="00D20A1B"/>
    <w:rsid w:val="00D218FF"/>
    <w:rsid w:val="00D21AEC"/>
    <w:rsid w:val="00D242B3"/>
    <w:rsid w:val="00D24A60"/>
    <w:rsid w:val="00D2500C"/>
    <w:rsid w:val="00D263B6"/>
    <w:rsid w:val="00D26E17"/>
    <w:rsid w:val="00D270A4"/>
    <w:rsid w:val="00D303F6"/>
    <w:rsid w:val="00D33915"/>
    <w:rsid w:val="00D34264"/>
    <w:rsid w:val="00D34F4B"/>
    <w:rsid w:val="00D3509D"/>
    <w:rsid w:val="00D362A6"/>
    <w:rsid w:val="00D409DB"/>
    <w:rsid w:val="00D47763"/>
    <w:rsid w:val="00D5159D"/>
    <w:rsid w:val="00D54BDF"/>
    <w:rsid w:val="00D65B02"/>
    <w:rsid w:val="00D6727F"/>
    <w:rsid w:val="00D67751"/>
    <w:rsid w:val="00D72E25"/>
    <w:rsid w:val="00D733AE"/>
    <w:rsid w:val="00D754AB"/>
    <w:rsid w:val="00D7643C"/>
    <w:rsid w:val="00D81CB9"/>
    <w:rsid w:val="00D8252E"/>
    <w:rsid w:val="00D87F70"/>
    <w:rsid w:val="00D9120C"/>
    <w:rsid w:val="00D92860"/>
    <w:rsid w:val="00DA210B"/>
    <w:rsid w:val="00DB0E0E"/>
    <w:rsid w:val="00DB2457"/>
    <w:rsid w:val="00DB5D5F"/>
    <w:rsid w:val="00DC26FC"/>
    <w:rsid w:val="00DC4F4C"/>
    <w:rsid w:val="00DD03E4"/>
    <w:rsid w:val="00DD339F"/>
    <w:rsid w:val="00DD42C9"/>
    <w:rsid w:val="00DD51BB"/>
    <w:rsid w:val="00DD6A99"/>
    <w:rsid w:val="00DD75DB"/>
    <w:rsid w:val="00DE0585"/>
    <w:rsid w:val="00DE54CE"/>
    <w:rsid w:val="00DE5AD7"/>
    <w:rsid w:val="00DE612F"/>
    <w:rsid w:val="00DE67D0"/>
    <w:rsid w:val="00DF25B6"/>
    <w:rsid w:val="00DF7E34"/>
    <w:rsid w:val="00E02917"/>
    <w:rsid w:val="00E10091"/>
    <w:rsid w:val="00E10C71"/>
    <w:rsid w:val="00E14155"/>
    <w:rsid w:val="00E14984"/>
    <w:rsid w:val="00E14E1D"/>
    <w:rsid w:val="00E155F6"/>
    <w:rsid w:val="00E31B84"/>
    <w:rsid w:val="00E343BB"/>
    <w:rsid w:val="00E3558B"/>
    <w:rsid w:val="00E37FA8"/>
    <w:rsid w:val="00E40FAB"/>
    <w:rsid w:val="00E43C00"/>
    <w:rsid w:val="00E44AF7"/>
    <w:rsid w:val="00E5281E"/>
    <w:rsid w:val="00E567F9"/>
    <w:rsid w:val="00E6248A"/>
    <w:rsid w:val="00E64EFA"/>
    <w:rsid w:val="00E66566"/>
    <w:rsid w:val="00E674CC"/>
    <w:rsid w:val="00E72E82"/>
    <w:rsid w:val="00E8062D"/>
    <w:rsid w:val="00E86108"/>
    <w:rsid w:val="00E870A3"/>
    <w:rsid w:val="00E942C8"/>
    <w:rsid w:val="00E94E69"/>
    <w:rsid w:val="00E9594D"/>
    <w:rsid w:val="00E97A61"/>
    <w:rsid w:val="00EA2B69"/>
    <w:rsid w:val="00EA5101"/>
    <w:rsid w:val="00EC126E"/>
    <w:rsid w:val="00EC2751"/>
    <w:rsid w:val="00EC3D4E"/>
    <w:rsid w:val="00EC6E37"/>
    <w:rsid w:val="00ED0C40"/>
    <w:rsid w:val="00ED3AF0"/>
    <w:rsid w:val="00ED56CF"/>
    <w:rsid w:val="00ED6DAE"/>
    <w:rsid w:val="00EE20B5"/>
    <w:rsid w:val="00EE297D"/>
    <w:rsid w:val="00EE4DEA"/>
    <w:rsid w:val="00EE539C"/>
    <w:rsid w:val="00EE7991"/>
    <w:rsid w:val="00EF1E19"/>
    <w:rsid w:val="00EF27E5"/>
    <w:rsid w:val="00EF344D"/>
    <w:rsid w:val="00EF7681"/>
    <w:rsid w:val="00EF7AE6"/>
    <w:rsid w:val="00F00A86"/>
    <w:rsid w:val="00F10295"/>
    <w:rsid w:val="00F12088"/>
    <w:rsid w:val="00F127C5"/>
    <w:rsid w:val="00F12B78"/>
    <w:rsid w:val="00F151AC"/>
    <w:rsid w:val="00F17B7F"/>
    <w:rsid w:val="00F26368"/>
    <w:rsid w:val="00F27B6D"/>
    <w:rsid w:val="00F33252"/>
    <w:rsid w:val="00F360FB"/>
    <w:rsid w:val="00F36EE3"/>
    <w:rsid w:val="00F44696"/>
    <w:rsid w:val="00F46073"/>
    <w:rsid w:val="00F4747F"/>
    <w:rsid w:val="00F501E8"/>
    <w:rsid w:val="00F52713"/>
    <w:rsid w:val="00F53620"/>
    <w:rsid w:val="00F544F9"/>
    <w:rsid w:val="00F5597B"/>
    <w:rsid w:val="00F57C36"/>
    <w:rsid w:val="00F6547E"/>
    <w:rsid w:val="00F66BE1"/>
    <w:rsid w:val="00F7053E"/>
    <w:rsid w:val="00F70E4D"/>
    <w:rsid w:val="00F75DA2"/>
    <w:rsid w:val="00F76F9A"/>
    <w:rsid w:val="00F85A7C"/>
    <w:rsid w:val="00F862B7"/>
    <w:rsid w:val="00F87DBD"/>
    <w:rsid w:val="00F90EEF"/>
    <w:rsid w:val="00F92D40"/>
    <w:rsid w:val="00F93427"/>
    <w:rsid w:val="00F9600C"/>
    <w:rsid w:val="00F974AB"/>
    <w:rsid w:val="00F977C6"/>
    <w:rsid w:val="00FA100A"/>
    <w:rsid w:val="00FA1A43"/>
    <w:rsid w:val="00FA743E"/>
    <w:rsid w:val="00FA7DCE"/>
    <w:rsid w:val="00FB1C44"/>
    <w:rsid w:val="00FB24E9"/>
    <w:rsid w:val="00FB3A5F"/>
    <w:rsid w:val="00FB4307"/>
    <w:rsid w:val="00FB7CEC"/>
    <w:rsid w:val="00FC1F2B"/>
    <w:rsid w:val="00FC40F1"/>
    <w:rsid w:val="00FD737D"/>
    <w:rsid w:val="00FD7CC1"/>
    <w:rsid w:val="00FE11B9"/>
    <w:rsid w:val="00FE16DB"/>
    <w:rsid w:val="00FF27B4"/>
    <w:rsid w:val="00FF28F9"/>
    <w:rsid w:val="00FF4C29"/>
    <w:rsid w:val="00FF4F24"/>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uiPriority w:val="99"/>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 w:type="paragraph" w:styleId="Revision">
    <w:name w:val="Revision"/>
    <w:hidden/>
    <w:rsid w:val="0066334E"/>
    <w:pPr>
      <w:spacing w:after="0"/>
    </w:pPr>
  </w:style>
  <w:style w:type="character" w:styleId="FollowedHyperlink">
    <w:name w:val="FollowedHyperlink"/>
    <w:basedOn w:val="DefaultParagraphFont"/>
    <w:rsid w:val="0066334E"/>
    <w:rPr>
      <w:color w:val="96607D" w:themeColor="followedHyperlink"/>
      <w:u w:val="single"/>
    </w:rPr>
  </w:style>
  <w:style w:type="character" w:styleId="LineNumber">
    <w:name w:val="line number"/>
    <w:basedOn w:val="DefaultParagraphFont"/>
    <w:rsid w:val="00465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B9C-908A-4353-A64F-F31A59502A83}">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1449</TotalTime>
  <Pages>23</Pages>
  <Words>22537</Words>
  <Characters>128462</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 Bock</dc:creator>
  <cp:keywords/>
  <cp:lastModifiedBy>Beatrice Bock</cp:lastModifiedBy>
  <cp:revision>44</cp:revision>
  <dcterms:created xsi:type="dcterms:W3CDTF">2026-06-19T03:14:00Z</dcterms:created>
  <dcterms:modified xsi:type="dcterms:W3CDTF">2026-06-24T18:19:00Z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id="sbfuluih"/&gt;&lt;style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