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1331" w14:textId="05B273AD" w:rsidR="00746C4C" w:rsidRPr="00517449"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commentRangeStart w:id="0"/>
      <w:r w:rsidRPr="00517449">
        <w:rPr>
          <w:rFonts w:ascii="Times New Roman" w:hAnsi="Times New Roman" w:cs="Times New Roman"/>
          <w:sz w:val="24"/>
          <w:szCs w:val="24"/>
        </w:rPr>
        <w:t xml:space="preserve"> </w:t>
      </w:r>
      <w:r w:rsidR="00C57482" w:rsidRPr="00517449">
        <w:rPr>
          <w:rFonts w:ascii="Times New Roman" w:hAnsi="Times New Roman" w:cs="Times New Roman"/>
          <w:sz w:val="24"/>
          <w:szCs w:val="24"/>
        </w:rPr>
        <w:t>Plant symbiotic fung</w:t>
      </w:r>
      <w:r w:rsidR="00517449">
        <w:rPr>
          <w:rFonts w:ascii="Times New Roman" w:hAnsi="Times New Roman" w:cs="Times New Roman"/>
          <w:sz w:val="24"/>
          <w:szCs w:val="24"/>
        </w:rPr>
        <w:t>al isolate</w:t>
      </w:r>
      <w:r w:rsidR="00C57482" w:rsidRPr="00517449">
        <w:rPr>
          <w:rFonts w:ascii="Times New Roman" w:hAnsi="Times New Roman" w:cs="Times New Roman"/>
          <w:sz w:val="24"/>
          <w:szCs w:val="24"/>
        </w:rPr>
        <w:t xml:space="preserve"> </w:t>
      </w:r>
      <w:r w:rsidR="00342501" w:rsidRPr="00517449">
        <w:rPr>
          <w:rFonts w:ascii="Times New Roman" w:hAnsi="Times New Roman" w:cs="Times New Roman"/>
          <w:i/>
          <w:iCs/>
          <w:sz w:val="24"/>
          <w:szCs w:val="24"/>
        </w:rPr>
        <w:t>Alternaria alternata</w:t>
      </w:r>
      <w:r w:rsidR="005B2E06" w:rsidRPr="00517449">
        <w:rPr>
          <w:rFonts w:ascii="Times New Roman" w:hAnsi="Times New Roman" w:cs="Times New Roman"/>
          <w:sz w:val="24"/>
          <w:szCs w:val="24"/>
        </w:rPr>
        <w:t xml:space="preserve"> </w:t>
      </w:r>
      <w:r w:rsidR="00517449">
        <w:rPr>
          <w:rFonts w:ascii="Times New Roman" w:hAnsi="Times New Roman" w:cs="Times New Roman"/>
          <w:sz w:val="24"/>
          <w:szCs w:val="24"/>
        </w:rPr>
        <w:t>grows better with an inorganic nitrogen source than an organic nitrogen source</w:t>
      </w:r>
      <w:commentRangeEnd w:id="0"/>
      <w:r w:rsidR="00517449">
        <w:rPr>
          <w:rStyle w:val="CommentReference"/>
        </w:rPr>
        <w:commentReference w:id="0"/>
      </w:r>
    </w:p>
    <w:p w14:paraId="362F8A27" w14:textId="77777777" w:rsidR="00342501" w:rsidRPr="00517449" w:rsidRDefault="00342501">
      <w:pPr>
        <w:rPr>
          <w:rFonts w:ascii="Times New Roman" w:hAnsi="Times New Roman" w:cs="Times New Roman"/>
          <w:sz w:val="24"/>
          <w:szCs w:val="24"/>
        </w:rPr>
      </w:pP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517449">
        <w:rPr>
          <w:rFonts w:ascii="Times New Roman" w:hAnsi="Times New Roman" w:cs="Times New Roman"/>
          <w:sz w:val="24"/>
          <w:szCs w:val="24"/>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517449">
        <w:rPr>
          <w:rFonts w:ascii="Times New Roman" w:hAnsi="Times New Roman" w:cs="Times New Roman"/>
          <w:sz w:val="24"/>
          <w:szCs w:val="24"/>
        </w:rPr>
        <w:t>1,2</w:t>
      </w:r>
      <w:r w:rsidR="00342501" w:rsidRPr="00517449">
        <w:rPr>
          <w:rFonts w:ascii="Times New Roman" w:hAnsi="Times New Roman" w:cs="Times New Roman"/>
          <w:sz w:val="24"/>
          <w:szCs w:val="24"/>
        </w:rPr>
        <w:t>; Gehring, C.A.</w:t>
      </w:r>
      <w:r w:rsidR="00961545" w:rsidRPr="00517449">
        <w:rPr>
          <w:rFonts w:ascii="Times New Roman" w:hAnsi="Times New Roman" w:cs="Times New Roman"/>
          <w:sz w:val="24"/>
          <w:szCs w:val="24"/>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9"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0A58C5D9" w:rsidR="00BC14A9" w:rsidRPr="00517449"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E04C21" w:rsidRPr="00517449">
        <w:rPr>
          <w:rFonts w:ascii="Times New Roman" w:hAnsi="Times New Roman" w:cs="Times New Roman"/>
          <w:i/>
          <w:iCs/>
          <w:sz w:val="24"/>
          <w:szCs w:val="24"/>
        </w:rPr>
        <w:t xml:space="preserve">Alternaria alternata </w:t>
      </w:r>
      <w:r w:rsidR="00E04C21" w:rsidRPr="00517449">
        <w:rPr>
          <w:rFonts w:ascii="Times New Roman" w:hAnsi="Times New Roman" w:cs="Times New Roman"/>
          <w:sz w:val="24"/>
          <w:szCs w:val="24"/>
        </w:rPr>
        <w:t>is a fungus which</w:t>
      </w:r>
      <w:r w:rsidRPr="00517449">
        <w:rPr>
          <w:rFonts w:ascii="Times New Roman" w:hAnsi="Times New Roman" w:cs="Times New Roman"/>
          <w:sz w:val="24"/>
          <w:szCs w:val="24"/>
        </w:rPr>
        <w:t xml:space="preserve"> causes spot diseases on agriculturally important crops, </w:t>
      </w:r>
      <w:r w:rsidR="00E04C21" w:rsidRPr="00517449">
        <w:rPr>
          <w:rFonts w:ascii="Times New Roman" w:hAnsi="Times New Roman" w:cs="Times New Roman"/>
          <w:sz w:val="24"/>
          <w:szCs w:val="24"/>
        </w:rPr>
        <w:t xml:space="preserve">but </w:t>
      </w:r>
      <w:r w:rsidRPr="00517449">
        <w:rPr>
          <w:rFonts w:ascii="Times New Roman" w:hAnsi="Times New Roman" w:cs="Times New Roman"/>
          <w:sz w:val="24"/>
          <w:szCs w:val="24"/>
        </w:rPr>
        <w:t xml:space="preserve">it is </w:t>
      </w:r>
      <w:r w:rsidR="00E04C21" w:rsidRPr="00517449">
        <w:rPr>
          <w:rFonts w:ascii="Times New Roman" w:hAnsi="Times New Roman" w:cs="Times New Roman"/>
          <w:sz w:val="24"/>
          <w:szCs w:val="24"/>
        </w:rPr>
        <w:t xml:space="preserve">also </w:t>
      </w:r>
      <w:r w:rsidRPr="00517449">
        <w:rPr>
          <w:rFonts w:ascii="Times New Roman" w:hAnsi="Times New Roman" w:cs="Times New Roman"/>
          <w:sz w:val="24"/>
          <w:szCs w:val="24"/>
        </w:rPr>
        <w:t xml:space="preserve">part of a fungal group </w:t>
      </w:r>
      <w:r w:rsidR="00E04C21" w:rsidRPr="00517449">
        <w:rPr>
          <w:rFonts w:ascii="Times New Roman" w:hAnsi="Times New Roman" w:cs="Times New Roman"/>
          <w:sz w:val="24"/>
          <w:szCs w:val="24"/>
        </w:rPr>
        <w:t xml:space="preserve">(Dark Septate Endophytes) </w:t>
      </w:r>
      <w:r w:rsidRPr="00517449">
        <w:rPr>
          <w:rFonts w:ascii="Times New Roman" w:hAnsi="Times New Roman" w:cs="Times New Roman"/>
          <w:sz w:val="24"/>
          <w:szCs w:val="24"/>
        </w:rPr>
        <w:t>which can also improve the growth of host plants</w:t>
      </w:r>
      <w:r w:rsidR="005F39D9" w:rsidRPr="00517449">
        <w:rPr>
          <w:rFonts w:ascii="Times New Roman" w:hAnsi="Times New Roman" w:cs="Times New Roman"/>
          <w:sz w:val="24"/>
          <w:szCs w:val="24"/>
        </w:rPr>
        <w:t xml:space="preserve"> under certain conditions</w:t>
      </w:r>
      <w:r w:rsidRPr="00517449">
        <w:rPr>
          <w:rFonts w:ascii="Times New Roman" w:hAnsi="Times New Roman" w:cs="Times New Roman"/>
          <w:sz w:val="24"/>
          <w:szCs w:val="24"/>
        </w:rPr>
        <w:t xml:space="preserve">. To allow for future experimental testing of this relationship, it is necessary to know if this fungus can use </w:t>
      </w:r>
      <w:r w:rsidR="00E04C21" w:rsidRPr="00517449">
        <w:rPr>
          <w:rFonts w:ascii="Times New Roman" w:hAnsi="Times New Roman" w:cs="Times New Roman"/>
          <w:sz w:val="24"/>
          <w:szCs w:val="24"/>
        </w:rPr>
        <w:t>both</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organic and inorganic nitrogen</w:t>
      </w:r>
      <w:r w:rsidRPr="00517449">
        <w:rPr>
          <w:rFonts w:ascii="Times New Roman" w:hAnsi="Times New Roman" w:cs="Times New Roman"/>
          <w:sz w:val="24"/>
          <w:szCs w:val="24"/>
        </w:rPr>
        <w:t xml:space="preserve">. We found that this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 not only grows when provided with</w:t>
      </w:r>
      <w:r w:rsidR="005F39D9" w:rsidRPr="00517449">
        <w:rPr>
          <w:rFonts w:ascii="Times New Roman" w:hAnsi="Times New Roman" w:cs="Times New Roman"/>
          <w:sz w:val="24"/>
          <w:szCs w:val="24"/>
        </w:rPr>
        <w:t xml:space="preserve"> an</w:t>
      </w:r>
      <w:r w:rsidRPr="00517449">
        <w:rPr>
          <w:rFonts w:ascii="Times New Roman" w:hAnsi="Times New Roman" w:cs="Times New Roman"/>
          <w:sz w:val="24"/>
          <w:szCs w:val="24"/>
        </w:rPr>
        <w:t xml:space="preserve"> inorganic source of nitrogen, but it also grows better in </w:t>
      </w:r>
      <w:r w:rsidR="00E04C21" w:rsidRPr="00517449">
        <w:rPr>
          <w:rFonts w:ascii="Times New Roman" w:hAnsi="Times New Roman" w:cs="Times New Roman"/>
          <w:sz w:val="24"/>
          <w:szCs w:val="24"/>
        </w:rPr>
        <w:t>an</w:t>
      </w:r>
      <w:r w:rsidRPr="00517449">
        <w:rPr>
          <w:rFonts w:ascii="Times New Roman" w:hAnsi="Times New Roman" w:cs="Times New Roman"/>
          <w:sz w:val="24"/>
          <w:szCs w:val="24"/>
        </w:rPr>
        <w:t xml:space="preserve"> inorganic nitrogen media than </w:t>
      </w:r>
      <w:r w:rsidR="00E04C21" w:rsidRPr="00517449">
        <w:rPr>
          <w:rFonts w:ascii="Times New Roman" w:hAnsi="Times New Roman" w:cs="Times New Roman"/>
          <w:sz w:val="24"/>
          <w:szCs w:val="24"/>
        </w:rPr>
        <w:t>in</w:t>
      </w:r>
      <w:r w:rsidRPr="00517449">
        <w:rPr>
          <w:rFonts w:ascii="Times New Roman" w:hAnsi="Times New Roman" w:cs="Times New Roman"/>
          <w:sz w:val="24"/>
          <w:szCs w:val="24"/>
        </w:rPr>
        <w:t xml:space="preserve"> </w:t>
      </w:r>
      <w:r w:rsidR="005F39D9" w:rsidRPr="00517449">
        <w:rPr>
          <w:rFonts w:ascii="Times New Roman" w:hAnsi="Times New Roman" w:cs="Times New Roman"/>
          <w:sz w:val="24"/>
          <w:szCs w:val="24"/>
        </w:rPr>
        <w:t>the</w:t>
      </w:r>
      <w:r w:rsidRPr="00517449">
        <w:rPr>
          <w:rFonts w:ascii="Times New Roman" w:hAnsi="Times New Roman" w:cs="Times New Roman"/>
          <w:sz w:val="24"/>
          <w:szCs w:val="24"/>
        </w:rPr>
        <w:t xml:space="preserve"> organic</w:t>
      </w:r>
      <w:r w:rsidR="00E04C21" w:rsidRPr="00517449">
        <w:rPr>
          <w:rFonts w:ascii="Times New Roman" w:hAnsi="Times New Roman" w:cs="Times New Roman"/>
          <w:sz w:val="24"/>
          <w:szCs w:val="24"/>
        </w:rPr>
        <w:t xml:space="preserve"> nitrogen media</w:t>
      </w:r>
      <w:r w:rsidRPr="00517449">
        <w:rPr>
          <w:rFonts w:ascii="Times New Roman" w:hAnsi="Times New Roman" w:cs="Times New Roman"/>
          <w:sz w:val="24"/>
          <w:szCs w:val="24"/>
        </w:rPr>
        <w:t>. Th</w:t>
      </w:r>
      <w:r w:rsidR="005F39D9" w:rsidRPr="00517449">
        <w:rPr>
          <w:rFonts w:ascii="Times New Roman" w:hAnsi="Times New Roman" w:cs="Times New Roman"/>
          <w:sz w:val="24"/>
          <w:szCs w:val="24"/>
        </w:rPr>
        <w:t xml:space="preserve">ese data </w:t>
      </w:r>
      <w:r w:rsidRPr="00517449">
        <w:rPr>
          <w:rFonts w:ascii="Times New Roman" w:hAnsi="Times New Roman" w:cs="Times New Roman"/>
          <w:sz w:val="24"/>
          <w:szCs w:val="24"/>
        </w:rPr>
        <w:t xml:space="preserve">provide grounds for future studies testing more DSE </w:t>
      </w:r>
      <w:r w:rsidR="005F39D9" w:rsidRPr="00517449">
        <w:rPr>
          <w:rFonts w:ascii="Times New Roman" w:hAnsi="Times New Roman" w:cs="Times New Roman"/>
          <w:sz w:val="24"/>
          <w:szCs w:val="24"/>
        </w:rPr>
        <w:t xml:space="preserve">taxa </w:t>
      </w:r>
      <w:r w:rsidRPr="00517449">
        <w:rPr>
          <w:rFonts w:ascii="Times New Roman" w:hAnsi="Times New Roman" w:cs="Times New Roman"/>
          <w:sz w:val="24"/>
          <w:szCs w:val="24"/>
        </w:rPr>
        <w:t xml:space="preserve">and more </w:t>
      </w:r>
      <w:r w:rsidR="005F39D9" w:rsidRPr="00517449">
        <w:rPr>
          <w:rFonts w:ascii="Times New Roman" w:hAnsi="Times New Roman" w:cs="Times New Roman"/>
          <w:sz w:val="24"/>
          <w:szCs w:val="24"/>
        </w:rPr>
        <w:t>forms of organic and inorganic nitrogen</w:t>
      </w:r>
      <w:r w:rsidRPr="00517449">
        <w:rPr>
          <w:rFonts w:ascii="Times New Roman" w:hAnsi="Times New Roman" w:cs="Times New Roman"/>
          <w:sz w:val="24"/>
          <w:szCs w:val="24"/>
        </w:rPr>
        <w:t xml:space="preserve"> to assess how different fungal groups utilize different sources of nitrogen. </w:t>
      </w:r>
    </w:p>
    <w:p w14:paraId="51D3A36B" w14:textId="2DA71093"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12B4EFD" w14:textId="6877264B" w:rsidR="00732D6D" w:rsidRPr="00517449" w:rsidRDefault="00720858">
      <w:pPr>
        <w:rPr>
          <w:rFonts w:ascii="Times New Roman" w:hAnsi="Times New Roman" w:cs="Times New Roman"/>
          <w:sz w:val="24"/>
          <w:szCs w:val="24"/>
        </w:rPr>
      </w:pPr>
      <w:r w:rsidRPr="00517449">
        <w:rPr>
          <w:rFonts w:ascii="Times New Roman" w:hAnsi="Times New Roman" w:cs="Times New Roman"/>
          <w:noProof/>
          <w:sz w:val="24"/>
          <w:szCs w:val="24"/>
        </w:rPr>
        <w:drawing>
          <wp:inline distT="0" distB="0" distL="0" distR="0" wp14:anchorId="3054E7B3" wp14:editId="1A20695F">
            <wp:extent cx="3808095" cy="2858770"/>
            <wp:effectExtent l="0" t="0" r="1905" b="0"/>
            <wp:docPr id="137474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858770"/>
                    </a:xfrm>
                    <a:prstGeom prst="rect">
                      <a:avLst/>
                    </a:prstGeom>
                    <a:noFill/>
                    <a:ln>
                      <a:noFill/>
                    </a:ln>
                  </pic:spPr>
                </pic:pic>
              </a:graphicData>
            </a:graphic>
          </wp:inline>
        </w:drawing>
      </w:r>
    </w:p>
    <w:p w14:paraId="4C413102" w14:textId="6B139E00" w:rsidR="00BC14A9" w:rsidRPr="00517449" w:rsidRDefault="00BC14A9">
      <w:pPr>
        <w:rPr>
          <w:rFonts w:ascii="Times New Roman" w:hAnsi="Times New Roman" w:cs="Times New Roman"/>
          <w:sz w:val="24"/>
          <w:szCs w:val="24"/>
        </w:rPr>
      </w:pPr>
      <w:r w:rsidRPr="00517449">
        <w:rPr>
          <w:rFonts w:ascii="Times New Roman" w:hAnsi="Times New Roman" w:cs="Times New Roman"/>
          <w:b/>
          <w:bCs/>
          <w:sz w:val="24"/>
          <w:szCs w:val="24"/>
        </w:rPr>
        <w:t>Figure caption</w:t>
      </w:r>
      <w:r w:rsidRPr="00517449">
        <w:rPr>
          <w:rFonts w:ascii="Times New Roman" w:hAnsi="Times New Roman" w:cs="Times New Roman"/>
          <w:sz w:val="24"/>
          <w:szCs w:val="24"/>
        </w:rPr>
        <w:t>: Fungal biomass growth was significantly higher in media containing an inorganic nitrogen source compared to an organic nitrogen source (ANOVA; F</w:t>
      </w:r>
      <w:r w:rsidRPr="00517449">
        <w:rPr>
          <w:rFonts w:ascii="Times New Roman" w:hAnsi="Times New Roman" w:cs="Times New Roman"/>
          <w:sz w:val="24"/>
          <w:szCs w:val="24"/>
          <w:vertAlign w:val="subscript"/>
        </w:rPr>
        <w:t>6,70</w:t>
      </w:r>
      <w:r w:rsidRPr="00517449">
        <w:rPr>
          <w:rFonts w:ascii="Times New Roman" w:hAnsi="Times New Roman" w:cs="Times New Roman"/>
          <w:sz w:val="24"/>
          <w:szCs w:val="24"/>
        </w:rPr>
        <w:t>; p = 0.00016).</w:t>
      </w:r>
      <w:r w:rsidR="00720858" w:rsidRPr="00517449">
        <w:rPr>
          <w:rFonts w:ascii="Times New Roman" w:hAnsi="Times New Roman" w:cs="Times New Roman"/>
          <w:sz w:val="24"/>
          <w:szCs w:val="24"/>
        </w:rPr>
        <w:t xml:space="preserve"> Points are shaped according to nitrogen type and indicate each sample in the experiment.</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6158FE7D"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well-known for causing a spot disease on </w:t>
      </w:r>
      <w:r w:rsidR="00D11BE8" w:rsidRPr="00517449">
        <w:rPr>
          <w:rFonts w:ascii="Times New Roman" w:hAnsi="Times New Roman" w:cs="Times New Roman"/>
          <w:sz w:val="24"/>
          <w:szCs w:val="24"/>
        </w:rPr>
        <w:t xml:space="preserve">plants, of economic interest because of the massive 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 xml:space="preserve">is 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members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instead of causing disease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globally-occurring fungus</w:t>
      </w:r>
      <w:r w:rsidR="006D20AE"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it is of interest to understand which conditions are conducive to its being a mutualist instead of a pathogen</w:t>
      </w:r>
      <w:r w:rsidR="008105CC" w:rsidRPr="00517449">
        <w:rPr>
          <w:rFonts w:ascii="Times New Roman" w:hAnsi="Times New Roman" w:cs="Times New Roman"/>
          <w:sz w:val="24"/>
          <w:szCs w:val="24"/>
        </w:rPr>
        <w:t xml:space="preserve"> so that management of the fungus’s effects on plants can be explored</w:t>
      </w:r>
      <w:r w:rsidR="00D11BE8" w:rsidRPr="00517449">
        <w:rPr>
          <w:rFonts w:ascii="Times New Roman" w:hAnsi="Times New Roman" w:cs="Times New Roman"/>
          <w:sz w:val="24"/>
          <w:szCs w:val="24"/>
        </w:rPr>
        <w:t>.</w:t>
      </w:r>
    </w:p>
    <w:p w14:paraId="7CBEB79A" w14:textId="2D865F40"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r w:rsidR="006D20AE" w:rsidRPr="00517449">
        <w:rPr>
          <w:rFonts w:ascii="Times New Roman" w:hAnsi="Times New Roman" w:cs="Times New Roman"/>
          <w:sz w:val="24"/>
          <w:szCs w:val="24"/>
        </w:rPr>
        <w:t>I</w:t>
      </w:r>
      <w:r w:rsidRPr="00517449">
        <w:rPr>
          <w:rFonts w:ascii="Times New Roman" w:hAnsi="Times New Roman" w:cs="Times New Roman"/>
          <w:sz w:val="24"/>
          <w:szCs w:val="24"/>
        </w:rPr>
        <w:t>t is vital to know if this fungus can use both forms of nitrogen because this will impact which forms of nitrogen are used and monitored in 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this work being done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p>
    <w:p w14:paraId="7873AA2A" w14:textId="08E2B3FF"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lastRenderedPageBreak/>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r w:rsidRPr="00517449">
        <w:rPr>
          <w:rFonts w:ascii="Times New Roman" w:hAnsi="Times New Roman" w:cs="Times New Roman"/>
          <w:sz w:val="24"/>
          <w:szCs w:val="24"/>
        </w:rPr>
        <w:t xml:space="preserve">We hypothesized that the fungus would be better able to use organic forms of nitrogen because of the fungus being a plant-symbiont which garners nutrition from the plant.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significantly</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(ANOVA; F</w:t>
      </w:r>
      <w:r w:rsidR="00732D6D" w:rsidRPr="00517449">
        <w:rPr>
          <w:rFonts w:ascii="Times New Roman" w:hAnsi="Times New Roman" w:cs="Times New Roman"/>
          <w:sz w:val="24"/>
          <w:szCs w:val="24"/>
          <w:vertAlign w:val="subscript"/>
        </w:rPr>
        <w:t>6,70</w:t>
      </w:r>
      <w:r w:rsidR="00732D6D" w:rsidRPr="00517449">
        <w:rPr>
          <w:rFonts w:ascii="Times New Roman" w:hAnsi="Times New Roman" w:cs="Times New Roman"/>
          <w:sz w:val="24"/>
          <w:szCs w:val="24"/>
        </w:rPr>
        <w:t xml:space="preserve">; p = 0.00016). While other sources of inorganic and organic nitrogen should be tested to determine fungal preference between the two types of nitrogen, </w:t>
      </w:r>
      <w:proofErr w:type="gramStart"/>
      <w:r w:rsidR="00732D6D" w:rsidRPr="00517449">
        <w:rPr>
          <w:rFonts w:ascii="Times New Roman" w:hAnsi="Times New Roman" w:cs="Times New Roman"/>
          <w:sz w:val="24"/>
          <w:szCs w:val="24"/>
        </w:rPr>
        <w:t>it is clear that the</w:t>
      </w:r>
      <w:proofErr w:type="gramEnd"/>
      <w:r w:rsidR="00732D6D" w:rsidRPr="00517449">
        <w:rPr>
          <w:rFonts w:ascii="Times New Roman" w:hAnsi="Times New Roman" w:cs="Times New Roman"/>
          <w:sz w:val="24"/>
          <w:szCs w:val="24"/>
        </w:rPr>
        <w:t xml:space="preserv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08541482" w14:textId="77777777"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proofErr w:type="gramStart"/>
      <w:r w:rsidRPr="00517449">
        <w:rPr>
          <w:rFonts w:ascii="Times New Roman" w:hAnsi="Times New Roman" w:cs="Times New Roman"/>
          <w:sz w:val="24"/>
          <w:szCs w:val="24"/>
        </w:rPr>
        <w:t>as a way to</w:t>
      </w:r>
      <w:proofErr w:type="gramEnd"/>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p>
    <w:p w14:paraId="44AAFE1E" w14:textId="37918B8E"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commentRangeStart w:id="1"/>
      <w:commentRangeStart w:id="2"/>
      <w:r w:rsidRPr="00517449">
        <w:rPr>
          <w:rFonts w:ascii="Times New Roman" w:hAnsi="Times New Roman" w:cs="Times New Roman"/>
          <w:b/>
          <w:bCs/>
          <w:sz w:val="24"/>
          <w:szCs w:val="24"/>
        </w:rPr>
        <w:t>Methods</w:t>
      </w:r>
      <w:commentRangeEnd w:id="1"/>
      <w:r w:rsidR="00961545" w:rsidRPr="00517449">
        <w:rPr>
          <w:rStyle w:val="CommentReference"/>
          <w:rFonts w:ascii="Times New Roman" w:hAnsi="Times New Roman" w:cs="Times New Roman"/>
          <w:b/>
          <w:bCs/>
          <w:sz w:val="24"/>
          <w:szCs w:val="24"/>
        </w:rPr>
        <w:commentReference w:id="1"/>
      </w:r>
      <w:commentRangeEnd w:id="2"/>
      <w:r w:rsidR="007B07AE" w:rsidRPr="00517449">
        <w:rPr>
          <w:rStyle w:val="CommentReference"/>
          <w:rFonts w:ascii="Times New Roman" w:hAnsi="Times New Roman" w:cs="Times New Roman"/>
          <w:b/>
          <w:bCs/>
          <w:sz w:val="24"/>
          <w:szCs w:val="24"/>
        </w:rPr>
        <w:commentReference w:id="2"/>
      </w:r>
    </w:p>
    <w:p w14:paraId="1BCC47FC" w14:textId="6CE9B489"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 xml:space="preserve">We prepared two nitrogen-free media solutions by dissolving </w:t>
      </w:r>
      <w:r w:rsidRPr="00517449">
        <w:rPr>
          <w:rFonts w:ascii="Times New Roman" w:hAnsi="Times New Roman" w:cs="Times New Roman"/>
          <w:sz w:val="24"/>
          <w:szCs w:val="24"/>
        </w:rPr>
        <w:t>0.027</w:t>
      </w:r>
      <w:r w:rsidRPr="00517449">
        <w:rPr>
          <w:rFonts w:ascii="Times New Roman" w:hAnsi="Times New Roman" w:cs="Times New Roman"/>
          <w:sz w:val="24"/>
          <w:szCs w:val="24"/>
        </w:rPr>
        <w:t xml:space="preserve">4 grams of </w:t>
      </w:r>
      <w:r w:rsidR="00286F50" w:rsidRPr="00517449">
        <w:rPr>
          <w:rFonts w:ascii="Times New Roman" w:hAnsi="Times New Roman" w:cs="Times New Roman"/>
          <w:sz w:val="24"/>
          <w:szCs w:val="24"/>
        </w:rPr>
        <w:t>Nitrogen free</w:t>
      </w:r>
      <w:r w:rsidR="00286F50"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w:t>
      </w:r>
      <w:r w:rsidRPr="00517449">
        <w:rPr>
          <w:rFonts w:ascii="Times New Roman" w:hAnsi="Times New Roman" w:cs="Times New Roman"/>
          <w:sz w:val="24"/>
          <w:szCs w:val="24"/>
        </w:rPr>
        <w:t>0.0019</w:t>
      </w:r>
      <w:r w:rsidRPr="00517449">
        <w:rPr>
          <w:rFonts w:ascii="Times New Roman" w:hAnsi="Times New Roman" w:cs="Times New Roman"/>
          <w:sz w:val="24"/>
          <w:szCs w:val="24"/>
        </w:rPr>
        <w:t xml:space="preserve"> grams of Ammonium Sulfate </w:t>
      </w:r>
      <w:r w:rsidR="00286F50" w:rsidRPr="00517449">
        <w:rPr>
          <w:rFonts w:ascii="Times New Roman" w:hAnsi="Times New Roman" w:cs="Times New Roman"/>
          <w:sz w:val="24"/>
          <w:szCs w:val="24"/>
        </w:rPr>
        <w:t>(</w:t>
      </w:r>
      <w:r w:rsidR="00286F50" w:rsidRPr="00517449">
        <w:rPr>
          <w:rFonts w:ascii="Times New Roman" w:hAnsi="Times New Roman" w:cs="Times New Roman"/>
          <w:sz w:val="24"/>
          <w:szCs w:val="24"/>
        </w:rPr>
        <w:t>Mallinckrodt Chemical Works</w:t>
      </w:r>
      <w:r w:rsidR="00286F50" w:rsidRPr="00517449">
        <w:rPr>
          <w:rFonts w:ascii="Times New Roman" w:hAnsi="Times New Roman" w:cs="Times New Roman"/>
          <w:sz w:val="24"/>
          <w:szCs w:val="24"/>
        </w:rPr>
        <w:t xml:space="preserve">) </w:t>
      </w:r>
      <w:r w:rsidRPr="00517449">
        <w:rPr>
          <w:rFonts w:ascii="Times New Roman" w:hAnsi="Times New Roman" w:cs="Times New Roman"/>
          <w:sz w:val="24"/>
          <w:szCs w:val="24"/>
        </w:rPr>
        <w:t xml:space="preserve">per 1 mL of solution. For the inorganic N treatment, we added </w:t>
      </w:r>
      <w:r w:rsidRPr="00517449">
        <w:rPr>
          <w:rFonts w:ascii="Times New Roman" w:hAnsi="Times New Roman" w:cs="Times New Roman"/>
          <w:sz w:val="24"/>
          <w:szCs w:val="24"/>
        </w:rPr>
        <w:t>0.000</w:t>
      </w:r>
      <w:r w:rsidRPr="00517449">
        <w:rPr>
          <w:rFonts w:ascii="Times New Roman" w:hAnsi="Times New Roman" w:cs="Times New Roman"/>
          <w:sz w:val="24"/>
          <w:szCs w:val="24"/>
        </w:rPr>
        <w:t xml:space="preserve">9 grams of Urea </w:t>
      </w:r>
      <w:r w:rsidR="00286F50" w:rsidRPr="00517449">
        <w:rPr>
          <w:rFonts w:ascii="Times New Roman" w:hAnsi="Times New Roman" w:cs="Times New Roman"/>
          <w:sz w:val="24"/>
          <w:szCs w:val="24"/>
        </w:rPr>
        <w:t>(</w:t>
      </w:r>
      <w:r w:rsidR="00286F50" w:rsidRPr="00517449">
        <w:rPr>
          <w:rFonts w:ascii="Times New Roman" w:hAnsi="Times New Roman" w:cs="Times New Roman"/>
          <w:sz w:val="24"/>
          <w:szCs w:val="24"/>
        </w:rPr>
        <w:t>Fisher Scientific U-15</w:t>
      </w:r>
      <w:r w:rsidR="00286F50" w:rsidRPr="00517449">
        <w:rPr>
          <w:rFonts w:ascii="Times New Roman" w:hAnsi="Times New Roman" w:cs="Times New Roman"/>
          <w:sz w:val="24"/>
          <w:szCs w:val="24"/>
        </w:rPr>
        <w:t xml:space="preserve">) </w:t>
      </w:r>
      <w:r w:rsidRPr="00517449">
        <w:rPr>
          <w:rFonts w:ascii="Times New Roman" w:hAnsi="Times New Roman" w:cs="Times New Roman"/>
          <w:sz w:val="24"/>
          <w:szCs w:val="24"/>
        </w:rPr>
        <w:t xml:space="preserve">per 1 mL of solution. Ratios were calculated based on the number of N atoms by weight </w:t>
      </w:r>
      <w:proofErr w:type="gramStart"/>
      <w:r w:rsidRPr="00517449">
        <w:rPr>
          <w:rFonts w:ascii="Times New Roman" w:hAnsi="Times New Roman" w:cs="Times New Roman"/>
          <w:sz w:val="24"/>
          <w:szCs w:val="24"/>
        </w:rPr>
        <w:t>so as to</w:t>
      </w:r>
      <w:proofErr w:type="gramEnd"/>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4C947DAB"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w:t>
      </w:r>
      <w:proofErr w:type="gramStart"/>
      <w:r w:rsidR="00286F50" w:rsidRPr="00517449">
        <w:rPr>
          <w:rFonts w:ascii="Times New Roman" w:hAnsi="Times New Roman" w:cs="Times New Roman"/>
          <w:sz w:val="24"/>
          <w:szCs w:val="24"/>
        </w:rPr>
        <w:t>A</w:t>
      </w:r>
      <w:proofErr w:type="gramEnd"/>
      <w:r w:rsidR="00286F50" w:rsidRPr="00517449">
        <w:rPr>
          <w:rFonts w:ascii="Times New Roman" w:hAnsi="Times New Roman" w:cs="Times New Roman"/>
          <w:sz w:val="24"/>
          <w:szCs w:val="24"/>
        </w:rPr>
        <w:t xml:space="preserve"> </w:t>
      </w:r>
      <w:commentRangeStart w:id="3"/>
      <w:r w:rsidR="00286F50" w:rsidRPr="00517449">
        <w:rPr>
          <w:rFonts w:ascii="Times New Roman" w:hAnsi="Times New Roman" w:cs="Times New Roman"/>
          <w:sz w:val="24"/>
          <w:szCs w:val="24"/>
        </w:rPr>
        <w:t>XXX</w:t>
      </w:r>
      <w:commentRangeEnd w:id="3"/>
      <w:r w:rsidR="00286F50" w:rsidRPr="00517449">
        <w:rPr>
          <w:rStyle w:val="CommentReference"/>
          <w:rFonts w:ascii="Times New Roman" w:hAnsi="Times New Roman" w:cs="Times New Roman"/>
          <w:sz w:val="24"/>
          <w:szCs w:val="24"/>
        </w:rPr>
        <w:commentReference w:id="3"/>
      </w:r>
      <w:r w:rsidR="00286F50" w:rsidRPr="00517449">
        <w:rPr>
          <w:rFonts w:ascii="Times New Roman" w:hAnsi="Times New Roman" w:cs="Times New Roman"/>
          <w:sz w:val="24"/>
          <w:szCs w:val="24"/>
        </w:rPr>
        <w:t xml:space="preserve"> 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w:t>
      </w:r>
      <w:r w:rsidR="00286F50" w:rsidRPr="00517449">
        <w:rPr>
          <w:rFonts w:ascii="Times New Roman" w:hAnsi="Times New Roman" w:cs="Times New Roman"/>
          <w:sz w:val="24"/>
          <w:szCs w:val="24"/>
        </w:rPr>
        <w:t>GenBank Accession Number SUB14593255 germinator_fung_10x_B_2_F12 PQ284877</w:t>
      </w:r>
      <w:r w:rsidR="00286F50" w:rsidRPr="00517449">
        <w:rPr>
          <w:rFonts w:ascii="Times New Roman" w:hAnsi="Times New Roman" w:cs="Times New Roman"/>
          <w:sz w:val="24"/>
          <w:szCs w:val="24"/>
        </w:rPr>
        <w:t xml:space="preserve">), plated two weeks prior on Potato Dextrose Agar. The dry weight of these plugs is approximately </w:t>
      </w:r>
      <w:commentRangeStart w:id="4"/>
      <w:r w:rsidR="00286F50" w:rsidRPr="00517449">
        <w:rPr>
          <w:rFonts w:ascii="Times New Roman" w:hAnsi="Times New Roman" w:cs="Times New Roman"/>
          <w:sz w:val="24"/>
          <w:szCs w:val="24"/>
        </w:rPr>
        <w:t>XXX</w:t>
      </w:r>
      <w:commentRangeEnd w:id="4"/>
      <w:r w:rsidR="00286F50" w:rsidRPr="00517449">
        <w:rPr>
          <w:rStyle w:val="CommentReference"/>
          <w:rFonts w:ascii="Times New Roman" w:hAnsi="Times New Roman" w:cs="Times New Roman"/>
          <w:sz w:val="24"/>
          <w:szCs w:val="24"/>
        </w:rPr>
        <w:commentReference w:id="4"/>
      </w:r>
      <w:r w:rsidR="00286F50" w:rsidRPr="00517449">
        <w:rPr>
          <w:rFonts w:ascii="Times New Roman" w:hAnsi="Times New Roman" w:cs="Times New Roman"/>
          <w:sz w:val="24"/>
          <w:szCs w:val="24"/>
        </w:rPr>
        <w:t xml:space="preserve">. One fungal plug was added to each flask. Flasks were incubated at 19C shaking at 80 RPM for 7 days. </w:t>
      </w:r>
      <w:r w:rsidR="007A1B63" w:rsidRPr="00517449">
        <w:rPr>
          <w:rFonts w:ascii="Times New Roman" w:hAnsi="Times New Roman" w:cs="Times New Roman"/>
          <w:sz w:val="24"/>
          <w:szCs w:val="24"/>
        </w:rPr>
        <w:t xml:space="preserve">Filter papers were </w:t>
      </w:r>
      <w:proofErr w:type="gramStart"/>
      <w:r w:rsidR="007A1B63" w:rsidRPr="00517449">
        <w:rPr>
          <w:rFonts w:ascii="Times New Roman" w:hAnsi="Times New Roman" w:cs="Times New Roman"/>
          <w:sz w:val="24"/>
          <w:szCs w:val="24"/>
        </w:rPr>
        <w:t>labeled</w:t>
      </w:r>
      <w:proofErr w:type="gramEnd"/>
      <w:r w:rsidR="007A1B63" w:rsidRPr="00517449">
        <w:rPr>
          <w:rFonts w:ascii="Times New Roman" w:hAnsi="Times New Roman" w:cs="Times New Roman"/>
          <w:sz w:val="24"/>
          <w:szCs w:val="24"/>
        </w:rPr>
        <w:t xml:space="preserve"> and their individual weights were recorded. </w:t>
      </w:r>
      <w:r w:rsidR="00FC6EC8" w:rsidRPr="00517449">
        <w:rPr>
          <w:rFonts w:ascii="Times New Roman" w:hAnsi="Times New Roman" w:cs="Times New Roman"/>
          <w:sz w:val="24"/>
          <w:szCs w:val="24"/>
        </w:rPr>
        <w:t>After the 7 days of incubation, t</w:t>
      </w:r>
      <w:r w:rsidR="007A1B63" w:rsidRPr="00517449">
        <w:rPr>
          <w:rFonts w:ascii="Times New Roman" w:hAnsi="Times New Roman" w:cs="Times New Roman"/>
          <w:sz w:val="24"/>
          <w:szCs w:val="24"/>
        </w:rPr>
        <w:t xml:space="preserve">he contents of each flask were filtered through the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water, and the contents were filtered through the same filter papers until the visible contents of all flasks were cleared. Once filtering was complete, we placed 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 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01F6E05F" w14:textId="20396A47" w:rsidR="000137D2"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Reagents</w:t>
      </w:r>
    </w:p>
    <w:p w14:paraId="7F66B6D9" w14:textId="2FF11296" w:rsidR="00FC68EB" w:rsidRPr="009C1683" w:rsidRDefault="00FC68EB" w:rsidP="00732D6D">
      <w:pPr>
        <w:rPr>
          <w:rFonts w:ascii="Times New Roman" w:hAnsi="Times New Roman" w:cs="Times New Roman"/>
          <w:sz w:val="24"/>
          <w:szCs w:val="24"/>
        </w:rPr>
      </w:pPr>
      <w:r w:rsidRPr="00517449">
        <w:rPr>
          <w:rFonts w:ascii="Times New Roman" w:hAnsi="Times New Roman" w:cs="Times New Roman"/>
          <w:sz w:val="24"/>
          <w:szCs w:val="24"/>
        </w:rPr>
        <w:t>Alternaria alternata fungus (</w:t>
      </w:r>
      <w:r w:rsidRPr="00517449">
        <w:rPr>
          <w:rFonts w:ascii="Times New Roman" w:hAnsi="Times New Roman" w:cs="Times New Roman"/>
          <w:sz w:val="24"/>
          <w:szCs w:val="24"/>
        </w:rPr>
        <w:t>GenBank Accession Number SUB14593255 germinator_fung_10x_B_2_F12 PQ284877</w:t>
      </w:r>
      <w:r w:rsidRPr="00517449">
        <w:rPr>
          <w:rFonts w:ascii="Times New Roman" w:hAnsi="Times New Roman" w:cs="Times New Roman"/>
          <w:sz w:val="24"/>
          <w:szCs w:val="24"/>
        </w:rPr>
        <w:t>)</w:t>
      </w:r>
      <w:r w:rsidR="009C1683">
        <w:rPr>
          <w:rFonts w:ascii="Times New Roman" w:hAnsi="Times New Roman" w:cs="Times New Roman"/>
          <w:sz w:val="24"/>
          <w:szCs w:val="24"/>
        </w:rPr>
        <w:t xml:space="preserve">. Isolated from a </w:t>
      </w:r>
      <w:r w:rsidR="009C1683">
        <w:rPr>
          <w:rFonts w:ascii="Times New Roman" w:hAnsi="Times New Roman" w:cs="Times New Roman"/>
          <w:i/>
          <w:iCs/>
          <w:sz w:val="24"/>
          <w:szCs w:val="24"/>
        </w:rPr>
        <w:t xml:space="preserve">Sorghum bicolor </w:t>
      </w:r>
      <w:r w:rsidR="009C1683">
        <w:rPr>
          <w:rFonts w:ascii="Times New Roman" w:hAnsi="Times New Roman" w:cs="Times New Roman"/>
          <w:sz w:val="24"/>
          <w:szCs w:val="24"/>
        </w:rPr>
        <w:t>seed by Dr. Ron Deckert in Dr. Catherine Gehring’s laboratory at Northern Arizona University.</w:t>
      </w:r>
    </w:p>
    <w:p w14:paraId="2FBC03F8" w14:textId="77777777" w:rsidR="007A1B63" w:rsidRPr="007A1B63" w:rsidRDefault="007A1B63" w:rsidP="007A1B63">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r w:rsidRPr="007A1B63">
        <w:rPr>
          <w:rFonts w:ascii="Times New Roman" w:hAnsi="Times New Roman" w:cs="Times New Roman"/>
          <w:sz w:val="24"/>
          <w:szCs w:val="24"/>
        </w:rPr>
        <w:t xml:space="preserve"> Edinburgh minimal media, Nitrogen free Catalog #MBS652833</w:t>
      </w:r>
    </w:p>
    <w:p w14:paraId="5AF10E5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p w14:paraId="6CC02A3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Fisher Scientific Urea U-15</w:t>
      </w:r>
    </w:p>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7CDA0130"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 xml:space="preserve">The authors are grateful for the support of the </w:t>
      </w:r>
      <w:commentRangeStart w:id="5"/>
      <w:r w:rsidRPr="00517449">
        <w:rPr>
          <w:rStyle w:val="Strong"/>
          <w:rFonts w:ascii="Times New Roman" w:hAnsi="Times New Roman" w:cs="Times New Roman"/>
          <w:b w:val="0"/>
          <w:bCs w:val="0"/>
          <w:sz w:val="24"/>
          <w:szCs w:val="24"/>
        </w:rPr>
        <w:t>US</w:t>
      </w:r>
      <w:commentRangeEnd w:id="5"/>
      <w:r w:rsidRPr="00517449">
        <w:rPr>
          <w:rStyle w:val="CommentReference"/>
          <w:rFonts w:ascii="Times New Roman" w:hAnsi="Times New Roman" w:cs="Times New Roman"/>
          <w:sz w:val="24"/>
          <w:szCs w:val="24"/>
        </w:rPr>
        <w:commentReference w:id="5"/>
      </w:r>
      <w:r w:rsidRPr="00517449">
        <w:rPr>
          <w:rStyle w:val="Strong"/>
          <w:rFonts w:ascii="Times New Roman" w:hAnsi="Times New Roman" w:cs="Times New Roman"/>
          <w:b w:val="0"/>
          <w:bCs w:val="0"/>
          <w:sz w:val="24"/>
          <w:szCs w:val="24"/>
        </w:rPr>
        <w:t xml:space="preserve"> Department of Energy program in Systems Biology Research to Advance Sustainable Bioenergy Crop Development (DE-FOA-0002214)(NCJ &amp; BMB), the Lucking Family Professorship (CAG &amp; BMB),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30D79106" w14:textId="77777777" w:rsidR="006D20AE" w:rsidRPr="00517449" w:rsidRDefault="00732D6D"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ADDIN ZOTERO_BIBL {"uncited":[],"omitted":[],"custom":[]} CSL_BIBLIOGRAPHY </w:instrText>
      </w:r>
      <w:r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6D20AE" w:rsidRPr="00517449">
        <w:rPr>
          <w:rFonts w:ascii="Times New Roman" w:hAnsi="Times New Roman" w:cs="Times New Roman"/>
          <w:i/>
          <w:iCs/>
          <w:sz w:val="24"/>
          <w:szCs w:val="24"/>
        </w:rPr>
        <w:t>Endophytes for a Growing World</w:t>
      </w:r>
      <w:r w:rsidR="006D20AE" w:rsidRPr="00517449">
        <w:rPr>
          <w:rFonts w:ascii="Times New Roman" w:hAnsi="Times New Roman" w:cs="Times New Roman"/>
          <w:sz w:val="24"/>
          <w:szCs w:val="24"/>
        </w:rPr>
        <w:t xml:space="preserve"> (1st ed., pp. 143–164). Cambridge University Press. https://www.cambridge.org/core/product/identifier/9781108607667%23CN-bp-7/type/book_part</w:t>
      </w:r>
    </w:p>
    <w:p w14:paraId="58E35FA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DeMers, M. (2022). Alternaria alternata as endophyte and pathogen. </w:t>
      </w:r>
      <w:r w:rsidRPr="00517449">
        <w:rPr>
          <w:rFonts w:ascii="Times New Roman" w:hAnsi="Times New Roman" w:cs="Times New Roman"/>
          <w:i/>
          <w:iCs/>
          <w:sz w:val="24"/>
          <w:szCs w:val="24"/>
        </w:rPr>
        <w:t>Microbiology</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168</w:t>
      </w:r>
      <w:r w:rsidRPr="00517449">
        <w:rPr>
          <w:rFonts w:ascii="Times New Roman" w:hAnsi="Times New Roman" w:cs="Times New Roman"/>
          <w:sz w:val="24"/>
          <w:szCs w:val="24"/>
        </w:rPr>
        <w:t>(3). https://doi.org/10.1099/mic.0.001153</w:t>
      </w:r>
    </w:p>
    <w:p w14:paraId="25DA8183"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lastRenderedPageBreak/>
        <w:t xml:space="preserve">Finlay, R. D., Frostegård, Å., &amp; Sonnerfeldt, A. ‐M. (1992). Utilization of organic and inorganic nitrogen sources by ectomycorrhizal fungi in pure culture and in symbiosis with </w:t>
      </w:r>
      <w:r w:rsidRPr="00517449">
        <w:rPr>
          <w:rFonts w:ascii="Times New Roman" w:hAnsi="Times New Roman" w:cs="Times New Roman"/>
          <w:i/>
          <w:iCs/>
          <w:sz w:val="24"/>
          <w:szCs w:val="24"/>
        </w:rPr>
        <w:t>Pinus contorta</w:t>
      </w:r>
      <w:r w:rsidRPr="00517449">
        <w:rPr>
          <w:rFonts w:ascii="Times New Roman" w:hAnsi="Times New Roman" w:cs="Times New Roman"/>
          <w:sz w:val="24"/>
          <w:szCs w:val="24"/>
        </w:rPr>
        <w:t xml:space="preserve"> Dougl. Ex Loud. </w:t>
      </w:r>
      <w:r w:rsidRPr="00517449">
        <w:rPr>
          <w:rFonts w:ascii="Times New Roman" w:hAnsi="Times New Roman" w:cs="Times New Roman"/>
          <w:i/>
          <w:iCs/>
          <w:sz w:val="24"/>
          <w:szCs w:val="24"/>
        </w:rPr>
        <w:t>New Phytologist</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120</w:t>
      </w:r>
      <w:r w:rsidRPr="00517449">
        <w:rPr>
          <w:rFonts w:ascii="Times New Roman" w:hAnsi="Times New Roman" w:cs="Times New Roman"/>
          <w:sz w:val="24"/>
          <w:szCs w:val="24"/>
        </w:rPr>
        <w:t>(1), 105–115. https://doi.org/10.1111/j.1469-8137.1992.tb01063.x</w:t>
      </w:r>
    </w:p>
    <w:p w14:paraId="4AA73643"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Hawkins, H.-J., Johansen, A., &amp; George, E. (2000). </w:t>
      </w:r>
      <w:r w:rsidRPr="00517449">
        <w:rPr>
          <w:rFonts w:ascii="Times New Roman" w:hAnsi="Times New Roman" w:cs="Times New Roman"/>
          <w:i/>
          <w:iCs/>
          <w:sz w:val="24"/>
          <w:szCs w:val="24"/>
        </w:rPr>
        <w:t>Uptake and transport of organic and inorganic nitrogen by arbuscular mycorrhizal fungi</w:t>
      </w:r>
      <w:r w:rsidRPr="00517449">
        <w:rPr>
          <w:rFonts w:ascii="Times New Roman" w:hAnsi="Times New Roman" w:cs="Times New Roman"/>
          <w:sz w:val="24"/>
          <w:szCs w:val="24"/>
        </w:rPr>
        <w:t>. https://doi.org/10.1023/a:1026500810385</w:t>
      </w:r>
    </w:p>
    <w:p w14:paraId="0BD9809C"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He, X.-H., Critchley, C., &amp; Bledsoe, C. (2003). Nitrogen Transfer Within and Between Plants Through Common Mycorrhizal Networks (CMNs). </w:t>
      </w:r>
      <w:r w:rsidRPr="00517449">
        <w:rPr>
          <w:rFonts w:ascii="Times New Roman" w:hAnsi="Times New Roman" w:cs="Times New Roman"/>
          <w:i/>
          <w:iCs/>
          <w:sz w:val="24"/>
          <w:szCs w:val="24"/>
        </w:rPr>
        <w:t>Critical Reviews in Plant Sciences</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22</w:t>
      </w:r>
      <w:r w:rsidRPr="00517449">
        <w:rPr>
          <w:rFonts w:ascii="Times New Roman" w:hAnsi="Times New Roman" w:cs="Times New Roman"/>
          <w:sz w:val="24"/>
          <w:szCs w:val="24"/>
        </w:rPr>
        <w:t>(6), 531–567. https://doi.org/10.1080/713608315</w:t>
      </w:r>
    </w:p>
    <w:p w14:paraId="3227931A"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Netherway, T., Bengtsson, J., Buegger, F., Fritscher, J., Oja, J., Pritsch, K., Hildebrand, F., Krab, E. J., &amp; Bahram, M. (2024). Pervasive associations between dark septate endophytic fungi with tree root and soil microbiomes across Europe. </w:t>
      </w:r>
      <w:r w:rsidRPr="00517449">
        <w:rPr>
          <w:rFonts w:ascii="Times New Roman" w:hAnsi="Times New Roman" w:cs="Times New Roman"/>
          <w:i/>
          <w:iCs/>
          <w:sz w:val="24"/>
          <w:szCs w:val="24"/>
        </w:rPr>
        <w:t>Nature Communications</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15</w:t>
      </w:r>
      <w:r w:rsidRPr="00517449">
        <w:rPr>
          <w:rFonts w:ascii="Times New Roman" w:hAnsi="Times New Roman" w:cs="Times New Roman"/>
          <w:sz w:val="24"/>
          <w:szCs w:val="24"/>
        </w:rPr>
        <w:t>(1), 159. https://doi.org/10.1038/s41467-023-44172-4</w:t>
      </w:r>
    </w:p>
    <w:p w14:paraId="3343094A"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Newsham, K. K. (2011). A meta‐analysis of plant responses to dark septate root endophytes. </w:t>
      </w:r>
      <w:r w:rsidRPr="00517449">
        <w:rPr>
          <w:rFonts w:ascii="Times New Roman" w:hAnsi="Times New Roman" w:cs="Times New Roman"/>
          <w:i/>
          <w:iCs/>
          <w:sz w:val="24"/>
          <w:szCs w:val="24"/>
        </w:rPr>
        <w:t>New Phytologist</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190</w:t>
      </w:r>
      <w:r w:rsidRPr="00517449">
        <w:rPr>
          <w:rFonts w:ascii="Times New Roman" w:hAnsi="Times New Roman" w:cs="Times New Roman"/>
          <w:sz w:val="24"/>
          <w:szCs w:val="24"/>
        </w:rPr>
        <w:t>(3), 783–793. https://doi.org/10.1111/j.1469-8137.2010.03611.x</w:t>
      </w:r>
    </w:p>
    <w:p w14:paraId="2DC8223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R Core Team. (2023). </w:t>
      </w:r>
      <w:r w:rsidRPr="00517449">
        <w:rPr>
          <w:rFonts w:ascii="Times New Roman" w:hAnsi="Times New Roman" w:cs="Times New Roman"/>
          <w:i/>
          <w:iCs/>
          <w:sz w:val="24"/>
          <w:szCs w:val="24"/>
        </w:rPr>
        <w:t>R: A Language and Environment for Statistical Computing</w:t>
      </w:r>
      <w:r w:rsidRPr="00517449">
        <w:rPr>
          <w:rFonts w:ascii="Times New Roman" w:hAnsi="Times New Roman" w:cs="Times New Roman"/>
          <w:sz w:val="24"/>
          <w:szCs w:val="24"/>
        </w:rPr>
        <w:t xml:space="preserve"> [Computer software]. R Foundation for Statistical Computing. https://www.R-project.org/</w:t>
      </w:r>
    </w:p>
    <w:p w14:paraId="71D66D80"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Schulz, B., &amp; Boyle, C. (2005). The endophytic continuum. </w:t>
      </w:r>
      <w:r w:rsidRPr="00517449">
        <w:rPr>
          <w:rFonts w:ascii="Times New Roman" w:hAnsi="Times New Roman" w:cs="Times New Roman"/>
          <w:i/>
          <w:iCs/>
          <w:sz w:val="24"/>
          <w:szCs w:val="24"/>
        </w:rPr>
        <w:t>Mycological Research</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109</w:t>
      </w:r>
      <w:r w:rsidRPr="00517449">
        <w:rPr>
          <w:rFonts w:ascii="Times New Roman" w:hAnsi="Times New Roman" w:cs="Times New Roman"/>
          <w:sz w:val="24"/>
          <w:szCs w:val="24"/>
        </w:rPr>
        <w:t>(6), 661–686. https://doi.org/10.1017/S095375620500273X</w:t>
      </w:r>
    </w:p>
    <w:p w14:paraId="4A33C48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Troncoso-Rojas, R., &amp; Tiznado-Hernández, M. E. (2014). Alternaria alternata (Black Rot, Black Spot). In </w:t>
      </w:r>
      <w:r w:rsidRPr="00517449">
        <w:rPr>
          <w:rFonts w:ascii="Times New Roman" w:hAnsi="Times New Roman" w:cs="Times New Roman"/>
          <w:i/>
          <w:iCs/>
          <w:sz w:val="24"/>
          <w:szCs w:val="24"/>
        </w:rPr>
        <w:t>Postharvest Decay</w:t>
      </w:r>
      <w:r w:rsidRPr="00517449">
        <w:rPr>
          <w:rFonts w:ascii="Times New Roman" w:hAnsi="Times New Roman" w:cs="Times New Roman"/>
          <w:sz w:val="24"/>
          <w:szCs w:val="24"/>
        </w:rPr>
        <w:t xml:space="preserve"> (pp. 147–187). Elsevier; DOI: 10.1016/B978-0-12-411552-1.00005-3. https://linkinghub.elsevier.com/retrieve/pii/B9780124115521000053</w:t>
      </w:r>
    </w:p>
    <w:p w14:paraId="3F085B92"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lastRenderedPageBreak/>
        <w:t xml:space="preserve">Upson, R., Read, D., &amp; Newsham, K. (2009). Nitrogen form influences the response of Deschampsia antarctica to dark septate root endophytes. </w:t>
      </w:r>
      <w:r w:rsidRPr="00517449">
        <w:rPr>
          <w:rFonts w:ascii="Times New Roman" w:hAnsi="Times New Roman" w:cs="Times New Roman"/>
          <w:i/>
          <w:iCs/>
          <w:sz w:val="24"/>
          <w:szCs w:val="24"/>
        </w:rPr>
        <w:t>MYCORRHIZA</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20</w:t>
      </w:r>
      <w:r w:rsidRPr="00517449">
        <w:rPr>
          <w:rFonts w:ascii="Times New Roman" w:hAnsi="Times New Roman" w:cs="Times New Roman"/>
          <w:sz w:val="24"/>
          <w:szCs w:val="24"/>
        </w:rPr>
        <w:t>(1), 1–11. https://doi.org/10.1007/s00572-009-0260-3</w:t>
      </w:r>
    </w:p>
    <w:p w14:paraId="51EA82C3" w14:textId="275CBF5C"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5F576EB"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p>
    <w:p w14:paraId="090374AE" w14:textId="64F4EC15"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ab/>
        <w:t>Fungal mass measurements between nitrogen treatments were compared with an ANOVA test (F</w:t>
      </w:r>
      <w:r w:rsidRPr="00517449">
        <w:rPr>
          <w:rFonts w:ascii="Times New Roman" w:hAnsi="Times New Roman" w:cs="Times New Roman"/>
          <w:sz w:val="24"/>
          <w:szCs w:val="24"/>
          <w:vertAlign w:val="subscript"/>
        </w:rPr>
        <w:t>6,70</w:t>
      </w:r>
      <w:r w:rsidRPr="00517449">
        <w:rPr>
          <w:rFonts w:ascii="Times New Roman" w:hAnsi="Times New Roman" w:cs="Times New Roman"/>
          <w:sz w:val="24"/>
          <w:szCs w:val="24"/>
        </w:rPr>
        <w:t xml:space="preserve">; p = 0.00016).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67BFDB9"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proofErr w:type="spellStart"/>
      <w:proofErr w:type="gramStart"/>
      <w:r w:rsidRPr="00517449">
        <w:rPr>
          <w:rFonts w:ascii="Times New Roman" w:hAnsi="Times New Roman" w:cs="Times New Roman"/>
          <w:sz w:val="24"/>
          <w:szCs w:val="24"/>
        </w:rPr>
        <w:t>availabailirty:L</w:t>
      </w:r>
      <w:proofErr w:type="spellEnd"/>
      <w:proofErr w:type="gramEnd"/>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All code and data are available freel</w:t>
      </w:r>
      <w:commentRangeStart w:id="6"/>
      <w:r w:rsidRPr="00517449">
        <w:rPr>
          <w:rFonts w:ascii="Times New Roman" w:hAnsi="Times New Roman" w:cs="Times New Roman"/>
          <w:sz w:val="24"/>
          <w:szCs w:val="24"/>
        </w:rPr>
        <w:t xml:space="preserve">y at </w:t>
      </w:r>
      <w:hyperlink r:id="rId11"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commentRangeEnd w:id="6"/>
      <w:r w:rsidR="00517449" w:rsidRPr="00517449">
        <w:rPr>
          <w:rStyle w:val="CommentReference"/>
          <w:rFonts w:ascii="Times New Roman" w:hAnsi="Times New Roman" w:cs="Times New Roman"/>
          <w:sz w:val="24"/>
          <w:szCs w:val="24"/>
        </w:rPr>
        <w:commentReference w:id="6"/>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trice Bock" w:date="2024-10-22T09:26:00Z" w:initials="BB">
    <w:p w14:paraId="2A0C6633" w14:textId="77777777" w:rsidR="00517449" w:rsidRDefault="00517449" w:rsidP="00517449">
      <w:pPr>
        <w:pStyle w:val="CommentText"/>
      </w:pPr>
      <w:r>
        <w:rPr>
          <w:rStyle w:val="CommentReference"/>
        </w:rPr>
        <w:annotationRef/>
      </w:r>
      <w:r>
        <w:t>This title could use some help</w:t>
      </w:r>
    </w:p>
  </w:comment>
  <w:comment w:id="1" w:author="Beatrice Bock" w:date="2024-10-21T12:06:00Z" w:initials="BB">
    <w:p w14:paraId="19C42709" w14:textId="38F24816" w:rsidR="00961545" w:rsidRDefault="00961545" w:rsidP="00961545">
      <w:pPr>
        <w:pStyle w:val="CommentText"/>
      </w:pPr>
      <w:r>
        <w:rPr>
          <w:rStyle w:val="CommentReference"/>
        </w:rPr>
        <w:annotationRef/>
      </w:r>
      <w:r>
        <w:t>Insert methods here</w:t>
      </w:r>
    </w:p>
  </w:comment>
  <w:comment w:id="2" w:author="Beatrice Bock" w:date="2024-10-21T12:41:00Z" w:initials="BB">
    <w:p w14:paraId="3FCF8855" w14:textId="77777777" w:rsidR="007B07AE" w:rsidRDefault="007B07AE" w:rsidP="007B07AE">
      <w:pPr>
        <w:pStyle w:val="CommentText"/>
      </w:pPr>
      <w:r>
        <w:rPr>
          <w:rStyle w:val="CommentReference"/>
        </w:rPr>
        <w:annotationRef/>
      </w:r>
      <w:r>
        <w:t>Lexie: if you just want to copy/paste what you already have in your lab notebook, I can condense it into this formatting</w:t>
      </w:r>
    </w:p>
  </w:comment>
  <w:comment w:id="3" w:author="Beatrice Bock" w:date="2024-10-22T09:09:00Z" w:initials="BB">
    <w:p w14:paraId="354E884F" w14:textId="77777777" w:rsidR="00286F50" w:rsidRDefault="00286F50" w:rsidP="00286F50">
      <w:pPr>
        <w:pStyle w:val="CommentText"/>
      </w:pPr>
      <w:r>
        <w:rPr>
          <w:rStyle w:val="CommentReference"/>
        </w:rPr>
        <w:annotationRef/>
      </w:r>
      <w:r>
        <w:t>Add cork borer diameter</w:t>
      </w:r>
    </w:p>
  </w:comment>
  <w:comment w:id="4" w:author="Beatrice Bock" w:date="2024-10-22T09:11:00Z" w:initials="BB">
    <w:p w14:paraId="2779F24C" w14:textId="77777777" w:rsidR="00286F50" w:rsidRDefault="00286F50" w:rsidP="00286F50">
      <w:pPr>
        <w:pStyle w:val="CommentText"/>
      </w:pPr>
      <w:r>
        <w:rPr>
          <w:rStyle w:val="CommentReference"/>
        </w:rPr>
        <w:annotationRef/>
      </w:r>
      <w:r>
        <w:t>Add dry weights</w:t>
      </w:r>
    </w:p>
  </w:comment>
  <w:comment w:id="5" w:author="Beatrice Bock" w:date="2024-10-21T12:09:00Z" w:initials="BB">
    <w:p w14:paraId="59F48E1B" w14:textId="4F241AA3" w:rsidR="002144F3" w:rsidRDefault="002144F3" w:rsidP="002144F3">
      <w:pPr>
        <w:pStyle w:val="CommentText"/>
      </w:pPr>
      <w:r>
        <w:rPr>
          <w:rStyle w:val="CommentReference"/>
        </w:rPr>
        <w:annotationRef/>
      </w:r>
      <w:r>
        <w:t>Kitty: can you add the macrosystems grant here? I feel like it applies</w:t>
      </w:r>
    </w:p>
  </w:comment>
  <w:comment w:id="6" w:author="Beatrice Bock" w:date="2024-10-22T09:25:00Z" w:initials="BB">
    <w:p w14:paraId="6A59BC8A" w14:textId="77777777" w:rsidR="00517449" w:rsidRDefault="00517449" w:rsidP="00517449">
      <w:pPr>
        <w:pStyle w:val="CommentText"/>
      </w:pPr>
      <w:r>
        <w:rPr>
          <w:rStyle w:val="CommentReference"/>
        </w:rPr>
        <w:annotationRef/>
      </w:r>
      <w:r>
        <w:t>I can add the data to Zenodo if we want and get a DOI for it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0C6633" w15:done="0"/>
  <w15:commentEx w15:paraId="19C42709" w15:done="1"/>
  <w15:commentEx w15:paraId="3FCF8855" w15:paraIdParent="19C42709" w15:done="1"/>
  <w15:commentEx w15:paraId="354E884F" w15:done="0"/>
  <w15:commentEx w15:paraId="2779F24C" w15:done="0"/>
  <w15:commentEx w15:paraId="59F48E1B" w15:done="0"/>
  <w15:commentEx w15:paraId="6A59B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497BA1" w16cex:dateUtc="2024-10-22T16:26:00Z"/>
  <w16cex:commentExtensible w16cex:durableId="3BD3EBB0" w16cex:dateUtc="2024-10-21T19:06:00Z"/>
  <w16cex:commentExtensible w16cex:durableId="7EAC39B1" w16cex:dateUtc="2024-10-21T19:41:00Z"/>
  <w16cex:commentExtensible w16cex:durableId="6A4B3BE7" w16cex:dateUtc="2024-10-22T16:09:00Z"/>
  <w16cex:commentExtensible w16cex:durableId="79729069" w16cex:dateUtc="2024-10-22T16:11:00Z"/>
  <w16cex:commentExtensible w16cex:durableId="45D2D320" w16cex:dateUtc="2024-10-21T19:09:00Z"/>
  <w16cex:commentExtensible w16cex:durableId="67374A62" w16cex:dateUtc="2024-10-2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0C6633" w16cid:durableId="3B497BA1"/>
  <w16cid:commentId w16cid:paraId="19C42709" w16cid:durableId="3BD3EBB0"/>
  <w16cid:commentId w16cid:paraId="3FCF8855" w16cid:durableId="7EAC39B1"/>
  <w16cid:commentId w16cid:paraId="354E884F" w16cid:durableId="6A4B3BE7"/>
  <w16cid:commentId w16cid:paraId="2779F24C" w16cid:durableId="79729069"/>
  <w16cid:commentId w16cid:paraId="59F48E1B" w16cid:durableId="45D2D320"/>
  <w16cid:commentId w16cid:paraId="6A59BC8A" w16cid:durableId="67374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B717F"/>
    <w:rsid w:val="002144F3"/>
    <w:rsid w:val="00286F50"/>
    <w:rsid w:val="00342501"/>
    <w:rsid w:val="00427DFC"/>
    <w:rsid w:val="00430CC9"/>
    <w:rsid w:val="005032FD"/>
    <w:rsid w:val="00517449"/>
    <w:rsid w:val="005271A4"/>
    <w:rsid w:val="00533664"/>
    <w:rsid w:val="005429C8"/>
    <w:rsid w:val="005921AD"/>
    <w:rsid w:val="005B2E06"/>
    <w:rsid w:val="005F39D9"/>
    <w:rsid w:val="00635298"/>
    <w:rsid w:val="006D20AE"/>
    <w:rsid w:val="00720858"/>
    <w:rsid w:val="00732D6D"/>
    <w:rsid w:val="00735F5F"/>
    <w:rsid w:val="00746C4C"/>
    <w:rsid w:val="007A1B63"/>
    <w:rsid w:val="007B07AE"/>
    <w:rsid w:val="008105CC"/>
    <w:rsid w:val="008C2225"/>
    <w:rsid w:val="00924AC6"/>
    <w:rsid w:val="00961545"/>
    <w:rsid w:val="009C1683"/>
    <w:rsid w:val="00A0334C"/>
    <w:rsid w:val="00A23561"/>
    <w:rsid w:val="00B66739"/>
    <w:rsid w:val="00BC14A9"/>
    <w:rsid w:val="00BD4E33"/>
    <w:rsid w:val="00C57482"/>
    <w:rsid w:val="00CB0B18"/>
    <w:rsid w:val="00CE196E"/>
    <w:rsid w:val="00D11BE8"/>
    <w:rsid w:val="00D17885"/>
    <w:rsid w:val="00D406AF"/>
    <w:rsid w:val="00E03AC3"/>
    <w:rsid w:val="00E04C21"/>
    <w:rsid w:val="00F23182"/>
    <w:rsid w:val="00F3150A"/>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eabock/Org_vs_Inorg_N" TargetMode="Externa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mb646@n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33</cp:revision>
  <dcterms:created xsi:type="dcterms:W3CDTF">2024-10-21T17:10:00Z</dcterms:created>
  <dcterms:modified xsi:type="dcterms:W3CDTF">2024-10-22T16:28:00Z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