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E786F" w14:textId="77777777" w:rsidR="00415C54" w:rsidRPr="00415C54" w:rsidRDefault="00415C54" w:rsidP="00415C54">
      <w:pPr>
        <w:rPr>
          <w:b/>
          <w:bCs/>
        </w:rPr>
      </w:pPr>
      <w:r w:rsidRPr="00415C54">
        <w:rPr>
          <w:b/>
          <w:bCs/>
        </w:rPr>
        <w:t>Linking Literature and Trait Databases: A Pilot Workflow for Automated Classification of Fungal Trophic Modes</w:t>
      </w:r>
    </w:p>
    <w:p w14:paraId="11FF06C1" w14:textId="77777777" w:rsidR="00415C54" w:rsidRPr="00415C54" w:rsidRDefault="00415C54" w:rsidP="00415C54">
      <w:r w:rsidRPr="00415C54">
        <w:rPr>
          <w:b/>
          <w:bCs/>
        </w:rPr>
        <w:t>Beatrice M. Bock</w:t>
      </w:r>
      <w:r w:rsidRPr="00415C54">
        <w:br/>
        <w:t>Biological Sciences, Northern Arizona University, Flagstaff, AZ 86011, USA</w:t>
      </w:r>
      <w:r w:rsidRPr="00415C54">
        <w:br/>
        <w:t>Center for Adaptable Western Landscapes, Northern Arizona University, Flagstaff, AZ 86011, USA</w:t>
      </w:r>
      <w:r w:rsidRPr="00415C54">
        <w:br/>
      </w:r>
      <w:r w:rsidRPr="00415C54">
        <w:rPr>
          <w:i/>
          <w:iCs/>
        </w:rPr>
        <w:t>Corresponding author:</w:t>
      </w:r>
      <w:r w:rsidRPr="00415C54">
        <w:t xml:space="preserve"> bmb646@nau.edu</w:t>
      </w:r>
    </w:p>
    <w:p w14:paraId="70469320" w14:textId="77777777" w:rsidR="00415C54" w:rsidRPr="00415C54" w:rsidRDefault="00415C54" w:rsidP="00415C54">
      <w:pPr>
        <w:rPr>
          <w:b/>
          <w:bCs/>
        </w:rPr>
      </w:pPr>
      <w:r w:rsidRPr="00415C54">
        <w:rPr>
          <w:b/>
          <w:bCs/>
        </w:rPr>
        <w:t>Abstract</w:t>
      </w:r>
    </w:p>
    <w:p w14:paraId="5E87244A" w14:textId="77777777" w:rsidR="00415C54" w:rsidRPr="00415C54" w:rsidRDefault="00415C54" w:rsidP="00415C54">
      <w:r w:rsidRPr="00415C54">
        <w:t xml:space="preserve">Fungi exhibit diverse trophic strategies, ranging from </w:t>
      </w:r>
      <w:proofErr w:type="gramStart"/>
      <w:r w:rsidRPr="00415C54">
        <w:t>obligate</w:t>
      </w:r>
      <w:proofErr w:type="gramEnd"/>
      <w:r w:rsidRPr="00415C54">
        <w:t xml:space="preserve"> symbiosis to saprotrophy, with some taxa capable of occupying multiple ecological roles. Manually classifying trophic versatility from the literature is time-consuming and difficult to scale. Here, we present a pilot workflow to automate classification of fungal trophic modes using BioBERT, a transformer-based language model, applied to scientific abstracts. We curated 56 fungal research abstracts labeled as dual (occupying multiple trophic modes) or solo (restricted to a single mode) and fine-tuned BioBERT for binary classification. The model achieved 86% accuracy with balanced precision and recall. This workflow demonstrates that machine learning can reproduce literature-based trait assignments and lays the foundation for </w:t>
      </w:r>
      <w:proofErr w:type="gramStart"/>
      <w:r w:rsidRPr="00415C54">
        <w:t>scaling to</w:t>
      </w:r>
      <w:proofErr w:type="gramEnd"/>
      <w:r w:rsidRPr="00415C54">
        <w:t xml:space="preserve"> larger datasets and integration with trait databases such as FUNGuild. All code and the curated dataset are openly available to support reproducibility and reuse.</w:t>
      </w:r>
    </w:p>
    <w:p w14:paraId="018819DB" w14:textId="53D2815A" w:rsidR="00415C54" w:rsidRPr="00415C54" w:rsidRDefault="00415C54" w:rsidP="00415C54">
      <w:r w:rsidRPr="00415C54">
        <w:rPr>
          <w:b/>
          <w:bCs/>
        </w:rPr>
        <w:t>Keywords:</w:t>
      </w:r>
      <w:r w:rsidRPr="00415C54">
        <w:t xml:space="preserve"> fungal ecology, trophic modes, natural language processing, machine learning, trait databases</w:t>
      </w:r>
      <w:r w:rsidR="008664A4">
        <w:t>, BioBERT</w:t>
      </w:r>
    </w:p>
    <w:p w14:paraId="2773F087" w14:textId="77777777" w:rsidR="00415C54" w:rsidRPr="00415C54" w:rsidRDefault="00415C54" w:rsidP="00415C54">
      <w:pPr>
        <w:rPr>
          <w:b/>
          <w:bCs/>
        </w:rPr>
      </w:pPr>
      <w:r w:rsidRPr="00415C54">
        <w:rPr>
          <w:b/>
          <w:bCs/>
        </w:rPr>
        <w:t>Introduction</w:t>
      </w:r>
    </w:p>
    <w:p w14:paraId="25DF2C88" w14:textId="78926102" w:rsidR="00415C54" w:rsidRPr="00415C54" w:rsidRDefault="00415C54" w:rsidP="00415C54">
      <w:r w:rsidRPr="00415C54">
        <w:t>Fungi play critical roles in ecosystems as decomposers, pathogens, and symbionts, and many taxa exhibit flexibility in trophic strategy</w:t>
      </w:r>
      <w:r w:rsidR="00D11028">
        <w:t xml:space="preserve"> (</w:t>
      </w:r>
      <w:proofErr w:type="spellStart"/>
      <w:r w:rsidR="00D11028" w:rsidRPr="00415C54">
        <w:t>Berbee</w:t>
      </w:r>
      <w:proofErr w:type="spellEnd"/>
      <w:r w:rsidR="00D11028" w:rsidRPr="00415C54">
        <w:t xml:space="preserve"> et al. 2017</w:t>
      </w:r>
      <w:r w:rsidR="00D11028">
        <w:t>)</w:t>
      </w:r>
      <w:r w:rsidRPr="00415C54">
        <w:t>. Some species shift among modes depending on environmental or host context, while others remain restricted to a single ecological role (Martin and Tan 2025). Understanding and cataloging fungal trophic versatility is critical for biodiversity assessments, ecosystem modeling, and agricultural applications</w:t>
      </w:r>
      <w:r w:rsidR="00403C0D">
        <w:t xml:space="preserve"> where the trophic mode a fungus occupies (e.g. a pathogen vs. a saprotroph) is directly relevant to plant functioning</w:t>
      </w:r>
      <w:r w:rsidRPr="00415C54">
        <w:t>.</w:t>
      </w:r>
    </w:p>
    <w:p w14:paraId="7DBC2DCD" w14:textId="77777777" w:rsidR="00415C54" w:rsidRPr="00415C54" w:rsidRDefault="00415C54" w:rsidP="00415C54">
      <w:r w:rsidRPr="00415C54">
        <w:t xml:space="preserve">Traditional classification of fungal trophic modes relies on manual literature review (e.g., Brundrett and </w:t>
      </w:r>
      <w:proofErr w:type="spellStart"/>
      <w:r w:rsidRPr="00415C54">
        <w:t>Tedersoo</w:t>
      </w:r>
      <w:proofErr w:type="spellEnd"/>
      <w:r w:rsidRPr="00415C54">
        <w:t xml:space="preserve"> 2018), which is labor-intensive and subjective. Automated natural language processing (NLP) approaches offer a scalable alternative by extracting ecological information directly from research abstracts or full texts.</w:t>
      </w:r>
    </w:p>
    <w:p w14:paraId="37360DDB" w14:textId="77777777" w:rsidR="00415C54" w:rsidRPr="00415C54" w:rsidRDefault="00415C54" w:rsidP="00415C54">
      <w:r w:rsidRPr="00415C54">
        <w:lastRenderedPageBreak/>
        <w:t>Transformer-based language models, such as BioBERT, pretrained on biomedical corpora, have demonstrated strong performance in text classification tasks (Lee et al. 2020). Their application to fungal ecology remains largely unexplored. This pilot study aims to demonstrate the feasibility of using BioBERT to classify fungal trophic modes from abstracts and to provide a workflow that can be extended to larger datasets and linked with fungal trait databases such as FUNGuild.</w:t>
      </w:r>
    </w:p>
    <w:p w14:paraId="6EFCBF31" w14:textId="77777777" w:rsidR="00200CE1" w:rsidRPr="00200CE1" w:rsidRDefault="00200CE1" w:rsidP="00200CE1">
      <w:pPr>
        <w:rPr>
          <w:b/>
          <w:bCs/>
        </w:rPr>
      </w:pPr>
      <w:r w:rsidRPr="00200CE1">
        <w:rPr>
          <w:b/>
          <w:bCs/>
        </w:rPr>
        <w:t>Materials and Methods</w:t>
      </w:r>
    </w:p>
    <w:p w14:paraId="713FB215" w14:textId="77777777" w:rsidR="00200CE1" w:rsidRPr="00200CE1" w:rsidRDefault="00200CE1" w:rsidP="00200CE1">
      <w:pPr>
        <w:rPr>
          <w:b/>
          <w:bCs/>
        </w:rPr>
      </w:pPr>
      <w:r w:rsidRPr="00200CE1">
        <w:rPr>
          <w:b/>
          <w:bCs/>
        </w:rPr>
        <w:t>Dataset Curation</w:t>
      </w:r>
    </w:p>
    <w:p w14:paraId="339FD66D" w14:textId="77777777" w:rsidR="00200CE1" w:rsidRPr="00200CE1" w:rsidRDefault="00200CE1" w:rsidP="00200CE1">
      <w:r w:rsidRPr="00200CE1">
        <w:t xml:space="preserve">We compiled fungal research abstracts from Web of Science, focusing on </w:t>
      </w:r>
      <w:proofErr w:type="gramStart"/>
      <w:r w:rsidRPr="00200CE1">
        <w:t>taxa</w:t>
      </w:r>
      <w:proofErr w:type="gramEnd"/>
      <w:r w:rsidRPr="00200CE1">
        <w:t xml:space="preserve"> with well-documented ecological roles. Abstracts were manually labeled into two categories:</w:t>
      </w:r>
    </w:p>
    <w:p w14:paraId="15F1E4BF" w14:textId="77777777" w:rsidR="00200CE1" w:rsidRPr="00200CE1" w:rsidRDefault="00200CE1" w:rsidP="00200CE1">
      <w:pPr>
        <w:numPr>
          <w:ilvl w:val="0"/>
          <w:numId w:val="1"/>
        </w:numPr>
      </w:pPr>
      <w:r w:rsidRPr="00200CE1">
        <w:rPr>
          <w:b/>
          <w:bCs/>
        </w:rPr>
        <w:t>Dual:</w:t>
      </w:r>
      <w:r w:rsidRPr="00200CE1">
        <w:t xml:space="preserve"> species reported to occupy more than one trophic mode (e.g., facultative pathogens that also decompose organic matter).</w:t>
      </w:r>
    </w:p>
    <w:p w14:paraId="7BE1425C" w14:textId="77777777" w:rsidR="00200CE1" w:rsidRPr="00200CE1" w:rsidRDefault="00200CE1" w:rsidP="00200CE1">
      <w:pPr>
        <w:numPr>
          <w:ilvl w:val="0"/>
          <w:numId w:val="1"/>
        </w:numPr>
      </w:pPr>
      <w:r w:rsidRPr="00200CE1">
        <w:rPr>
          <w:b/>
          <w:bCs/>
        </w:rPr>
        <w:t>Solo:</w:t>
      </w:r>
      <w:r w:rsidRPr="00200CE1">
        <w:t xml:space="preserve"> species restricted to a single trophic mode (e.g., obligate symbionts or strict saprotrophs).</w:t>
      </w:r>
    </w:p>
    <w:p w14:paraId="0BBBAE7F" w14:textId="77777777" w:rsidR="00200CE1" w:rsidRPr="00200CE1" w:rsidRDefault="00200CE1" w:rsidP="00200CE1">
      <w:r w:rsidRPr="00200CE1">
        <w:t>Ambiguous cases lacking explicit statements were excluded. The final dataset contained 56 abstracts (28 dual, 28 solo).</w:t>
      </w:r>
    </w:p>
    <w:p w14:paraId="3A220758" w14:textId="77777777" w:rsidR="00200CE1" w:rsidRPr="00200CE1" w:rsidRDefault="00200CE1" w:rsidP="00200CE1">
      <w:pPr>
        <w:rPr>
          <w:b/>
          <w:bCs/>
        </w:rPr>
      </w:pPr>
      <w:r w:rsidRPr="00200CE1">
        <w:rPr>
          <w:b/>
          <w:bCs/>
        </w:rPr>
        <w:t>Preprocessing and Model Training</w:t>
      </w:r>
    </w:p>
    <w:p w14:paraId="46808034" w14:textId="77777777" w:rsidR="00200CE1" w:rsidRPr="00200CE1" w:rsidRDefault="00200CE1" w:rsidP="00200CE1">
      <w:r w:rsidRPr="00200CE1">
        <w:t xml:space="preserve">Abstracts were cleaned and tokenized using </w:t>
      </w:r>
      <w:proofErr w:type="spellStart"/>
      <w:r w:rsidRPr="00200CE1">
        <w:t>BioBERT’s</w:t>
      </w:r>
      <w:proofErr w:type="spellEnd"/>
      <w:r w:rsidRPr="00200CE1">
        <w:t xml:space="preserve"> tokenizer with a maximum sequence length of 512 tokens. The dataset was split into training (34 abstracts) and testing (22 abstracts) sets using stratified sampling.</w:t>
      </w:r>
    </w:p>
    <w:p w14:paraId="4AC31E6F" w14:textId="77777777" w:rsidR="00200CE1" w:rsidRPr="00200CE1" w:rsidRDefault="00200CE1" w:rsidP="00200CE1">
      <w:r w:rsidRPr="00200CE1">
        <w:t>We fine-tuned BioBERT v1.1 (</w:t>
      </w:r>
      <w:proofErr w:type="spellStart"/>
      <w:r w:rsidRPr="00200CE1">
        <w:t>monologg</w:t>
      </w:r>
      <w:proofErr w:type="spellEnd"/>
      <w:r w:rsidRPr="00200CE1">
        <w:t xml:space="preserve">/biobert_v1.1_pubmed) for binary sequence classification using the Hugging Face Transformers library (version 4.56.1) in Python 3.9.23 on Windows 11. The model was trained using </w:t>
      </w:r>
      <w:proofErr w:type="spellStart"/>
      <w:r w:rsidRPr="00200CE1">
        <w:t>PyTorch</w:t>
      </w:r>
      <w:proofErr w:type="spellEnd"/>
      <w:r w:rsidRPr="00200CE1">
        <w:t xml:space="preserve"> 2.8.0 and evaluated with scikit-learn 1.6.1. Hyperparameters were set to a learning rate of 5 × 10</w:t>
      </w:r>
      <w:r w:rsidRPr="00200CE1">
        <w:rPr>
          <w:rFonts w:ascii="Cambria Math" w:hAnsi="Cambria Math" w:cs="Cambria Math"/>
        </w:rPr>
        <w:t>⁻</w:t>
      </w:r>
      <w:r w:rsidRPr="00200CE1">
        <w:rPr>
          <w:rFonts w:ascii="Aptos" w:hAnsi="Aptos" w:cs="Aptos"/>
        </w:rPr>
        <w:t>⁵</w:t>
      </w:r>
      <w:r w:rsidRPr="00200CE1">
        <w:t xml:space="preserve">, batch size of 8, and 10 epochs, with the </w:t>
      </w:r>
      <w:proofErr w:type="spellStart"/>
      <w:r w:rsidRPr="00200CE1">
        <w:t>AdamW</w:t>
      </w:r>
      <w:proofErr w:type="spellEnd"/>
      <w:r w:rsidRPr="00200CE1">
        <w:t xml:space="preserve"> optimizer.</w:t>
      </w:r>
    </w:p>
    <w:p w14:paraId="3A737678" w14:textId="77777777" w:rsidR="00200CE1" w:rsidRPr="00200CE1" w:rsidRDefault="00200CE1" w:rsidP="00200CE1">
      <w:pPr>
        <w:rPr>
          <w:b/>
          <w:bCs/>
        </w:rPr>
      </w:pPr>
      <w:r w:rsidRPr="00200CE1">
        <w:rPr>
          <w:b/>
          <w:bCs/>
        </w:rPr>
        <w:t>Evaluation</w:t>
      </w:r>
    </w:p>
    <w:p w14:paraId="7A94B3E1" w14:textId="77777777" w:rsidR="00200CE1" w:rsidRPr="00200CE1" w:rsidRDefault="00200CE1" w:rsidP="00200CE1">
      <w:r w:rsidRPr="00200CE1">
        <w:t>Performance on the held-out test set was assessed using accuracy, precision, recall, and F1-score. A confusion matrix was generated to evaluate classification errors. Training and validation curves were inspected to confirm convergence.</w:t>
      </w:r>
    </w:p>
    <w:p w14:paraId="71BB4FE3" w14:textId="77777777" w:rsidR="00200CE1" w:rsidRPr="00200CE1" w:rsidRDefault="00200CE1" w:rsidP="00200CE1">
      <w:pPr>
        <w:rPr>
          <w:b/>
          <w:bCs/>
        </w:rPr>
      </w:pPr>
      <w:r w:rsidRPr="00200CE1">
        <w:rPr>
          <w:b/>
          <w:bCs/>
        </w:rPr>
        <w:t>Results</w:t>
      </w:r>
    </w:p>
    <w:p w14:paraId="39F4B99E" w14:textId="77777777" w:rsidR="00200CE1" w:rsidRPr="00200CE1" w:rsidRDefault="00200CE1" w:rsidP="00200CE1">
      <w:pPr>
        <w:rPr>
          <w:b/>
          <w:bCs/>
        </w:rPr>
      </w:pPr>
      <w:r w:rsidRPr="00200CE1">
        <w:rPr>
          <w:b/>
          <w:bCs/>
        </w:rPr>
        <w:t>Dataset Characteristics</w:t>
      </w:r>
    </w:p>
    <w:p w14:paraId="7C81A981" w14:textId="3C17985C" w:rsidR="00200CE1" w:rsidRPr="00200CE1" w:rsidRDefault="00200CE1" w:rsidP="00200CE1">
      <w:r w:rsidRPr="00200CE1">
        <w:lastRenderedPageBreak/>
        <w:t>The dataset was balanced between dual and solo labels. Abstracts ranged from 150</w:t>
      </w:r>
      <w:r w:rsidR="00EB58A9">
        <w:t>-</w:t>
      </w:r>
      <w:r w:rsidRPr="00200CE1">
        <w:t>500 words (mean 360). The training set contained 34 abstracts (18 dual, 16 solo), and the test set contained 22 abstracts (10 dual, 12 solo).</w:t>
      </w:r>
    </w:p>
    <w:p w14:paraId="1550A22B" w14:textId="77777777" w:rsidR="00200CE1" w:rsidRPr="00200CE1" w:rsidRDefault="00200CE1" w:rsidP="00200CE1">
      <w:pPr>
        <w:rPr>
          <w:b/>
          <w:bCs/>
        </w:rPr>
      </w:pPr>
      <w:r w:rsidRPr="00200CE1">
        <w:rPr>
          <w:b/>
          <w:bCs/>
        </w:rPr>
        <w:t>Model Performance</w:t>
      </w:r>
    </w:p>
    <w:p w14:paraId="5169F91A" w14:textId="77777777" w:rsidR="00200CE1" w:rsidRPr="00200CE1" w:rsidRDefault="00200CE1" w:rsidP="00200CE1">
      <w:r w:rsidRPr="00200CE1">
        <w:t>BioBERT fine-tuning converged efficiently with no evidence of overfitting. Classification performance metrics on the test set are summarized in Table 1.</w:t>
      </w:r>
    </w:p>
    <w:p w14:paraId="69863E19" w14:textId="77777777" w:rsidR="00200CE1" w:rsidRPr="00200CE1" w:rsidRDefault="00200CE1" w:rsidP="00200CE1">
      <w:r w:rsidRPr="00200CE1">
        <w:rPr>
          <w:b/>
          <w:bCs/>
        </w:rPr>
        <w:t>Table 1. BioBERT classification performance on fungal trophic modes.</w:t>
      </w:r>
    </w:p>
    <w:tbl>
      <w:tblPr>
        <w:tblStyle w:val="TableGrid"/>
        <w:tblW w:w="0" w:type="auto"/>
        <w:tblLook w:val="04A0" w:firstRow="1" w:lastRow="0" w:firstColumn="1" w:lastColumn="0" w:noHBand="0" w:noVBand="1"/>
      </w:tblPr>
      <w:tblGrid>
        <w:gridCol w:w="1178"/>
        <w:gridCol w:w="868"/>
        <w:gridCol w:w="4270"/>
      </w:tblGrid>
      <w:tr w:rsidR="00200CE1" w:rsidRPr="00200CE1" w14:paraId="2FDC92A3" w14:textId="77777777" w:rsidTr="00AF6F4F">
        <w:tc>
          <w:tcPr>
            <w:tcW w:w="0" w:type="auto"/>
            <w:hideMark/>
          </w:tcPr>
          <w:p w14:paraId="5E093540" w14:textId="77777777" w:rsidR="00200CE1" w:rsidRPr="00200CE1" w:rsidRDefault="00200CE1" w:rsidP="00200CE1">
            <w:pPr>
              <w:spacing w:after="160" w:line="278" w:lineRule="auto"/>
              <w:rPr>
                <w:b/>
                <w:bCs/>
              </w:rPr>
            </w:pPr>
            <w:r w:rsidRPr="00200CE1">
              <w:rPr>
                <w:b/>
                <w:bCs/>
              </w:rPr>
              <w:t>Metric</w:t>
            </w:r>
          </w:p>
        </w:tc>
        <w:tc>
          <w:tcPr>
            <w:tcW w:w="0" w:type="auto"/>
            <w:hideMark/>
          </w:tcPr>
          <w:p w14:paraId="224CAEDF" w14:textId="77777777" w:rsidR="00200CE1" w:rsidRPr="00200CE1" w:rsidRDefault="00200CE1" w:rsidP="00200CE1">
            <w:pPr>
              <w:spacing w:after="160" w:line="278" w:lineRule="auto"/>
              <w:rPr>
                <w:b/>
                <w:bCs/>
              </w:rPr>
            </w:pPr>
            <w:r w:rsidRPr="00200CE1">
              <w:rPr>
                <w:b/>
                <w:bCs/>
              </w:rPr>
              <w:t>Value</w:t>
            </w:r>
          </w:p>
        </w:tc>
        <w:tc>
          <w:tcPr>
            <w:tcW w:w="0" w:type="auto"/>
            <w:hideMark/>
          </w:tcPr>
          <w:p w14:paraId="72DD5396" w14:textId="77777777" w:rsidR="00200CE1" w:rsidRPr="00200CE1" w:rsidRDefault="00200CE1" w:rsidP="00200CE1">
            <w:pPr>
              <w:spacing w:after="160" w:line="278" w:lineRule="auto"/>
              <w:rPr>
                <w:b/>
                <w:bCs/>
              </w:rPr>
            </w:pPr>
            <w:r w:rsidRPr="00200CE1">
              <w:rPr>
                <w:b/>
                <w:bCs/>
              </w:rPr>
              <w:t>Note</w:t>
            </w:r>
          </w:p>
        </w:tc>
      </w:tr>
      <w:tr w:rsidR="00200CE1" w:rsidRPr="00200CE1" w14:paraId="0A127642" w14:textId="77777777" w:rsidTr="00AF6F4F">
        <w:tc>
          <w:tcPr>
            <w:tcW w:w="0" w:type="auto"/>
            <w:hideMark/>
          </w:tcPr>
          <w:p w14:paraId="3BF2357B" w14:textId="77777777" w:rsidR="00200CE1" w:rsidRPr="00200CE1" w:rsidRDefault="00200CE1" w:rsidP="00200CE1">
            <w:pPr>
              <w:spacing w:after="160" w:line="278" w:lineRule="auto"/>
            </w:pPr>
            <w:r w:rsidRPr="00200CE1">
              <w:t>Accuracy</w:t>
            </w:r>
          </w:p>
        </w:tc>
        <w:tc>
          <w:tcPr>
            <w:tcW w:w="0" w:type="auto"/>
            <w:hideMark/>
          </w:tcPr>
          <w:p w14:paraId="55FA8759" w14:textId="77777777" w:rsidR="00200CE1" w:rsidRPr="00200CE1" w:rsidRDefault="00200CE1" w:rsidP="00200CE1">
            <w:pPr>
              <w:spacing w:after="160" w:line="278" w:lineRule="auto"/>
            </w:pPr>
            <w:r w:rsidRPr="00200CE1">
              <w:t>86.4%</w:t>
            </w:r>
          </w:p>
        </w:tc>
        <w:tc>
          <w:tcPr>
            <w:tcW w:w="0" w:type="auto"/>
            <w:hideMark/>
          </w:tcPr>
          <w:p w14:paraId="07274F1B" w14:textId="77777777" w:rsidR="00200CE1" w:rsidRPr="00200CE1" w:rsidRDefault="00200CE1" w:rsidP="00200CE1">
            <w:pPr>
              <w:spacing w:after="160" w:line="278" w:lineRule="auto"/>
            </w:pPr>
            <w:r w:rsidRPr="00200CE1">
              <w:t>Fraction of correctly predicted labels</w:t>
            </w:r>
          </w:p>
        </w:tc>
      </w:tr>
      <w:tr w:rsidR="00200CE1" w:rsidRPr="00200CE1" w14:paraId="6A4B9D50" w14:textId="77777777" w:rsidTr="00AF6F4F">
        <w:tc>
          <w:tcPr>
            <w:tcW w:w="0" w:type="auto"/>
            <w:hideMark/>
          </w:tcPr>
          <w:p w14:paraId="014F8557" w14:textId="77777777" w:rsidR="00200CE1" w:rsidRPr="00200CE1" w:rsidRDefault="00200CE1" w:rsidP="00200CE1">
            <w:pPr>
              <w:spacing w:after="160" w:line="278" w:lineRule="auto"/>
            </w:pPr>
            <w:r w:rsidRPr="00200CE1">
              <w:t>Precision</w:t>
            </w:r>
          </w:p>
        </w:tc>
        <w:tc>
          <w:tcPr>
            <w:tcW w:w="0" w:type="auto"/>
            <w:hideMark/>
          </w:tcPr>
          <w:p w14:paraId="62BB1965" w14:textId="77777777" w:rsidR="00200CE1" w:rsidRPr="00200CE1" w:rsidRDefault="00200CE1" w:rsidP="00200CE1">
            <w:pPr>
              <w:spacing w:after="160" w:line="278" w:lineRule="auto"/>
            </w:pPr>
            <w:r w:rsidRPr="00200CE1">
              <w:t>86.8%</w:t>
            </w:r>
          </w:p>
        </w:tc>
        <w:tc>
          <w:tcPr>
            <w:tcW w:w="0" w:type="auto"/>
            <w:hideMark/>
          </w:tcPr>
          <w:p w14:paraId="3ECA19C6" w14:textId="77777777" w:rsidR="00200CE1" w:rsidRPr="00200CE1" w:rsidRDefault="00200CE1" w:rsidP="00200CE1">
            <w:pPr>
              <w:spacing w:after="160" w:line="278" w:lineRule="auto"/>
            </w:pPr>
            <w:r w:rsidRPr="00200CE1">
              <w:t>Positive predictive value across classes</w:t>
            </w:r>
          </w:p>
        </w:tc>
      </w:tr>
      <w:tr w:rsidR="00200CE1" w:rsidRPr="00200CE1" w14:paraId="67D266F2" w14:textId="77777777" w:rsidTr="00AF6F4F">
        <w:tc>
          <w:tcPr>
            <w:tcW w:w="0" w:type="auto"/>
            <w:hideMark/>
          </w:tcPr>
          <w:p w14:paraId="71DF04D7" w14:textId="77777777" w:rsidR="00200CE1" w:rsidRPr="00200CE1" w:rsidRDefault="00200CE1" w:rsidP="00200CE1">
            <w:pPr>
              <w:spacing w:after="160" w:line="278" w:lineRule="auto"/>
            </w:pPr>
            <w:r w:rsidRPr="00200CE1">
              <w:t>Recall</w:t>
            </w:r>
          </w:p>
        </w:tc>
        <w:tc>
          <w:tcPr>
            <w:tcW w:w="0" w:type="auto"/>
            <w:hideMark/>
          </w:tcPr>
          <w:p w14:paraId="13C992D6" w14:textId="77777777" w:rsidR="00200CE1" w:rsidRPr="00200CE1" w:rsidRDefault="00200CE1" w:rsidP="00200CE1">
            <w:pPr>
              <w:spacing w:after="160" w:line="278" w:lineRule="auto"/>
            </w:pPr>
            <w:r w:rsidRPr="00200CE1">
              <w:t>85.8%</w:t>
            </w:r>
          </w:p>
        </w:tc>
        <w:tc>
          <w:tcPr>
            <w:tcW w:w="0" w:type="auto"/>
            <w:hideMark/>
          </w:tcPr>
          <w:p w14:paraId="3712D06B" w14:textId="77777777" w:rsidR="00200CE1" w:rsidRPr="00200CE1" w:rsidRDefault="00200CE1" w:rsidP="00200CE1">
            <w:pPr>
              <w:spacing w:after="160" w:line="278" w:lineRule="auto"/>
            </w:pPr>
            <w:r w:rsidRPr="00200CE1">
              <w:t>True positive rate across classes</w:t>
            </w:r>
          </w:p>
        </w:tc>
      </w:tr>
      <w:tr w:rsidR="00200CE1" w:rsidRPr="00200CE1" w14:paraId="40671A5A" w14:textId="77777777" w:rsidTr="00AF6F4F">
        <w:tc>
          <w:tcPr>
            <w:tcW w:w="0" w:type="auto"/>
            <w:hideMark/>
          </w:tcPr>
          <w:p w14:paraId="0DC43619" w14:textId="77777777" w:rsidR="00200CE1" w:rsidRPr="00200CE1" w:rsidRDefault="00200CE1" w:rsidP="00200CE1">
            <w:pPr>
              <w:spacing w:after="160" w:line="278" w:lineRule="auto"/>
            </w:pPr>
            <w:r w:rsidRPr="00200CE1">
              <w:t>F1-Score</w:t>
            </w:r>
          </w:p>
        </w:tc>
        <w:tc>
          <w:tcPr>
            <w:tcW w:w="0" w:type="auto"/>
            <w:hideMark/>
          </w:tcPr>
          <w:p w14:paraId="3B5C0AF0" w14:textId="77777777" w:rsidR="00200CE1" w:rsidRPr="00200CE1" w:rsidRDefault="00200CE1" w:rsidP="00200CE1">
            <w:pPr>
              <w:spacing w:after="160" w:line="278" w:lineRule="auto"/>
            </w:pPr>
            <w:r w:rsidRPr="00200CE1">
              <w:t>86.1%</w:t>
            </w:r>
          </w:p>
        </w:tc>
        <w:tc>
          <w:tcPr>
            <w:tcW w:w="0" w:type="auto"/>
            <w:hideMark/>
          </w:tcPr>
          <w:p w14:paraId="551C7952" w14:textId="77777777" w:rsidR="00200CE1" w:rsidRPr="00200CE1" w:rsidRDefault="00200CE1" w:rsidP="00200CE1">
            <w:pPr>
              <w:spacing w:after="160" w:line="278" w:lineRule="auto"/>
            </w:pPr>
            <w:r w:rsidRPr="00200CE1">
              <w:t xml:space="preserve">Harmonic </w:t>
            </w:r>
            <w:proofErr w:type="gramStart"/>
            <w:r w:rsidRPr="00200CE1">
              <w:t>mean of</w:t>
            </w:r>
            <w:proofErr w:type="gramEnd"/>
            <w:r w:rsidRPr="00200CE1">
              <w:t xml:space="preserve"> precision and recall</w:t>
            </w:r>
          </w:p>
        </w:tc>
      </w:tr>
    </w:tbl>
    <w:p w14:paraId="597A8D93" w14:textId="2328AA5E" w:rsidR="00C07D6E" w:rsidRDefault="00C07D6E" w:rsidP="00B52C6B"/>
    <w:p w14:paraId="626FAAAD" w14:textId="77777777" w:rsidR="00200CE1" w:rsidRPr="00200CE1" w:rsidRDefault="00200CE1" w:rsidP="00200CE1">
      <w:pPr>
        <w:rPr>
          <w:b/>
          <w:bCs/>
        </w:rPr>
      </w:pPr>
      <w:r w:rsidRPr="00200CE1">
        <w:rPr>
          <w:b/>
          <w:bCs/>
        </w:rPr>
        <w:t>Discussion</w:t>
      </w:r>
    </w:p>
    <w:p w14:paraId="70F3925A" w14:textId="77777777" w:rsidR="00200CE1" w:rsidRPr="00200CE1" w:rsidRDefault="00200CE1" w:rsidP="00200CE1">
      <w:r w:rsidRPr="00200CE1">
        <w:t>This pilot study demonstrates that transformer-based NLP models can reproduce literature-based assignments of fungal trophic modes. Even with a small dataset, BioBERT achieved balanced accuracy and precision, suggesting it captures ecological nuance in text.</w:t>
      </w:r>
    </w:p>
    <w:p w14:paraId="4B4268ED" w14:textId="77777777" w:rsidR="00200CE1" w:rsidRPr="00200CE1" w:rsidRDefault="00200CE1" w:rsidP="00200CE1">
      <w:r w:rsidRPr="00200CE1">
        <w:t>The workflow highlights the potential for scaling: larger corpora of abstracts could be classified automatically, accelerating the construction of trait datasets for fungi. Integration with databases such as FUNGuild would enable automated linkage between literature-derived trophic information and broader ecological metadata. This approach can facilitate meta-analyses, predictive modeling, and biodiversity monitoring while reducing manual curation effort.</w:t>
      </w:r>
    </w:p>
    <w:p w14:paraId="4DC02B08" w14:textId="77777777" w:rsidR="00200CE1" w:rsidRPr="00200CE1" w:rsidRDefault="00200CE1" w:rsidP="00200CE1">
      <w:r w:rsidRPr="00200CE1">
        <w:t>Limitations include dataset size, binary simplification of complex trophic continua, and the subjectivity inherent in manual labeling. Future work will expand dataset coverage, incorporate multi-label classification for context-dependent taxa, and evaluate integration with other trait resources.</w:t>
      </w:r>
    </w:p>
    <w:p w14:paraId="6D6BDB9E" w14:textId="77777777" w:rsidR="00200CE1" w:rsidRPr="00200CE1" w:rsidRDefault="00200CE1" w:rsidP="00200CE1">
      <w:pPr>
        <w:rPr>
          <w:b/>
          <w:bCs/>
        </w:rPr>
      </w:pPr>
      <w:r w:rsidRPr="00200CE1">
        <w:rPr>
          <w:b/>
          <w:bCs/>
        </w:rPr>
        <w:t>Data Availability</w:t>
      </w:r>
    </w:p>
    <w:p w14:paraId="5DD532B5" w14:textId="77777777" w:rsidR="00200CE1" w:rsidRPr="00200CE1" w:rsidRDefault="00200CE1" w:rsidP="00200CE1">
      <w:r w:rsidRPr="00200CE1">
        <w:t xml:space="preserve">The curated abstract dataset, code, and trained models are openly available via </w:t>
      </w:r>
      <w:proofErr w:type="spellStart"/>
      <w:r w:rsidRPr="00200CE1">
        <w:t>Zenodo</w:t>
      </w:r>
      <w:proofErr w:type="spellEnd"/>
      <w:r w:rsidRPr="00200CE1">
        <w:t xml:space="preserve">: </w:t>
      </w:r>
      <w:hyperlink r:id="rId8" w:tgtFrame="_new" w:history="1">
        <w:r w:rsidRPr="00200CE1">
          <w:rPr>
            <w:rStyle w:val="Hyperlink"/>
          </w:rPr>
          <w:t>https://doi.org/10.5281/zenodo.17343492</w:t>
        </w:r>
      </w:hyperlink>
    </w:p>
    <w:p w14:paraId="4834A260" w14:textId="77777777" w:rsidR="00EF243B" w:rsidRPr="00EF243B" w:rsidRDefault="00EF243B" w:rsidP="00EF243B">
      <w:pPr>
        <w:rPr>
          <w:b/>
          <w:bCs/>
        </w:rPr>
      </w:pPr>
      <w:r w:rsidRPr="00EF243B">
        <w:rPr>
          <w:b/>
          <w:bCs/>
        </w:rPr>
        <w:lastRenderedPageBreak/>
        <w:t>Acknowledgements</w:t>
      </w:r>
    </w:p>
    <w:p w14:paraId="2646058F" w14:textId="77777777" w:rsidR="00EF243B" w:rsidRPr="00EF243B" w:rsidRDefault="00EF243B" w:rsidP="00EF243B">
      <w:r w:rsidRPr="00EF243B">
        <w:t>Thank you to Dr. Nancy Johnson and Dr. Kitty Gehring for guidance and support on this and other projects.</w:t>
      </w:r>
    </w:p>
    <w:p w14:paraId="22661187" w14:textId="77777777" w:rsidR="00EF243B" w:rsidRPr="00EF243B" w:rsidRDefault="00EF243B" w:rsidP="00EF243B">
      <w:pPr>
        <w:rPr>
          <w:b/>
          <w:bCs/>
        </w:rPr>
      </w:pPr>
      <w:r w:rsidRPr="00EF243B">
        <w:rPr>
          <w:b/>
          <w:bCs/>
        </w:rPr>
        <w:t>Literature Cited</w:t>
      </w:r>
    </w:p>
    <w:p w14:paraId="40BB2E2D" w14:textId="77777777" w:rsidR="00EF243B" w:rsidRPr="00EF243B" w:rsidRDefault="00EF243B" w:rsidP="00EF243B">
      <w:pPr>
        <w:numPr>
          <w:ilvl w:val="0"/>
          <w:numId w:val="2"/>
        </w:numPr>
      </w:pPr>
      <w:r w:rsidRPr="00EF243B">
        <w:rPr>
          <w:lang w:val="sv-SE"/>
        </w:rPr>
        <w:t xml:space="preserve">Berbee, M. L., James, T. Y., &amp; Strullu-Derrien, C. 2017. </w:t>
      </w:r>
      <w:r w:rsidRPr="00EF243B">
        <w:t xml:space="preserve">Early diverging fungi: diversity and impact at the dawn of terrestrial life. </w:t>
      </w:r>
      <w:r w:rsidRPr="00EF243B">
        <w:rPr>
          <w:i/>
          <w:iCs/>
        </w:rPr>
        <w:t>Annual Review of Microbiology</w:t>
      </w:r>
      <w:r w:rsidRPr="00EF243B">
        <w:t xml:space="preserve"> 71:41–60.</w:t>
      </w:r>
    </w:p>
    <w:p w14:paraId="67E74EC9" w14:textId="77777777" w:rsidR="00EF243B" w:rsidRPr="00EF243B" w:rsidRDefault="00EF243B" w:rsidP="00EF243B">
      <w:pPr>
        <w:numPr>
          <w:ilvl w:val="0"/>
          <w:numId w:val="2"/>
        </w:numPr>
      </w:pPr>
      <w:r w:rsidRPr="00EF243B">
        <w:rPr>
          <w:lang w:val="sv-SE"/>
        </w:rPr>
        <w:t xml:space="preserve">Brundrett, M. C., &amp; Tedersoo, L. 2018. </w:t>
      </w:r>
      <w:r w:rsidRPr="00EF243B">
        <w:t xml:space="preserve">Evolutionary history of mycorrhizal symbioses and global host plant diversity. </w:t>
      </w:r>
      <w:r w:rsidRPr="00EF243B">
        <w:rPr>
          <w:i/>
          <w:iCs/>
        </w:rPr>
        <w:t>New Phytologist</w:t>
      </w:r>
      <w:r w:rsidRPr="00EF243B">
        <w:t xml:space="preserve"> 220:1108–1115.</w:t>
      </w:r>
    </w:p>
    <w:p w14:paraId="2FC65813" w14:textId="77777777" w:rsidR="00EF243B" w:rsidRPr="00EF243B" w:rsidRDefault="00EF243B" w:rsidP="00EF243B">
      <w:pPr>
        <w:numPr>
          <w:ilvl w:val="0"/>
          <w:numId w:val="2"/>
        </w:numPr>
      </w:pPr>
      <w:r w:rsidRPr="00EF243B">
        <w:t>Devlin, J., Chang, M.-W., Lee, K., &amp; Toutanova, K. 2019. BERT: pre-</w:t>
      </w:r>
      <w:proofErr w:type="gramStart"/>
      <w:r w:rsidRPr="00EF243B">
        <w:t>training of</w:t>
      </w:r>
      <w:proofErr w:type="gramEnd"/>
      <w:r w:rsidRPr="00EF243B">
        <w:t xml:space="preserve"> deep bidirectional transformers for language understanding. arXiv:1810.04805.</w:t>
      </w:r>
    </w:p>
    <w:p w14:paraId="672DAFAF" w14:textId="77777777" w:rsidR="00EF243B" w:rsidRPr="00EF243B" w:rsidRDefault="00EF243B" w:rsidP="00EF243B">
      <w:pPr>
        <w:numPr>
          <w:ilvl w:val="0"/>
          <w:numId w:val="2"/>
        </w:numPr>
      </w:pPr>
      <w:r w:rsidRPr="00EF243B">
        <w:t xml:space="preserve">Lee, J., Yoon, W., Kim, S., et al. 2020. BioBERT: a pre-trained biomedical language representation model for biomedical text mining. </w:t>
      </w:r>
      <w:r w:rsidRPr="00EF243B">
        <w:rPr>
          <w:i/>
          <w:iCs/>
        </w:rPr>
        <w:t>Bioinformatics</w:t>
      </w:r>
      <w:r w:rsidRPr="00EF243B">
        <w:t xml:space="preserve"> 36:1234–1240.</w:t>
      </w:r>
    </w:p>
    <w:p w14:paraId="5EB9C429" w14:textId="77777777" w:rsidR="00EF243B" w:rsidRPr="00EF243B" w:rsidRDefault="00EF243B" w:rsidP="00EF243B">
      <w:pPr>
        <w:numPr>
          <w:ilvl w:val="0"/>
          <w:numId w:val="2"/>
        </w:numPr>
      </w:pPr>
      <w:r w:rsidRPr="00EF243B">
        <w:t xml:space="preserve">Martin, F., &amp; Tan, H. 2025. Saprotrophy-to-symbiosis continuum in fungi. </w:t>
      </w:r>
      <w:r w:rsidRPr="00EF243B">
        <w:rPr>
          <w:i/>
          <w:iCs/>
        </w:rPr>
        <w:t>Current Biology</w:t>
      </w:r>
      <w:r w:rsidRPr="00EF243B">
        <w:t xml:space="preserve"> </w:t>
      </w:r>
      <w:proofErr w:type="gramStart"/>
      <w:r w:rsidRPr="00EF243B">
        <w:t>35:R</w:t>
      </w:r>
      <w:proofErr w:type="gramEnd"/>
      <w:r w:rsidRPr="00EF243B">
        <w:t>469–R475.</w:t>
      </w:r>
    </w:p>
    <w:p w14:paraId="757D8C5B" w14:textId="0FD11B65" w:rsidR="00200CE1" w:rsidRDefault="00EF243B" w:rsidP="00B52C6B">
      <w:pPr>
        <w:numPr>
          <w:ilvl w:val="0"/>
          <w:numId w:val="2"/>
        </w:numPr>
      </w:pPr>
      <w:r w:rsidRPr="00EF243B">
        <w:t xml:space="preserve">Wolf, T., Debut, L., Sanh, V., et al. 2020. Transformers: state-of-the-art natural language processing. </w:t>
      </w:r>
      <w:r w:rsidRPr="00EF243B">
        <w:rPr>
          <w:i/>
          <w:iCs/>
        </w:rPr>
        <w:t>Proceedings of the 2020 Conference on Empirical Methods in Natural Language Processing: System Demonstrations</w:t>
      </w:r>
      <w:r w:rsidRPr="00EF243B">
        <w:t xml:space="preserve"> 38–45.</w:t>
      </w:r>
    </w:p>
    <w:p w14:paraId="685B0470" w14:textId="77777777" w:rsidR="00EF243B" w:rsidRDefault="00EF243B" w:rsidP="00EF243B"/>
    <w:p w14:paraId="4B887CF4" w14:textId="77777777" w:rsidR="00EF243B" w:rsidRPr="00EF243B" w:rsidRDefault="00EF243B" w:rsidP="00EF243B">
      <w:pPr>
        <w:rPr>
          <w:b/>
          <w:bCs/>
        </w:rPr>
      </w:pPr>
      <w:r w:rsidRPr="00EF243B">
        <w:rPr>
          <w:b/>
          <w:bCs/>
        </w:rPr>
        <w:t>Figures</w:t>
      </w:r>
    </w:p>
    <w:p w14:paraId="4E2E82EB" w14:textId="77777777" w:rsidR="00EF243B" w:rsidRPr="00EF243B" w:rsidRDefault="00EF243B" w:rsidP="00EF243B">
      <w:r w:rsidRPr="00EF243B">
        <w:rPr>
          <w:b/>
          <w:bCs/>
        </w:rPr>
        <w:t>Fig. 1.</w:t>
      </w:r>
      <w:r w:rsidRPr="00EF243B">
        <w:t xml:space="preserve"> Confusion matrix of BioBERT predictions on the test set showing true versus predicted trophic mode labels (dual vs. solo).</w:t>
      </w:r>
    </w:p>
    <w:p w14:paraId="696148E3" w14:textId="77777777" w:rsidR="00EF243B" w:rsidRPr="00EF243B" w:rsidRDefault="00EF243B" w:rsidP="00EF243B">
      <w:r w:rsidRPr="00EF243B">
        <w:rPr>
          <w:b/>
          <w:bCs/>
        </w:rPr>
        <w:t>Fig. 2.</w:t>
      </w:r>
      <w:r w:rsidRPr="00EF243B">
        <w:t xml:space="preserve"> Training curves showing training loss, validation loss, and validation accuracy over 10 epochs.</w:t>
      </w:r>
    </w:p>
    <w:p w14:paraId="595323D9" w14:textId="77777777" w:rsidR="00EF243B" w:rsidRPr="00B52C6B" w:rsidRDefault="00EF243B" w:rsidP="00EF243B"/>
    <w:sectPr w:rsidR="00EF243B" w:rsidRPr="00B52C6B" w:rsidSect="00094AA1">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82A5F" w14:textId="77777777" w:rsidR="00113526" w:rsidRDefault="00113526" w:rsidP="00774664">
      <w:pPr>
        <w:spacing w:after="0" w:line="240" w:lineRule="auto"/>
      </w:pPr>
      <w:r>
        <w:separator/>
      </w:r>
    </w:p>
  </w:endnote>
  <w:endnote w:type="continuationSeparator" w:id="0">
    <w:p w14:paraId="5449921E" w14:textId="77777777" w:rsidR="00113526" w:rsidRDefault="00113526" w:rsidP="0077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E2648" w14:textId="77777777" w:rsidR="00113526" w:rsidRDefault="00113526" w:rsidP="00774664">
      <w:pPr>
        <w:spacing w:after="0" w:line="240" w:lineRule="auto"/>
      </w:pPr>
      <w:r>
        <w:separator/>
      </w:r>
    </w:p>
  </w:footnote>
  <w:footnote w:type="continuationSeparator" w:id="0">
    <w:p w14:paraId="6E70EBCF" w14:textId="77777777" w:rsidR="00113526" w:rsidRDefault="00113526" w:rsidP="00774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861897"/>
      <w:docPartObj>
        <w:docPartGallery w:val="Page Numbers (Top of Page)"/>
        <w:docPartUnique/>
      </w:docPartObj>
    </w:sdtPr>
    <w:sdtEndPr>
      <w:rPr>
        <w:noProof/>
      </w:rPr>
    </w:sdtEndPr>
    <w:sdtContent>
      <w:p w14:paraId="0F3EEE09" w14:textId="17D048A7" w:rsidR="001B1ABB" w:rsidRDefault="005D4B6A">
        <w:pPr>
          <w:pStyle w:val="Header"/>
          <w:jc w:val="right"/>
        </w:pPr>
        <w:r>
          <w:t xml:space="preserve">Bock </w:t>
        </w:r>
        <w:r w:rsidR="001B1ABB">
          <w:fldChar w:fldCharType="begin"/>
        </w:r>
        <w:r w:rsidR="001B1ABB">
          <w:instrText xml:space="preserve"> PAGE   \* MERGEFORMAT </w:instrText>
        </w:r>
        <w:r w:rsidR="001B1ABB">
          <w:fldChar w:fldCharType="separate"/>
        </w:r>
        <w:r w:rsidR="001B1ABB">
          <w:rPr>
            <w:noProof/>
          </w:rPr>
          <w:t>2</w:t>
        </w:r>
        <w:r w:rsidR="001B1ABB">
          <w:rPr>
            <w:noProof/>
          </w:rPr>
          <w:fldChar w:fldCharType="end"/>
        </w:r>
      </w:p>
    </w:sdtContent>
  </w:sdt>
  <w:p w14:paraId="59AA5431" w14:textId="2CB16A5D" w:rsidR="00774664" w:rsidRDefault="00774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71367"/>
    <w:multiLevelType w:val="multilevel"/>
    <w:tmpl w:val="364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661EE"/>
    <w:multiLevelType w:val="multilevel"/>
    <w:tmpl w:val="55C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978975">
    <w:abstractNumId w:val="1"/>
  </w:num>
  <w:num w:numId="2" w16cid:durableId="174433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1"/>
    <w:rsid w:val="00040FE4"/>
    <w:rsid w:val="00041D51"/>
    <w:rsid w:val="00080409"/>
    <w:rsid w:val="00094AA1"/>
    <w:rsid w:val="0010189E"/>
    <w:rsid w:val="00113526"/>
    <w:rsid w:val="001B1ABB"/>
    <w:rsid w:val="00200CE1"/>
    <w:rsid w:val="00295212"/>
    <w:rsid w:val="00403C0D"/>
    <w:rsid w:val="00415C54"/>
    <w:rsid w:val="00427DFC"/>
    <w:rsid w:val="00430CC9"/>
    <w:rsid w:val="004A758A"/>
    <w:rsid w:val="004E3109"/>
    <w:rsid w:val="005B2349"/>
    <w:rsid w:val="005C7203"/>
    <w:rsid w:val="005D4B6A"/>
    <w:rsid w:val="006B0205"/>
    <w:rsid w:val="006D2766"/>
    <w:rsid w:val="00725D2E"/>
    <w:rsid w:val="00746C4C"/>
    <w:rsid w:val="00774664"/>
    <w:rsid w:val="008664A4"/>
    <w:rsid w:val="008C545D"/>
    <w:rsid w:val="00A23561"/>
    <w:rsid w:val="00AF6F4F"/>
    <w:rsid w:val="00B30F19"/>
    <w:rsid w:val="00B52C6B"/>
    <w:rsid w:val="00B60534"/>
    <w:rsid w:val="00BD4E33"/>
    <w:rsid w:val="00BF7780"/>
    <w:rsid w:val="00C0305A"/>
    <w:rsid w:val="00C07D6E"/>
    <w:rsid w:val="00CA432F"/>
    <w:rsid w:val="00D11028"/>
    <w:rsid w:val="00D931D5"/>
    <w:rsid w:val="00E2104A"/>
    <w:rsid w:val="00EB58A9"/>
    <w:rsid w:val="00EF243B"/>
    <w:rsid w:val="00EF2804"/>
    <w:rsid w:val="00EF5B8A"/>
    <w:rsid w:val="00F77261"/>
    <w:rsid w:val="00F8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2178F"/>
  <w15:chartTrackingRefBased/>
  <w15:docId w15:val="{4D4F945A-B81C-4529-98E6-E693663E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D51"/>
    <w:rPr>
      <w:rFonts w:eastAsiaTheme="majorEastAsia" w:cstheme="majorBidi"/>
      <w:color w:val="272727" w:themeColor="text1" w:themeTint="D8"/>
    </w:rPr>
  </w:style>
  <w:style w:type="paragraph" w:styleId="Title">
    <w:name w:val="Title"/>
    <w:basedOn w:val="Normal"/>
    <w:next w:val="Normal"/>
    <w:link w:val="TitleChar"/>
    <w:uiPriority w:val="10"/>
    <w:qFormat/>
    <w:rsid w:val="00041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D51"/>
    <w:pPr>
      <w:spacing w:before="160"/>
      <w:jc w:val="center"/>
    </w:pPr>
    <w:rPr>
      <w:i/>
      <w:iCs/>
      <w:color w:val="404040" w:themeColor="text1" w:themeTint="BF"/>
    </w:rPr>
  </w:style>
  <w:style w:type="character" w:customStyle="1" w:styleId="QuoteChar">
    <w:name w:val="Quote Char"/>
    <w:basedOn w:val="DefaultParagraphFont"/>
    <w:link w:val="Quote"/>
    <w:uiPriority w:val="29"/>
    <w:rsid w:val="00041D51"/>
    <w:rPr>
      <w:i/>
      <w:iCs/>
      <w:color w:val="404040" w:themeColor="text1" w:themeTint="BF"/>
    </w:rPr>
  </w:style>
  <w:style w:type="paragraph" w:styleId="ListParagraph">
    <w:name w:val="List Paragraph"/>
    <w:basedOn w:val="Normal"/>
    <w:uiPriority w:val="34"/>
    <w:qFormat/>
    <w:rsid w:val="00041D51"/>
    <w:pPr>
      <w:ind w:left="720"/>
      <w:contextualSpacing/>
    </w:pPr>
  </w:style>
  <w:style w:type="character" w:styleId="IntenseEmphasis">
    <w:name w:val="Intense Emphasis"/>
    <w:basedOn w:val="DefaultParagraphFont"/>
    <w:uiPriority w:val="21"/>
    <w:qFormat/>
    <w:rsid w:val="00041D51"/>
    <w:rPr>
      <w:i/>
      <w:iCs/>
      <w:color w:val="0F4761" w:themeColor="accent1" w:themeShade="BF"/>
    </w:rPr>
  </w:style>
  <w:style w:type="paragraph" w:styleId="IntenseQuote">
    <w:name w:val="Intense Quote"/>
    <w:basedOn w:val="Normal"/>
    <w:next w:val="Normal"/>
    <w:link w:val="IntenseQuoteChar"/>
    <w:uiPriority w:val="30"/>
    <w:qFormat/>
    <w:rsid w:val="00041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D51"/>
    <w:rPr>
      <w:i/>
      <w:iCs/>
      <w:color w:val="0F4761" w:themeColor="accent1" w:themeShade="BF"/>
    </w:rPr>
  </w:style>
  <w:style w:type="character" w:styleId="IntenseReference">
    <w:name w:val="Intense Reference"/>
    <w:basedOn w:val="DefaultParagraphFont"/>
    <w:uiPriority w:val="32"/>
    <w:qFormat/>
    <w:rsid w:val="00041D51"/>
    <w:rPr>
      <w:b/>
      <w:bCs/>
      <w:smallCaps/>
      <w:color w:val="0F4761" w:themeColor="accent1" w:themeShade="BF"/>
      <w:spacing w:val="5"/>
    </w:rPr>
  </w:style>
  <w:style w:type="character" w:styleId="Hyperlink">
    <w:name w:val="Hyperlink"/>
    <w:basedOn w:val="DefaultParagraphFont"/>
    <w:uiPriority w:val="99"/>
    <w:unhideWhenUsed/>
    <w:rsid w:val="00725D2E"/>
    <w:rPr>
      <w:color w:val="467886" w:themeColor="hyperlink"/>
      <w:u w:val="single"/>
    </w:rPr>
  </w:style>
  <w:style w:type="character" w:styleId="UnresolvedMention">
    <w:name w:val="Unresolved Mention"/>
    <w:basedOn w:val="DefaultParagraphFont"/>
    <w:uiPriority w:val="99"/>
    <w:semiHidden/>
    <w:unhideWhenUsed/>
    <w:rsid w:val="00725D2E"/>
    <w:rPr>
      <w:color w:val="605E5C"/>
      <w:shd w:val="clear" w:color="auto" w:fill="E1DFDD"/>
    </w:rPr>
  </w:style>
  <w:style w:type="character" w:styleId="LineNumber">
    <w:name w:val="line number"/>
    <w:basedOn w:val="DefaultParagraphFont"/>
    <w:uiPriority w:val="99"/>
    <w:semiHidden/>
    <w:unhideWhenUsed/>
    <w:rsid w:val="00094AA1"/>
  </w:style>
  <w:style w:type="paragraph" w:styleId="Header">
    <w:name w:val="header"/>
    <w:basedOn w:val="Normal"/>
    <w:link w:val="HeaderChar"/>
    <w:uiPriority w:val="99"/>
    <w:unhideWhenUsed/>
    <w:rsid w:val="00774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64"/>
  </w:style>
  <w:style w:type="paragraph" w:styleId="Footer">
    <w:name w:val="footer"/>
    <w:basedOn w:val="Normal"/>
    <w:link w:val="FooterChar"/>
    <w:uiPriority w:val="99"/>
    <w:unhideWhenUsed/>
    <w:rsid w:val="00774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64"/>
  </w:style>
  <w:style w:type="paragraph" w:styleId="HTMLPreformatted">
    <w:name w:val="HTML Preformatted"/>
    <w:basedOn w:val="Normal"/>
    <w:link w:val="HTMLPreformattedChar"/>
    <w:uiPriority w:val="99"/>
    <w:semiHidden/>
    <w:unhideWhenUsed/>
    <w:rsid w:val="000804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0409"/>
    <w:rPr>
      <w:rFonts w:ascii="Consolas" w:hAnsi="Consolas"/>
      <w:sz w:val="20"/>
      <w:szCs w:val="20"/>
    </w:rPr>
  </w:style>
  <w:style w:type="table" w:styleId="TableGrid">
    <w:name w:val="Table Grid"/>
    <w:basedOn w:val="TableNormal"/>
    <w:uiPriority w:val="39"/>
    <w:rsid w:val="00AF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6979">
      <w:bodyDiv w:val="1"/>
      <w:marLeft w:val="0"/>
      <w:marRight w:val="0"/>
      <w:marTop w:val="0"/>
      <w:marBottom w:val="0"/>
      <w:divBdr>
        <w:top w:val="none" w:sz="0" w:space="0" w:color="auto"/>
        <w:left w:val="none" w:sz="0" w:space="0" w:color="auto"/>
        <w:bottom w:val="none" w:sz="0" w:space="0" w:color="auto"/>
        <w:right w:val="none" w:sz="0" w:space="0" w:color="auto"/>
      </w:divBdr>
    </w:div>
    <w:div w:id="131102904">
      <w:bodyDiv w:val="1"/>
      <w:marLeft w:val="0"/>
      <w:marRight w:val="0"/>
      <w:marTop w:val="0"/>
      <w:marBottom w:val="0"/>
      <w:divBdr>
        <w:top w:val="none" w:sz="0" w:space="0" w:color="auto"/>
        <w:left w:val="none" w:sz="0" w:space="0" w:color="auto"/>
        <w:bottom w:val="none" w:sz="0" w:space="0" w:color="auto"/>
        <w:right w:val="none" w:sz="0" w:space="0" w:color="auto"/>
      </w:divBdr>
    </w:div>
    <w:div w:id="134182516">
      <w:bodyDiv w:val="1"/>
      <w:marLeft w:val="0"/>
      <w:marRight w:val="0"/>
      <w:marTop w:val="0"/>
      <w:marBottom w:val="0"/>
      <w:divBdr>
        <w:top w:val="none" w:sz="0" w:space="0" w:color="auto"/>
        <w:left w:val="none" w:sz="0" w:space="0" w:color="auto"/>
        <w:bottom w:val="none" w:sz="0" w:space="0" w:color="auto"/>
        <w:right w:val="none" w:sz="0" w:space="0" w:color="auto"/>
      </w:divBdr>
    </w:div>
    <w:div w:id="239870327">
      <w:bodyDiv w:val="1"/>
      <w:marLeft w:val="0"/>
      <w:marRight w:val="0"/>
      <w:marTop w:val="0"/>
      <w:marBottom w:val="0"/>
      <w:divBdr>
        <w:top w:val="none" w:sz="0" w:space="0" w:color="auto"/>
        <w:left w:val="none" w:sz="0" w:space="0" w:color="auto"/>
        <w:bottom w:val="none" w:sz="0" w:space="0" w:color="auto"/>
        <w:right w:val="none" w:sz="0" w:space="0" w:color="auto"/>
      </w:divBdr>
    </w:div>
    <w:div w:id="529297200">
      <w:bodyDiv w:val="1"/>
      <w:marLeft w:val="0"/>
      <w:marRight w:val="0"/>
      <w:marTop w:val="0"/>
      <w:marBottom w:val="0"/>
      <w:divBdr>
        <w:top w:val="none" w:sz="0" w:space="0" w:color="auto"/>
        <w:left w:val="none" w:sz="0" w:space="0" w:color="auto"/>
        <w:bottom w:val="none" w:sz="0" w:space="0" w:color="auto"/>
        <w:right w:val="none" w:sz="0" w:space="0" w:color="auto"/>
      </w:divBdr>
    </w:div>
    <w:div w:id="578641656">
      <w:bodyDiv w:val="1"/>
      <w:marLeft w:val="0"/>
      <w:marRight w:val="0"/>
      <w:marTop w:val="0"/>
      <w:marBottom w:val="0"/>
      <w:divBdr>
        <w:top w:val="none" w:sz="0" w:space="0" w:color="auto"/>
        <w:left w:val="none" w:sz="0" w:space="0" w:color="auto"/>
        <w:bottom w:val="none" w:sz="0" w:space="0" w:color="auto"/>
        <w:right w:val="none" w:sz="0" w:space="0" w:color="auto"/>
      </w:divBdr>
    </w:div>
    <w:div w:id="712000353">
      <w:bodyDiv w:val="1"/>
      <w:marLeft w:val="0"/>
      <w:marRight w:val="0"/>
      <w:marTop w:val="0"/>
      <w:marBottom w:val="0"/>
      <w:divBdr>
        <w:top w:val="none" w:sz="0" w:space="0" w:color="auto"/>
        <w:left w:val="none" w:sz="0" w:space="0" w:color="auto"/>
        <w:bottom w:val="none" w:sz="0" w:space="0" w:color="auto"/>
        <w:right w:val="none" w:sz="0" w:space="0" w:color="auto"/>
      </w:divBdr>
    </w:div>
    <w:div w:id="735275964">
      <w:bodyDiv w:val="1"/>
      <w:marLeft w:val="0"/>
      <w:marRight w:val="0"/>
      <w:marTop w:val="0"/>
      <w:marBottom w:val="0"/>
      <w:divBdr>
        <w:top w:val="none" w:sz="0" w:space="0" w:color="auto"/>
        <w:left w:val="none" w:sz="0" w:space="0" w:color="auto"/>
        <w:bottom w:val="none" w:sz="0" w:space="0" w:color="auto"/>
        <w:right w:val="none" w:sz="0" w:space="0" w:color="auto"/>
      </w:divBdr>
      <w:divsChild>
        <w:div w:id="139541709">
          <w:marLeft w:val="0"/>
          <w:marRight w:val="0"/>
          <w:marTop w:val="0"/>
          <w:marBottom w:val="0"/>
          <w:divBdr>
            <w:top w:val="none" w:sz="0" w:space="0" w:color="auto"/>
            <w:left w:val="none" w:sz="0" w:space="0" w:color="auto"/>
            <w:bottom w:val="none" w:sz="0" w:space="0" w:color="auto"/>
            <w:right w:val="none" w:sz="0" w:space="0" w:color="auto"/>
          </w:divBdr>
          <w:divsChild>
            <w:div w:id="207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1346">
      <w:bodyDiv w:val="1"/>
      <w:marLeft w:val="0"/>
      <w:marRight w:val="0"/>
      <w:marTop w:val="0"/>
      <w:marBottom w:val="0"/>
      <w:divBdr>
        <w:top w:val="none" w:sz="0" w:space="0" w:color="auto"/>
        <w:left w:val="none" w:sz="0" w:space="0" w:color="auto"/>
        <w:bottom w:val="none" w:sz="0" w:space="0" w:color="auto"/>
        <w:right w:val="none" w:sz="0" w:space="0" w:color="auto"/>
      </w:divBdr>
    </w:div>
    <w:div w:id="809713370">
      <w:bodyDiv w:val="1"/>
      <w:marLeft w:val="0"/>
      <w:marRight w:val="0"/>
      <w:marTop w:val="0"/>
      <w:marBottom w:val="0"/>
      <w:divBdr>
        <w:top w:val="none" w:sz="0" w:space="0" w:color="auto"/>
        <w:left w:val="none" w:sz="0" w:space="0" w:color="auto"/>
        <w:bottom w:val="none" w:sz="0" w:space="0" w:color="auto"/>
        <w:right w:val="none" w:sz="0" w:space="0" w:color="auto"/>
      </w:divBdr>
    </w:div>
    <w:div w:id="945846580">
      <w:bodyDiv w:val="1"/>
      <w:marLeft w:val="0"/>
      <w:marRight w:val="0"/>
      <w:marTop w:val="0"/>
      <w:marBottom w:val="0"/>
      <w:divBdr>
        <w:top w:val="none" w:sz="0" w:space="0" w:color="auto"/>
        <w:left w:val="none" w:sz="0" w:space="0" w:color="auto"/>
        <w:bottom w:val="none" w:sz="0" w:space="0" w:color="auto"/>
        <w:right w:val="none" w:sz="0" w:space="0" w:color="auto"/>
      </w:divBdr>
    </w:div>
    <w:div w:id="952860327">
      <w:bodyDiv w:val="1"/>
      <w:marLeft w:val="0"/>
      <w:marRight w:val="0"/>
      <w:marTop w:val="0"/>
      <w:marBottom w:val="0"/>
      <w:divBdr>
        <w:top w:val="none" w:sz="0" w:space="0" w:color="auto"/>
        <w:left w:val="none" w:sz="0" w:space="0" w:color="auto"/>
        <w:bottom w:val="none" w:sz="0" w:space="0" w:color="auto"/>
        <w:right w:val="none" w:sz="0" w:space="0" w:color="auto"/>
      </w:divBdr>
    </w:div>
    <w:div w:id="1042948154">
      <w:bodyDiv w:val="1"/>
      <w:marLeft w:val="0"/>
      <w:marRight w:val="0"/>
      <w:marTop w:val="0"/>
      <w:marBottom w:val="0"/>
      <w:divBdr>
        <w:top w:val="none" w:sz="0" w:space="0" w:color="auto"/>
        <w:left w:val="none" w:sz="0" w:space="0" w:color="auto"/>
        <w:bottom w:val="none" w:sz="0" w:space="0" w:color="auto"/>
        <w:right w:val="none" w:sz="0" w:space="0" w:color="auto"/>
      </w:divBdr>
    </w:div>
    <w:div w:id="1049379425">
      <w:bodyDiv w:val="1"/>
      <w:marLeft w:val="0"/>
      <w:marRight w:val="0"/>
      <w:marTop w:val="0"/>
      <w:marBottom w:val="0"/>
      <w:divBdr>
        <w:top w:val="none" w:sz="0" w:space="0" w:color="auto"/>
        <w:left w:val="none" w:sz="0" w:space="0" w:color="auto"/>
        <w:bottom w:val="none" w:sz="0" w:space="0" w:color="auto"/>
        <w:right w:val="none" w:sz="0" w:space="0" w:color="auto"/>
      </w:divBdr>
    </w:div>
    <w:div w:id="1121268254">
      <w:bodyDiv w:val="1"/>
      <w:marLeft w:val="0"/>
      <w:marRight w:val="0"/>
      <w:marTop w:val="0"/>
      <w:marBottom w:val="0"/>
      <w:divBdr>
        <w:top w:val="none" w:sz="0" w:space="0" w:color="auto"/>
        <w:left w:val="none" w:sz="0" w:space="0" w:color="auto"/>
        <w:bottom w:val="none" w:sz="0" w:space="0" w:color="auto"/>
        <w:right w:val="none" w:sz="0" w:space="0" w:color="auto"/>
      </w:divBdr>
    </w:div>
    <w:div w:id="1133862567">
      <w:bodyDiv w:val="1"/>
      <w:marLeft w:val="0"/>
      <w:marRight w:val="0"/>
      <w:marTop w:val="0"/>
      <w:marBottom w:val="0"/>
      <w:divBdr>
        <w:top w:val="none" w:sz="0" w:space="0" w:color="auto"/>
        <w:left w:val="none" w:sz="0" w:space="0" w:color="auto"/>
        <w:bottom w:val="none" w:sz="0" w:space="0" w:color="auto"/>
        <w:right w:val="none" w:sz="0" w:space="0" w:color="auto"/>
      </w:divBdr>
    </w:div>
    <w:div w:id="1205949306">
      <w:bodyDiv w:val="1"/>
      <w:marLeft w:val="0"/>
      <w:marRight w:val="0"/>
      <w:marTop w:val="0"/>
      <w:marBottom w:val="0"/>
      <w:divBdr>
        <w:top w:val="none" w:sz="0" w:space="0" w:color="auto"/>
        <w:left w:val="none" w:sz="0" w:space="0" w:color="auto"/>
        <w:bottom w:val="none" w:sz="0" w:space="0" w:color="auto"/>
        <w:right w:val="none" w:sz="0" w:space="0" w:color="auto"/>
      </w:divBdr>
    </w:div>
    <w:div w:id="1246181566">
      <w:bodyDiv w:val="1"/>
      <w:marLeft w:val="0"/>
      <w:marRight w:val="0"/>
      <w:marTop w:val="0"/>
      <w:marBottom w:val="0"/>
      <w:divBdr>
        <w:top w:val="none" w:sz="0" w:space="0" w:color="auto"/>
        <w:left w:val="none" w:sz="0" w:space="0" w:color="auto"/>
        <w:bottom w:val="none" w:sz="0" w:space="0" w:color="auto"/>
        <w:right w:val="none" w:sz="0" w:space="0" w:color="auto"/>
      </w:divBdr>
    </w:div>
    <w:div w:id="1305237618">
      <w:bodyDiv w:val="1"/>
      <w:marLeft w:val="0"/>
      <w:marRight w:val="0"/>
      <w:marTop w:val="0"/>
      <w:marBottom w:val="0"/>
      <w:divBdr>
        <w:top w:val="none" w:sz="0" w:space="0" w:color="auto"/>
        <w:left w:val="none" w:sz="0" w:space="0" w:color="auto"/>
        <w:bottom w:val="none" w:sz="0" w:space="0" w:color="auto"/>
        <w:right w:val="none" w:sz="0" w:space="0" w:color="auto"/>
      </w:divBdr>
    </w:div>
    <w:div w:id="1318342206">
      <w:bodyDiv w:val="1"/>
      <w:marLeft w:val="0"/>
      <w:marRight w:val="0"/>
      <w:marTop w:val="0"/>
      <w:marBottom w:val="0"/>
      <w:divBdr>
        <w:top w:val="none" w:sz="0" w:space="0" w:color="auto"/>
        <w:left w:val="none" w:sz="0" w:space="0" w:color="auto"/>
        <w:bottom w:val="none" w:sz="0" w:space="0" w:color="auto"/>
        <w:right w:val="none" w:sz="0" w:space="0" w:color="auto"/>
      </w:divBdr>
    </w:div>
    <w:div w:id="1359962059">
      <w:bodyDiv w:val="1"/>
      <w:marLeft w:val="0"/>
      <w:marRight w:val="0"/>
      <w:marTop w:val="0"/>
      <w:marBottom w:val="0"/>
      <w:divBdr>
        <w:top w:val="none" w:sz="0" w:space="0" w:color="auto"/>
        <w:left w:val="none" w:sz="0" w:space="0" w:color="auto"/>
        <w:bottom w:val="none" w:sz="0" w:space="0" w:color="auto"/>
        <w:right w:val="none" w:sz="0" w:space="0" w:color="auto"/>
      </w:divBdr>
    </w:div>
    <w:div w:id="1375079192">
      <w:bodyDiv w:val="1"/>
      <w:marLeft w:val="0"/>
      <w:marRight w:val="0"/>
      <w:marTop w:val="0"/>
      <w:marBottom w:val="0"/>
      <w:divBdr>
        <w:top w:val="none" w:sz="0" w:space="0" w:color="auto"/>
        <w:left w:val="none" w:sz="0" w:space="0" w:color="auto"/>
        <w:bottom w:val="none" w:sz="0" w:space="0" w:color="auto"/>
        <w:right w:val="none" w:sz="0" w:space="0" w:color="auto"/>
      </w:divBdr>
    </w:div>
    <w:div w:id="1386366516">
      <w:bodyDiv w:val="1"/>
      <w:marLeft w:val="0"/>
      <w:marRight w:val="0"/>
      <w:marTop w:val="0"/>
      <w:marBottom w:val="0"/>
      <w:divBdr>
        <w:top w:val="none" w:sz="0" w:space="0" w:color="auto"/>
        <w:left w:val="none" w:sz="0" w:space="0" w:color="auto"/>
        <w:bottom w:val="none" w:sz="0" w:space="0" w:color="auto"/>
        <w:right w:val="none" w:sz="0" w:space="0" w:color="auto"/>
      </w:divBdr>
    </w:div>
    <w:div w:id="1486437702">
      <w:bodyDiv w:val="1"/>
      <w:marLeft w:val="0"/>
      <w:marRight w:val="0"/>
      <w:marTop w:val="0"/>
      <w:marBottom w:val="0"/>
      <w:divBdr>
        <w:top w:val="none" w:sz="0" w:space="0" w:color="auto"/>
        <w:left w:val="none" w:sz="0" w:space="0" w:color="auto"/>
        <w:bottom w:val="none" w:sz="0" w:space="0" w:color="auto"/>
        <w:right w:val="none" w:sz="0" w:space="0" w:color="auto"/>
      </w:divBdr>
      <w:divsChild>
        <w:div w:id="1678582919">
          <w:marLeft w:val="0"/>
          <w:marRight w:val="0"/>
          <w:marTop w:val="0"/>
          <w:marBottom w:val="0"/>
          <w:divBdr>
            <w:top w:val="none" w:sz="0" w:space="0" w:color="auto"/>
            <w:left w:val="none" w:sz="0" w:space="0" w:color="auto"/>
            <w:bottom w:val="none" w:sz="0" w:space="0" w:color="auto"/>
            <w:right w:val="none" w:sz="0" w:space="0" w:color="auto"/>
          </w:divBdr>
          <w:divsChild>
            <w:div w:id="1894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4397">
      <w:bodyDiv w:val="1"/>
      <w:marLeft w:val="0"/>
      <w:marRight w:val="0"/>
      <w:marTop w:val="0"/>
      <w:marBottom w:val="0"/>
      <w:divBdr>
        <w:top w:val="none" w:sz="0" w:space="0" w:color="auto"/>
        <w:left w:val="none" w:sz="0" w:space="0" w:color="auto"/>
        <w:bottom w:val="none" w:sz="0" w:space="0" w:color="auto"/>
        <w:right w:val="none" w:sz="0" w:space="0" w:color="auto"/>
      </w:divBdr>
    </w:div>
    <w:div w:id="1546791522">
      <w:bodyDiv w:val="1"/>
      <w:marLeft w:val="0"/>
      <w:marRight w:val="0"/>
      <w:marTop w:val="0"/>
      <w:marBottom w:val="0"/>
      <w:divBdr>
        <w:top w:val="none" w:sz="0" w:space="0" w:color="auto"/>
        <w:left w:val="none" w:sz="0" w:space="0" w:color="auto"/>
        <w:bottom w:val="none" w:sz="0" w:space="0" w:color="auto"/>
        <w:right w:val="none" w:sz="0" w:space="0" w:color="auto"/>
      </w:divBdr>
    </w:div>
    <w:div w:id="1576164840">
      <w:bodyDiv w:val="1"/>
      <w:marLeft w:val="0"/>
      <w:marRight w:val="0"/>
      <w:marTop w:val="0"/>
      <w:marBottom w:val="0"/>
      <w:divBdr>
        <w:top w:val="none" w:sz="0" w:space="0" w:color="auto"/>
        <w:left w:val="none" w:sz="0" w:space="0" w:color="auto"/>
        <w:bottom w:val="none" w:sz="0" w:space="0" w:color="auto"/>
        <w:right w:val="none" w:sz="0" w:space="0" w:color="auto"/>
      </w:divBdr>
    </w:div>
    <w:div w:id="1622111914">
      <w:bodyDiv w:val="1"/>
      <w:marLeft w:val="0"/>
      <w:marRight w:val="0"/>
      <w:marTop w:val="0"/>
      <w:marBottom w:val="0"/>
      <w:divBdr>
        <w:top w:val="none" w:sz="0" w:space="0" w:color="auto"/>
        <w:left w:val="none" w:sz="0" w:space="0" w:color="auto"/>
        <w:bottom w:val="none" w:sz="0" w:space="0" w:color="auto"/>
        <w:right w:val="none" w:sz="0" w:space="0" w:color="auto"/>
      </w:divBdr>
    </w:div>
    <w:div w:id="1643001209">
      <w:bodyDiv w:val="1"/>
      <w:marLeft w:val="0"/>
      <w:marRight w:val="0"/>
      <w:marTop w:val="0"/>
      <w:marBottom w:val="0"/>
      <w:divBdr>
        <w:top w:val="none" w:sz="0" w:space="0" w:color="auto"/>
        <w:left w:val="none" w:sz="0" w:space="0" w:color="auto"/>
        <w:bottom w:val="none" w:sz="0" w:space="0" w:color="auto"/>
        <w:right w:val="none" w:sz="0" w:space="0" w:color="auto"/>
      </w:divBdr>
    </w:div>
    <w:div w:id="1677876149">
      <w:bodyDiv w:val="1"/>
      <w:marLeft w:val="0"/>
      <w:marRight w:val="0"/>
      <w:marTop w:val="0"/>
      <w:marBottom w:val="0"/>
      <w:divBdr>
        <w:top w:val="none" w:sz="0" w:space="0" w:color="auto"/>
        <w:left w:val="none" w:sz="0" w:space="0" w:color="auto"/>
        <w:bottom w:val="none" w:sz="0" w:space="0" w:color="auto"/>
        <w:right w:val="none" w:sz="0" w:space="0" w:color="auto"/>
      </w:divBdr>
    </w:div>
    <w:div w:id="1680695347">
      <w:bodyDiv w:val="1"/>
      <w:marLeft w:val="0"/>
      <w:marRight w:val="0"/>
      <w:marTop w:val="0"/>
      <w:marBottom w:val="0"/>
      <w:divBdr>
        <w:top w:val="none" w:sz="0" w:space="0" w:color="auto"/>
        <w:left w:val="none" w:sz="0" w:space="0" w:color="auto"/>
        <w:bottom w:val="none" w:sz="0" w:space="0" w:color="auto"/>
        <w:right w:val="none" w:sz="0" w:space="0" w:color="auto"/>
      </w:divBdr>
    </w:div>
    <w:div w:id="1839347789">
      <w:bodyDiv w:val="1"/>
      <w:marLeft w:val="0"/>
      <w:marRight w:val="0"/>
      <w:marTop w:val="0"/>
      <w:marBottom w:val="0"/>
      <w:divBdr>
        <w:top w:val="none" w:sz="0" w:space="0" w:color="auto"/>
        <w:left w:val="none" w:sz="0" w:space="0" w:color="auto"/>
        <w:bottom w:val="none" w:sz="0" w:space="0" w:color="auto"/>
        <w:right w:val="none" w:sz="0" w:space="0" w:color="auto"/>
      </w:divBdr>
    </w:div>
    <w:div w:id="1846087441">
      <w:bodyDiv w:val="1"/>
      <w:marLeft w:val="0"/>
      <w:marRight w:val="0"/>
      <w:marTop w:val="0"/>
      <w:marBottom w:val="0"/>
      <w:divBdr>
        <w:top w:val="none" w:sz="0" w:space="0" w:color="auto"/>
        <w:left w:val="none" w:sz="0" w:space="0" w:color="auto"/>
        <w:bottom w:val="none" w:sz="0" w:space="0" w:color="auto"/>
        <w:right w:val="none" w:sz="0" w:space="0" w:color="auto"/>
      </w:divBdr>
    </w:div>
    <w:div w:id="20010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73434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3C88-EC09-4A6F-9853-617EBCBA1CF0}">
  <ds:schemaRefs>
    <ds:schemaRef ds:uri="http://schemas.openxmlformats.org/officeDocument/2006/bibliography"/>
  </ds:schemaRefs>
</ds:datastoreItem>
</file>

<file path=docMetadata/LabelInfo.xml><?xml version="1.0" encoding="utf-8"?>
<clbl:labelList xmlns:clbl="http://schemas.microsoft.com/office/2020/mipLabelMetadata">
  <clbl:label id="{27d49e9f-89e1-4aa0-99a3-d35b57b2ba03}" enabled="0" method="" siteId="{27d49e9f-89e1-4aa0-99a3-d35b57b2ba03}" removed="1"/>
</clbl:labelList>
</file>

<file path=docProps/app.xml><?xml version="1.0" encoding="utf-8"?>
<Properties xmlns="http://schemas.openxmlformats.org/officeDocument/2006/extended-properties" xmlns:vt="http://schemas.openxmlformats.org/officeDocument/2006/docPropsVTypes">
  <Template>Normal.dotm</Template>
  <TotalTime>48</TotalTime>
  <Pages>4</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29</cp:revision>
  <dcterms:created xsi:type="dcterms:W3CDTF">2025-10-04T19:25:00Z</dcterms:created>
  <dcterms:modified xsi:type="dcterms:W3CDTF">2025-10-13T18:23:00Z</dcterms:modified>
</cp:coreProperties>
</file>