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600"/>
        <w:jc w:val="center"/>
      </w:pPr>
      <w:r>
        <w:rPr>
          <w:rFonts w:ascii="Microsoft JhengHei" w:hAnsi="Microsoft JhengHei" w:eastAsia="Microsoft JhengHei"/>
          <w:b/>
          <w:color w:val="000000"/>
          <w:sz w:val="48"/>
        </w:rPr>
        <w:t>公版臺股與美股行情支援施作方案說明書</w:t>
      </w:r>
    </w:p>
    <w:p>
      <w:pPr>
        <w:pStyle w:val="Subtitle"/>
        <w:widowControl/>
        <w:jc w:val="center"/>
      </w:pPr>
      <w:r>
        <w:rPr>
          <w:rFonts w:ascii="Microsoft JhengHei" w:hAnsi="Microsoft JhengHei" w:eastAsia="Microsoft JhengHei"/>
          <w:color w:val="000000"/>
          <w:sz w:val="24"/>
        </w:rPr>
        <w:t>退休資產規劃 PUBLIC</w:t>
      </w:r>
    </w:p>
    <w:p>
      <w:pPr>
        <w:widowControl/>
        <w:spacing w:before="520"/>
        <w:jc w:val="center"/>
      </w:pPr>
      <w:r>
        <w:rPr>
          <w:rFonts w:ascii="Microsoft JhengHei" w:hAnsi="Microsoft JhengHei" w:eastAsia="Microsoft JhengHei"/>
          <w:color w:val="000000"/>
          <w:sz w:val="21"/>
        </w:rPr>
        <w:t>分析基準  origin preview 與 commit 7460c890419194e6aa258846e7d7e59821c6b2a3</w:t>
        <w:br/>
      </w:r>
      <w:r>
        <w:rPr>
          <w:rFonts w:ascii="Microsoft JhengHei" w:hAnsi="Microsoft JhengHei" w:eastAsia="Microsoft JhengHei"/>
          <w:color w:val="000000"/>
          <w:sz w:val="21"/>
        </w:rPr>
        <w:t>Cloudflare Pages project  retirement-planner-public</w:t>
        <w:br/>
      </w:r>
      <w:r>
        <w:rPr>
          <w:rFonts w:ascii="Microsoft JhengHei" w:hAnsi="Microsoft JhengHei" w:eastAsia="Microsoft JhengHei"/>
          <w:color w:val="000000"/>
          <w:sz w:val="21"/>
        </w:rPr>
        <w:t>驗收網址  https://preview.retirement-planner-public.pages.dev/</w:t>
        <w:br/>
      </w:r>
      <w:r>
        <w:rPr>
          <w:rFonts w:ascii="Microsoft JhengHei" w:hAnsi="Microsoft JhengHei" w:eastAsia="Microsoft JhengHei"/>
          <w:color w:val="000000"/>
          <w:sz w:val="21"/>
        </w:rPr>
        <w:t>文件日期  2026 年 9 月 10 日</w:t>
        <w:br/>
      </w:r>
      <w:r>
        <w:rPr>
          <w:rFonts w:ascii="Microsoft JhengHei" w:hAnsi="Microsoft JhengHei" w:eastAsia="Microsoft JhengHei"/>
          <w:color w:val="000000"/>
          <w:sz w:val="21"/>
        </w:rPr>
        <w:t>文件版本  1.0</w:t>
        <w:br/>
      </w:r>
    </w:p>
    <w:p>
      <w:pPr>
        <w:widowControl/>
        <w:spacing w:before="840"/>
        <w:jc w:val="left"/>
      </w:pPr>
      <w:r>
        <w:rPr>
          <w:rFonts w:ascii="Microsoft JhengHei" w:hAnsi="Microsoft JhengHei" w:eastAsia="Microsoft JhengHei"/>
          <w:b/>
          <w:color w:val="000000"/>
          <w:sz w:val="22"/>
        </w:rPr>
        <w:t>用途</w:t>
      </w:r>
      <w:r>
        <w:rPr>
          <w:rFonts w:ascii="Microsoft JhengHei" w:hAnsi="Microsoft JhengHei" w:eastAsia="Microsoft JhengHei"/>
          <w:color w:val="000000"/>
          <w:sz w:val="21"/>
        </w:rPr>
        <w:t xml:space="preserve">　本文件將公版既有的 TWSE 行情能力擴充為臺股與美股日線收盤價支援，並定義資料授權、架構、資料遷移、介面、測試與部署驗收。文件可直接作為開發排程與驗收依據。</w:t>
      </w:r>
    </w:p>
    <w:p>
      <w:pPr>
        <w:widowControl/>
      </w:pPr>
      <w:r>
        <w:br w:type="page"/>
      </w:r>
    </w:p>
    <w:p>
      <w:pPr>
        <w:pStyle w:val="Heading1"/>
        <w:keepNext/>
        <w:widowControl/>
      </w:pPr>
      <w:r>
        <w:rPr>
          <w:rFonts w:ascii="Microsoft JhengHei" w:hAnsi="Microsoft JhengHei" w:eastAsia="Microsoft JhengHei"/>
          <w:color w:val="000000"/>
        </w:rPr>
        <w:t>一 方案結論</w:t>
      </w:r>
    </w:p>
    <w:p>
      <w:pPr>
        <w:widowControl/>
      </w:pPr>
      <w:r>
        <w:rPr>
          <w:rFonts w:ascii="Microsoft JhengHei" w:hAnsi="Microsoft JhengHei" w:eastAsia="Microsoft JhengHei"/>
          <w:color w:val="000000"/>
        </w:rPr>
        <w:t>本案可以在公版現有架構上完成，不需要改寫退休預測引擎。現有程式已將行情來源抽象為 MarketDataProvider，並具備 USD/TWD 匯率、外幣資產、IndexedDB 快取、JSON 備份及更新失敗保留舊值等基礎。主要工作是放寬單一 TWSE 型別、建立多市場識別、加入美股資料供應器、補齊公開服務的快取與防濫用，以及將備份格式升級為 planner-data-v0.10。</w:t>
      </w:r>
    </w:p>
    <w:p>
      <w:pPr>
        <w:widowControl/>
      </w:pPr>
      <w:r>
        <w:rPr>
          <w:rFonts w:ascii="Microsoft JhengHei" w:hAnsi="Microsoft JhengHei" w:eastAsia="Microsoft JhengHei"/>
          <w:color w:val="000000"/>
        </w:rPr>
        <w:t>建議先交付可獨立上線的第一階段，支援 TWSE、TPEx 與美國主要交易所的股票及 ETF，每次由使用者手動取得最近有效日線收盤價，並以中央銀行 USD/TWD 日資料換算臺幣市值。即時行情、券商同步及交易功能不納入。公司行動與現金股息列為第二階段，避免在沒有持有起日與交易紀錄時錯算股息資格。</w:t>
      </w:r>
    </w:p>
    <w:p>
      <w:pPr>
        <w:widowControl/>
      </w:pPr>
      <w:r>
        <w:rPr>
          <w:rFonts w:ascii="Microsoft JhengHei" w:hAnsi="Microsoft JhengHei" w:eastAsia="Microsoft JhengHei"/>
          <w:color w:val="000000"/>
        </w:rPr>
        <w:t>美股資料的技術預設採 Twelve Data EOD 介面，但公版上線前必須取得允許第三方公開顯示的商業方案及必要交易所授權。若授權尚未完成，美股自動行情必須由功能旗標關閉，使用者仍可手動維護美元市值與匯率。</w:t>
      </w:r>
    </w:p>
    <w:p>
      <w:pPr>
        <w:pStyle w:val="Heading1"/>
        <w:keepNext/>
        <w:widowControl/>
      </w:pPr>
      <w:r>
        <w:rPr>
          <w:rFonts w:ascii="Microsoft JhengHei" w:hAnsi="Microsoft JhengHei" w:eastAsia="Microsoft JhengHei"/>
          <w:color w:val="000000"/>
        </w:rPr>
        <w:t>二 公版基線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項目</w:t>
            </w:r>
          </w:p>
        </w:tc>
        <w:tc>
          <w:tcPr>
            <w:tcW w:type="dxa" w:w="367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目前狀態</w:t>
            </w:r>
          </w:p>
        </w:tc>
        <w:tc>
          <w:tcPr>
            <w:tcW w:type="dxa" w:w="432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本案影響</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部署基準</w:t>
            </w:r>
          </w:p>
        </w:tc>
        <w:tc>
          <w:tcPr>
            <w:tcW w:type="dxa" w:w="367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origin/preview 與目前公版工作分支同為 7460c890</w:t>
            </w:r>
          </w:p>
        </w:tc>
        <w:tc>
          <w:tcPr>
            <w:tcW w:type="dxa" w:w="432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以此 commit 的資料契約與 UI 為規格基線</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行情範圍</w:t>
            </w:r>
          </w:p>
        </w:tc>
        <w:tc>
          <w:tcPr>
            <w:tcW w:type="dxa" w:w="367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僅 TWSE 上市股票與 ETF</w:t>
            </w:r>
          </w:p>
        </w:tc>
        <w:tc>
          <w:tcPr>
            <w:tcW w:type="dxa" w:w="432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增加 TPEx 與美國市場</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行情觸發</w:t>
            </w:r>
          </w:p>
        </w:tc>
        <w:tc>
          <w:tcPr>
            <w:tcW w:type="dxa" w:w="367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使用者手動更新</w:t>
            </w:r>
          </w:p>
        </w:tc>
        <w:tc>
          <w:tcPr>
            <w:tcW w:type="dxa" w:w="432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維持手動更新，不新增排程</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市場型別</w:t>
            </w:r>
          </w:p>
        </w:tc>
        <w:tc>
          <w:tcPr>
            <w:tcW w:type="dxa" w:w="367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PlannerInstrument.market 固定為 TWSE</w:t>
            </w:r>
          </w:p>
        </w:tc>
        <w:tc>
          <w:tcPr>
            <w:tcW w:type="dxa" w:w="432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改為市場代碼與 MIC 並存</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資產幣別</w:t>
            </w:r>
          </w:p>
        </w:tc>
        <w:tc>
          <w:tcPr>
            <w:tcW w:type="dxa" w:w="367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已支援 TWD 與 USD</w:t>
            </w:r>
          </w:p>
        </w:tc>
        <w:tc>
          <w:tcPr>
            <w:tcW w:type="dxa" w:w="432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允許 USD 資產啟用行情追蹤</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匯率</w:t>
            </w:r>
          </w:p>
        </w:tc>
        <w:tc>
          <w:tcPr>
            <w:tcW w:type="dxa" w:w="367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已取得 USD/TWD 並可手動覆寫</w:t>
            </w:r>
          </w:p>
        </w:tc>
        <w:tc>
          <w:tcPr>
            <w:tcW w:type="dxa" w:w="432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保留既有換算口徑與資料來源</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儲存</w:t>
            </w:r>
          </w:p>
        </w:tc>
        <w:tc>
          <w:tcPr>
            <w:tcW w:type="dxa" w:w="367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瀏覽器 IndexedDB 與 JSON 備份</w:t>
            </w:r>
          </w:p>
        </w:tc>
        <w:tc>
          <w:tcPr>
            <w:tcW w:type="dxa" w:w="432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新增 v0.10 向前遷移且不保存至伺服器</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後端</w:t>
            </w:r>
          </w:p>
        </w:tc>
        <w:tc>
          <w:tcPr>
            <w:tcW w:type="dxa" w:w="367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Pages Function 代理 TWSE 與央行 API</w:t>
            </w:r>
          </w:p>
        </w:tc>
        <w:tc>
          <w:tcPr>
            <w:tcW w:type="dxa" w:w="432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加入多來源路由 密鑰 快取與限流</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預測</w:t>
            </w:r>
          </w:p>
        </w:tc>
        <w:tc>
          <w:tcPr>
            <w:tcW w:type="dxa" w:w="367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固定年報酬情境與固定匯率換算</w:t>
            </w:r>
          </w:p>
        </w:tc>
        <w:tc>
          <w:tcPr>
            <w:tcW w:type="dxa" w:w="432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行情只更新期初市值 不預測個股價格</w:t>
            </w:r>
          </w:p>
        </w:tc>
      </w:tr>
    </w:tbl>
    <w:p>
      <w:pPr>
        <w:widowControl/>
        <w:spacing w:after="20"/>
      </w:pPr>
    </w:p>
    <w:p>
      <w:pPr>
        <w:pStyle w:val="Heading2"/>
        <w:keepNext/>
        <w:widowControl/>
      </w:pPr>
      <w:r>
        <w:rPr>
          <w:rFonts w:ascii="Microsoft JhengHei" w:hAnsi="Microsoft JhengHei" w:eastAsia="Microsoft JhengHei"/>
          <w:color w:val="000000"/>
        </w:rPr>
        <w:t>既有可直接沿用的檔案</w:t>
      </w:r>
    </w:p>
    <w:p>
      <w:pPr>
        <w:pStyle w:val="ListBullet"/>
        <w:widowControl/>
        <w:ind w:left="360" w:hanging="230"/>
      </w:pPr>
      <w:r>
        <w:rPr>
          <w:rFonts w:ascii="Microsoft JhengHei" w:hAnsi="Microsoft JhengHei" w:eastAsia="Microsoft JhengHei"/>
          <w:color w:val="000000"/>
        </w:rPr>
        <w:t>src/application/market-data-service.ts　維持批次更新、部分成功與舊值保留流程。</w:t>
      </w:r>
    </w:p>
    <w:p>
      <w:pPr>
        <w:pStyle w:val="ListBullet"/>
        <w:widowControl/>
        <w:ind w:left="360" w:hanging="230"/>
      </w:pPr>
      <w:r>
        <w:rPr>
          <w:rFonts w:ascii="Microsoft JhengHei" w:hAnsi="Microsoft JhengHei" w:eastAsia="Microsoft JhengHei"/>
          <w:color w:val="000000"/>
        </w:rPr>
        <w:t>src/infrastructure/market-data-provider.ts　保留 Provider 介面並擴充多市場請求。</w:t>
      </w:r>
    </w:p>
    <w:p>
      <w:pPr>
        <w:pStyle w:val="ListBullet"/>
        <w:widowControl/>
        <w:ind w:left="360" w:hanging="230"/>
      </w:pPr>
      <w:r>
        <w:rPr>
          <w:rFonts w:ascii="Microsoft JhengHei" w:hAnsi="Microsoft JhengHei" w:eastAsia="Microsoft JhengHei"/>
          <w:color w:val="000000"/>
        </w:rPr>
        <w:t>functions/api/market-data.js　改造成多來源聚合與伺服器端快取端點。</w:t>
      </w:r>
    </w:p>
    <w:p>
      <w:pPr>
        <w:pStyle w:val="ListBullet"/>
        <w:widowControl/>
        <w:ind w:left="360" w:hanging="230"/>
      </w:pPr>
      <w:r>
        <w:rPr>
          <w:rFonts w:ascii="Microsoft JhengHei" w:hAnsi="Microsoft JhengHei" w:eastAsia="Microsoft JhengHei"/>
          <w:color w:val="000000"/>
        </w:rPr>
        <w:t>src/application/planner-data.ts　擴充 instrument、quote 與公司行動資料型別。</w:t>
      </w:r>
    </w:p>
    <w:p>
      <w:pPr>
        <w:pStyle w:val="ListBullet"/>
        <w:widowControl/>
        <w:ind w:left="360" w:hanging="230"/>
      </w:pPr>
      <w:r>
        <w:rPr>
          <w:rFonts w:ascii="Microsoft JhengHei" w:hAnsi="Microsoft JhengHei" w:eastAsia="Microsoft JhengHei"/>
          <w:color w:val="000000"/>
        </w:rPr>
        <w:t>src/application/planner-migration.ts 與 src/infrastructure/backup.ts　負責 v0.10 遷移及舊備份相容。</w:t>
      </w:r>
    </w:p>
    <w:p>
      <w:pPr>
        <w:pStyle w:val="ListBullet"/>
        <w:widowControl/>
        <w:ind w:left="360" w:hanging="230"/>
      </w:pPr>
      <w:r>
        <w:rPr>
          <w:rFonts w:ascii="Microsoft JhengHei" w:hAnsi="Microsoft JhengHei" w:eastAsia="Microsoft JhengHei"/>
          <w:color w:val="000000"/>
        </w:rPr>
        <w:t>src/components/DataPage.tsx 與 MarketDataPage.tsx　增加市場選擇、代碼驗證及資料時間標示。</w:t>
      </w:r>
    </w:p>
    <w:p>
      <w:pPr>
        <w:pStyle w:val="Heading1"/>
        <w:keepNext/>
        <w:widowControl/>
      </w:pPr>
      <w:r>
        <w:rPr>
          <w:rFonts w:ascii="Microsoft JhengHei" w:hAnsi="Microsoft JhengHei" w:eastAsia="Microsoft JhengHei"/>
          <w:color w:val="000000"/>
        </w:rPr>
        <w:t>三 交付範圍</w:t>
      </w:r>
    </w:p>
    <w:p>
      <w:pPr>
        <w:pStyle w:val="Heading2"/>
        <w:keepNext/>
        <w:widowControl/>
      </w:pPr>
      <w:r>
        <w:rPr>
          <w:rFonts w:ascii="Microsoft JhengHei" w:hAnsi="Microsoft JhengHei" w:eastAsia="Microsoft JhengHei"/>
          <w:color w:val="000000"/>
        </w:rPr>
        <w:t>第一階段 可上線行情能力</w:t>
      </w:r>
    </w:p>
    <w:p>
      <w:pPr>
        <w:pStyle w:val="ListBullet"/>
        <w:widowControl/>
        <w:ind w:left="360" w:hanging="230"/>
      </w:pPr>
      <w:r>
        <w:rPr>
          <w:rFonts w:ascii="Microsoft JhengHei" w:hAnsi="Microsoft JhengHei" w:eastAsia="Microsoft JhengHei"/>
          <w:color w:val="000000"/>
        </w:rPr>
        <w:t>市場涵蓋 TWSE 上市、TPEx 上櫃，以及美國主要交易所掛牌的股票與 ETF。</w:t>
      </w:r>
    </w:p>
    <w:p>
      <w:pPr>
        <w:pStyle w:val="ListBullet"/>
        <w:widowControl/>
        <w:ind w:left="360" w:hanging="230"/>
      </w:pPr>
      <w:r>
        <w:rPr>
          <w:rFonts w:ascii="Microsoft JhengHei" w:hAnsi="Microsoft JhengHei" w:eastAsia="Microsoft JhengHei"/>
          <w:color w:val="000000"/>
        </w:rPr>
        <w:t>提供市場篩選後的代碼搜尋或驗證，避免把同一 ticker 對應到錯誤交易所。</w:t>
      </w:r>
    </w:p>
    <w:p>
      <w:pPr>
        <w:pStyle w:val="ListBullet"/>
        <w:widowControl/>
        <w:ind w:left="360" w:hanging="230"/>
      </w:pPr>
      <w:r>
        <w:rPr>
          <w:rFonts w:ascii="Microsoft JhengHei" w:hAnsi="Microsoft JhengHei" w:eastAsia="Microsoft JhengHei"/>
          <w:color w:val="000000"/>
        </w:rPr>
        <w:t>使用最近有效日線收盤價，不宣稱為即時行情。</w:t>
      </w:r>
    </w:p>
    <w:p>
      <w:pPr>
        <w:pStyle w:val="ListBullet"/>
        <w:widowControl/>
        <w:ind w:left="360" w:hanging="230"/>
      </w:pPr>
      <w:r>
        <w:rPr>
          <w:rFonts w:ascii="Microsoft JhengHei" w:hAnsi="Microsoft JhengHei" w:eastAsia="Microsoft JhengHei"/>
          <w:color w:val="000000"/>
        </w:rPr>
        <w:t>資產保留 TWD 或 USD 原幣價值；投資組合、總資產與預測入口統一換算為 TWD。</w:t>
      </w:r>
    </w:p>
    <w:p>
      <w:pPr>
        <w:pStyle w:val="ListBullet"/>
        <w:widowControl/>
        <w:ind w:left="360" w:hanging="230"/>
      </w:pPr>
      <w:r>
        <w:rPr>
          <w:rFonts w:ascii="Microsoft JhengHei" w:hAnsi="Microsoft JhengHei" w:eastAsia="Microsoft JhengHei"/>
          <w:color w:val="000000"/>
        </w:rPr>
        <w:t>每批更新保存來源、行情日、抓取時間、成功狀態與個別錯誤。</w:t>
      </w:r>
    </w:p>
    <w:p>
      <w:pPr>
        <w:pStyle w:val="ListBullet"/>
        <w:widowControl/>
        <w:ind w:left="360" w:hanging="230"/>
      </w:pPr>
      <w:r>
        <w:rPr>
          <w:rFonts w:ascii="Microsoft JhengHei" w:hAnsi="Microsoft JhengHei" w:eastAsia="Microsoft JhengHei"/>
          <w:color w:val="000000"/>
        </w:rPr>
        <w:t>來源失敗時保留使用者瀏覽器中的最後有效行情與匯率，並顯示資料日期。</w:t>
      </w:r>
    </w:p>
    <w:p>
      <w:pPr>
        <w:pStyle w:val="ListBullet"/>
        <w:widowControl/>
        <w:ind w:left="360" w:hanging="230"/>
      </w:pPr>
      <w:r>
        <w:rPr>
          <w:rFonts w:ascii="Microsoft JhengHei" w:hAnsi="Microsoft JhengHei" w:eastAsia="Microsoft JhengHei"/>
          <w:color w:val="000000"/>
        </w:rPr>
        <w:t>公版後端不接收股數、成本、資產金額、家庭成員或退休資料，只接收市場與代碼。</w:t>
      </w:r>
    </w:p>
    <w:p>
      <w:pPr>
        <w:pStyle w:val="Heading2"/>
        <w:keepNext/>
        <w:widowControl/>
      </w:pPr>
      <w:r>
        <w:rPr>
          <w:rFonts w:ascii="Microsoft JhengHei" w:hAnsi="Microsoft JhengHei" w:eastAsia="Microsoft JhengHei"/>
          <w:color w:val="000000"/>
        </w:rPr>
        <w:t>第二階段 公司行動與股息</w:t>
      </w:r>
    </w:p>
    <w:p>
      <w:pPr>
        <w:pStyle w:val="ListBullet"/>
        <w:widowControl/>
        <w:ind w:left="360" w:hanging="230"/>
      </w:pPr>
      <w:r>
        <w:rPr>
          <w:rFonts w:ascii="Microsoft JhengHei" w:hAnsi="Microsoft JhengHei" w:eastAsia="Microsoft JhengHei"/>
          <w:color w:val="000000"/>
        </w:rPr>
        <w:t>匯入拆股、合股、代碼變更及現金股息事件，事件必須有供應商事件 ID 以確保重複更新不會重複套用。</w:t>
      </w:r>
    </w:p>
    <w:p>
      <w:pPr>
        <w:pStyle w:val="ListBullet"/>
        <w:widowControl/>
        <w:ind w:left="360" w:hanging="230"/>
      </w:pPr>
      <w:r>
        <w:rPr>
          <w:rFonts w:ascii="Microsoft JhengHei" w:hAnsi="Microsoft JhengHei" w:eastAsia="Microsoft JhengHei"/>
          <w:color w:val="000000"/>
        </w:rPr>
        <w:t>拆股只在持有部位存在 actionAsOf 且事件日期晚於該時間時提出調整；預設由使用者確認後套用。</w:t>
      </w:r>
    </w:p>
    <w:p>
      <w:pPr>
        <w:pStyle w:val="ListBullet"/>
        <w:widowControl/>
        <w:ind w:left="360" w:hanging="230"/>
      </w:pPr>
      <w:r>
        <w:rPr>
          <w:rFonts w:ascii="Microsoft JhengHei" w:hAnsi="Microsoft JhengHei" w:eastAsia="Microsoft JhengHei"/>
          <w:color w:val="000000"/>
        </w:rPr>
        <w:t>現金股息在缺少持有起日或除息日持股證據時只顯示事件，不自動增加資產。</w:t>
      </w:r>
    </w:p>
    <w:p>
      <w:pPr>
        <w:pStyle w:val="ListBullet"/>
        <w:widowControl/>
        <w:ind w:left="360" w:hanging="230"/>
      </w:pPr>
      <w:r>
        <w:rPr>
          <w:rFonts w:ascii="Microsoft JhengHei" w:hAnsi="Microsoft JhengHei" w:eastAsia="Microsoft JhengHei"/>
          <w:color w:val="000000"/>
        </w:rPr>
        <w:t>美股股息預扣稅率作為使用者可調參數，保存稅前、預扣與估計淨額，不宣稱為報稅結果。</w:t>
      </w:r>
    </w:p>
    <w:p>
      <w:pPr>
        <w:pStyle w:val="ListBullet"/>
        <w:widowControl/>
        <w:ind w:left="360" w:hanging="230"/>
      </w:pPr>
      <w:r>
        <w:rPr>
          <w:rFonts w:ascii="Microsoft JhengHei" w:hAnsi="Microsoft JhengHei" w:eastAsia="Microsoft JhengHei"/>
          <w:color w:val="000000"/>
        </w:rPr>
        <w:t>預測使用的年化報酬率視為總報酬假設，因此不得把未來股息再次加進預測，避免重複計算。</w:t>
      </w:r>
    </w:p>
    <w:p>
      <w:pPr>
        <w:pStyle w:val="Heading2"/>
        <w:keepNext/>
        <w:widowControl/>
      </w:pPr>
      <w:r>
        <w:rPr>
          <w:rFonts w:ascii="Microsoft JhengHei" w:hAnsi="Microsoft JhengHei" w:eastAsia="Microsoft JhengHei"/>
          <w:color w:val="000000"/>
        </w:rPr>
        <w:t>明確不納入</w:t>
      </w:r>
    </w:p>
    <w:p>
      <w:pPr>
        <w:pStyle w:val="ListBullet"/>
        <w:widowControl/>
        <w:ind w:left="360" w:hanging="230"/>
      </w:pPr>
      <w:r>
        <w:rPr>
          <w:rFonts w:ascii="Microsoft JhengHei" w:hAnsi="Microsoft JhengHei" w:eastAsia="Microsoft JhengHei"/>
          <w:color w:val="000000"/>
        </w:rPr>
        <w:t>盤中即時報價、延長交易時段、K 線與技術指標。</w:t>
      </w:r>
    </w:p>
    <w:p>
      <w:pPr>
        <w:pStyle w:val="ListBullet"/>
        <w:widowControl/>
        <w:ind w:left="360" w:hanging="230"/>
      </w:pPr>
      <w:r>
        <w:rPr>
          <w:rFonts w:ascii="Microsoft JhengHei" w:hAnsi="Microsoft JhengHei" w:eastAsia="Microsoft JhengHei"/>
          <w:color w:val="000000"/>
        </w:rPr>
        <w:t>券商帳戶串接、自動匯入交易、自動再平衡與下單。</w:t>
      </w:r>
    </w:p>
    <w:p>
      <w:pPr>
        <w:pStyle w:val="ListBullet"/>
        <w:widowControl/>
        <w:ind w:left="360" w:hanging="230"/>
      </w:pPr>
      <w:r>
        <w:rPr>
          <w:rFonts w:ascii="Microsoft JhengHei" w:hAnsi="Microsoft JhengHei" w:eastAsia="Microsoft JhengHei"/>
          <w:color w:val="000000"/>
        </w:rPr>
        <w:t>權證、期貨、選擇權、加密資產、共同基金及未上市證券。</w:t>
      </w:r>
    </w:p>
    <w:p>
      <w:pPr>
        <w:pStyle w:val="ListBullet"/>
        <w:widowControl/>
        <w:ind w:left="360" w:hanging="230"/>
      </w:pPr>
      <w:r>
        <w:rPr>
          <w:rFonts w:ascii="Microsoft JhengHei" w:hAnsi="Microsoft JhengHei" w:eastAsia="Microsoft JhengHei"/>
          <w:color w:val="000000"/>
        </w:rPr>
        <w:t>個股未來價格預測、買賣建議、稅務申報或投資績效保證。</w:t>
      </w:r>
    </w:p>
    <w:p>
      <w:pPr>
        <w:pStyle w:val="Heading1"/>
        <w:keepNext/>
        <w:pageBreakBefore/>
        <w:widowControl/>
      </w:pPr>
      <w:r>
        <w:rPr>
          <w:rFonts w:ascii="Microsoft JhengHei" w:hAnsi="Microsoft JhengHei" w:eastAsia="Microsoft JhengHei"/>
          <w:color w:val="000000"/>
        </w:rPr>
        <w:t>四 目標架構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rPr>
        <w:tc>
          <w:tcPr>
            <w:tcW w:type="dxa" w:w="9994"/>
            <w:shd w:fill="F5F7F9"/>
            <w:tcMar>
              <w:top w:w="120" w:type="dxa"/>
              <w:start w:w="140" w:type="dxa"/>
              <w:bottom w:w="120" w:type="dxa"/>
              <w:end w:w="140" w:type="dxa"/>
            </w:tcMar>
          </w:tcPr>
          <w:p>
            <w:pPr>
              <w:widowControl/>
              <w:spacing w:after="0" w:line="252" w:lineRule="auto"/>
            </w:pPr>
            <w:r>
              <w:rPr>
                <w:rFonts w:ascii="Consolas" w:hAnsi="Consolas" w:eastAsia="Consolas"/>
                <w:color w:val="000000"/>
                <w:sz w:val="17"/>
              </w:rPr>
              <w:t>React PWA and IndexedDB</w:t>
            </w:r>
            <w:r>
              <w:br/>
            </w:r>
            <w:r>
              <w:rPr>
                <w:rFonts w:ascii="Consolas" w:hAnsi="Consolas" w:eastAsia="Consolas"/>
                <w:color w:val="000000"/>
                <w:sz w:val="17"/>
              </w:rPr>
              <w:t xml:space="preserve">        |  market and symbol only</w:t>
            </w:r>
            <w:r>
              <w:br/>
            </w:r>
            <w:r>
              <w:rPr>
                <w:rFonts w:ascii="Consolas" w:hAnsi="Consolas" w:eastAsia="Consolas"/>
                <w:color w:val="000000"/>
                <w:sz w:val="17"/>
              </w:rPr>
              <w:t xml:space="preserve">        v</w:t>
            </w:r>
            <w:r>
              <w:br/>
            </w:r>
            <w:r>
              <w:rPr>
                <w:rFonts w:ascii="Consolas" w:hAnsi="Consolas" w:eastAsia="Consolas"/>
                <w:color w:val="000000"/>
                <w:sz w:val="17"/>
              </w:rPr>
              <w:t>Cloudflare Pages Functions</w:t>
            </w:r>
            <w:r>
              <w:br/>
            </w:r>
            <w:r>
              <w:rPr>
                <w:rFonts w:ascii="Consolas" w:hAnsi="Consolas" w:eastAsia="Consolas"/>
                <w:color w:val="000000"/>
                <w:sz w:val="17"/>
              </w:rPr>
              <w:t xml:space="preserve">        |-- request validation and rate limiting</w:t>
            </w:r>
            <w:r>
              <w:br/>
            </w:r>
            <w:r>
              <w:rPr>
                <w:rFonts w:ascii="Consolas" w:hAnsi="Consolas" w:eastAsia="Consolas"/>
                <w:color w:val="000000"/>
                <w:sz w:val="17"/>
              </w:rPr>
              <w:t xml:space="preserve">        |-- KV quote cache and stale fallback</w:t>
            </w:r>
            <w:r>
              <w:br/>
            </w:r>
            <w:r>
              <w:rPr>
                <w:rFonts w:ascii="Consolas" w:hAnsi="Consolas" w:eastAsia="Consolas"/>
                <w:color w:val="000000"/>
                <w:sz w:val="17"/>
              </w:rPr>
              <w:t xml:space="preserve">        |-- Taiwan provider  TWSE and TPEx official APIs</w:t>
            </w:r>
            <w:r>
              <w:br/>
            </w:r>
            <w:r>
              <w:rPr>
                <w:rFonts w:ascii="Consolas" w:hAnsi="Consolas" w:eastAsia="Consolas"/>
                <w:color w:val="000000"/>
                <w:sz w:val="17"/>
              </w:rPr>
              <w:t xml:space="preserve">        |-- US provider  licensed EOD API adapter</w:t>
            </w:r>
            <w:r>
              <w:br/>
            </w:r>
            <w:r>
              <w:rPr>
                <w:rFonts w:ascii="Consolas" w:hAnsi="Consolas" w:eastAsia="Consolas"/>
                <w:color w:val="000000"/>
                <w:sz w:val="17"/>
              </w:rPr>
              <w:t xml:space="preserve">        `-- FX provider  Central Bank of Taiwan</w:t>
            </w:r>
            <w:r>
              <w:br/>
            </w:r>
            <w:r>
              <w:rPr>
                <w:rFonts w:ascii="Consolas" w:hAnsi="Consolas" w:eastAsia="Consolas"/>
                <w:color w:val="000000"/>
                <w:sz w:val="17"/>
              </w:rPr>
              <w:t xml:space="preserve">        v</w:t>
            </w:r>
            <w:r>
              <w:br/>
            </w:r>
            <w:r>
              <w:rPr>
                <w:rFonts w:ascii="Consolas" w:hAnsi="Consolas" w:eastAsia="Consolas"/>
                <w:color w:val="000000"/>
                <w:sz w:val="17"/>
              </w:rPr>
              <w:t>Normalized MarketDataBatch</w:t>
            </w:r>
            <w:r>
              <w:br/>
            </w:r>
            <w:r>
              <w:rPr>
                <w:rFonts w:ascii="Consolas" w:hAnsi="Consolas" w:eastAsia="Consolas"/>
                <w:color w:val="000000"/>
                <w:sz w:val="17"/>
              </w:rPr>
              <w:t xml:space="preserve">        v</w:t>
            </w:r>
            <w:r>
              <w:br/>
            </w:r>
            <w:r>
              <w:rPr>
                <w:rFonts w:ascii="Consolas" w:hAnsi="Consolas" w:eastAsia="Consolas"/>
                <w:color w:val="000000"/>
                <w:sz w:val="17"/>
              </w:rPr>
              <w:t>MarketDataService updates original currency value</w:t>
            </w:r>
            <w:r>
              <w:br/>
            </w:r>
            <w:r>
              <w:rPr>
                <w:rFonts w:ascii="Consolas" w:hAnsi="Consolas" w:eastAsia="Consolas"/>
                <w:color w:val="000000"/>
                <w:sz w:val="17"/>
              </w:rPr>
              <w:t xml:space="preserve">        v</w:t>
            </w:r>
            <w:r>
              <w:br/>
            </w:r>
            <w:r>
              <w:rPr>
                <w:rFonts w:ascii="Consolas" w:hAnsi="Consolas" w:eastAsia="Consolas"/>
                <w:color w:val="000000"/>
                <w:sz w:val="17"/>
              </w:rPr>
              <w:t>moneyToTwd feeds totals portfolio and projection opening value</w:t>
            </w:r>
          </w:p>
        </w:tc>
      </w:tr>
    </w:tbl>
    <w:p>
      <w:pPr>
        <w:widowControl/>
        <w:spacing w:after="20"/>
      </w:pPr>
    </w:p>
    <w:p>
      <w:pPr>
        <w:widowControl/>
      </w:pPr>
      <w:r>
        <w:rPr>
          <w:rFonts w:ascii="Microsoft JhengHei" w:hAnsi="Microsoft JhengHei" w:eastAsia="Microsoft JhengHei"/>
          <w:color w:val="000000"/>
        </w:rPr>
        <w:t>瀏覽器仍是使用者財務資料的唯一保存位置。Pages Function 僅代理可公開識別的證券代碼，回傳標準化行情並吸收供應商差異。這項邊界延續公版現有隱私承諾，也讓更換美股供應商時不必改動計算引擎。</w:t>
      </w:r>
    </w:p>
    <w:p>
      <w:pPr>
        <w:pStyle w:val="Heading1"/>
        <w:keepNext/>
        <w:widowControl/>
      </w:pPr>
      <w:r>
        <w:rPr>
          <w:rFonts w:ascii="Microsoft JhengHei" w:hAnsi="Microsoft JhengHei" w:eastAsia="Microsoft JhengHei"/>
          <w:color w:val="000000"/>
        </w:rPr>
        <w:t>五 資料契約</w:t>
      </w:r>
    </w:p>
    <w:p>
      <w:pPr>
        <w:pStyle w:val="Heading2"/>
        <w:keepNext/>
        <w:widowControl/>
      </w:pPr>
      <w:r>
        <w:rPr>
          <w:rFonts w:ascii="Microsoft JhengHei" w:hAnsi="Microsoft JhengHei" w:eastAsia="Microsoft JhengHei"/>
          <w:color w:val="000000"/>
        </w:rPr>
        <w:t>市場與標的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72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欄位</w:t>
            </w:r>
          </w:p>
        </w:tc>
        <w:tc>
          <w:tcPr>
            <w:tcW w:type="dxa" w:w="302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型別或範例</w:t>
            </w:r>
          </w:p>
        </w:tc>
        <w:tc>
          <w:tcPr>
            <w:tcW w:type="dxa" w:w="504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規則</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market</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TWSE TPEX US</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產品層級市場分類 用於介面與供應器路由</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symbol</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2330 6488 AAPL BRK.B</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保存使用者可辨識代碼 並依市場正規化</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mic</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XTAI ROCO XNAS XNYS ARCX</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供應商回傳或搜尋確認後保存 可為其他有效 MIC</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instrumentKey</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mic:symbol</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唯一識別鍵 不再只以 symbol 比對</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providerSymbol</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供應商格式</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只供 adapter 使用 不滲入 domain 計算</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currency</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TWD USD</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由市場資料驗證 不由使用者任意搭配</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instrumentType</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stock etf</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第一階段僅接受股票與 ETF</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timezone</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Asia/Taipei America/New_York</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用於行情日期解讀 不把日線日期轉成 UTC 前一天</w:t>
            </w:r>
          </w:p>
        </w:tc>
      </w:tr>
    </w:tbl>
    <w:p>
      <w:pPr>
        <w:widowControl/>
        <w:spacing w:after="20"/>
      </w:pPr>
    </w:p>
    <w:p>
      <w:pPr>
        <w:pStyle w:val="Heading2"/>
        <w:keepNext/>
        <w:widowControl/>
      </w:pPr>
      <w:r>
        <w:rPr>
          <w:rFonts w:ascii="Microsoft JhengHei" w:hAnsi="Microsoft JhengHei" w:eastAsia="Microsoft JhengHei"/>
          <w:color w:val="000000"/>
        </w:rPr>
        <w:t>建議的 PlannerInstrument v0.10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rPr>
        <w:tc>
          <w:tcPr>
            <w:tcW w:type="dxa" w:w="9994"/>
            <w:shd w:fill="F5F7F9"/>
            <w:tcMar>
              <w:top w:w="120" w:type="dxa"/>
              <w:start w:w="140" w:type="dxa"/>
              <w:bottom w:w="120" w:type="dxa"/>
              <w:end w:w="140" w:type="dxa"/>
            </w:tcMar>
          </w:tcPr>
          <w:p>
            <w:pPr>
              <w:widowControl/>
              <w:spacing w:after="0" w:line="252" w:lineRule="auto"/>
            </w:pPr>
            <w:r>
              <w:rPr>
                <w:rFonts w:ascii="Consolas" w:hAnsi="Consolas" w:eastAsia="Consolas"/>
                <w:color w:val="000000"/>
                <w:sz w:val="17"/>
              </w:rPr>
              <w:t>interface PlannerInstrument {</w:t>
            </w:r>
            <w:r>
              <w:br/>
            </w:r>
            <w:r>
              <w:rPr>
                <w:rFonts w:ascii="Consolas" w:hAnsi="Consolas" w:eastAsia="Consolas"/>
                <w:color w:val="000000"/>
                <w:sz w:val="17"/>
              </w:rPr>
              <w:t xml:space="preserve">  id: string</w:t>
            </w:r>
            <w:r>
              <w:br/>
            </w:r>
            <w:r>
              <w:rPr>
                <w:rFonts w:ascii="Consolas" w:hAnsi="Consolas" w:eastAsia="Consolas"/>
                <w:color w:val="000000"/>
                <w:sz w:val="17"/>
              </w:rPr>
              <w:t xml:space="preserve">  householdId: string</w:t>
            </w:r>
            <w:r>
              <w:br/>
            </w:r>
            <w:r>
              <w:rPr>
                <w:rFonts w:ascii="Consolas" w:hAnsi="Consolas" w:eastAsia="Consolas"/>
                <w:color w:val="000000"/>
                <w:sz w:val="17"/>
              </w:rPr>
              <w:t xml:space="preserve">  assetId: string</w:t>
            </w:r>
            <w:r>
              <w:br/>
            </w:r>
            <w:r>
              <w:rPr>
                <w:rFonts w:ascii="Consolas" w:hAnsi="Consolas" w:eastAsia="Consolas"/>
                <w:color w:val="000000"/>
                <w:sz w:val="17"/>
              </w:rPr>
              <w:t xml:space="preserve">  market: 'TWSE' | 'TPEX' | 'US'</w:t>
            </w:r>
            <w:r>
              <w:br/>
            </w:r>
            <w:r>
              <w:rPr>
                <w:rFonts w:ascii="Consolas" w:hAnsi="Consolas" w:eastAsia="Consolas"/>
                <w:color w:val="000000"/>
                <w:sz w:val="17"/>
              </w:rPr>
              <w:t xml:space="preserve">  symbol: string</w:t>
            </w:r>
            <w:r>
              <w:br/>
            </w:r>
            <w:r>
              <w:rPr>
                <w:rFonts w:ascii="Consolas" w:hAnsi="Consolas" w:eastAsia="Consolas"/>
                <w:color w:val="000000"/>
                <w:sz w:val="17"/>
              </w:rPr>
              <w:t xml:space="preserve">  mic?: string</w:t>
            </w:r>
            <w:r>
              <w:br/>
            </w:r>
            <w:r>
              <w:rPr>
                <w:rFonts w:ascii="Consolas" w:hAnsi="Consolas" w:eastAsia="Consolas"/>
                <w:color w:val="000000"/>
                <w:sz w:val="17"/>
              </w:rPr>
              <w:t xml:space="preserve">  instrumentKey: string</w:t>
            </w:r>
            <w:r>
              <w:br/>
            </w:r>
            <w:r>
              <w:rPr>
                <w:rFonts w:ascii="Consolas" w:hAnsi="Consolas" w:eastAsia="Consolas"/>
                <w:color w:val="000000"/>
                <w:sz w:val="17"/>
              </w:rPr>
              <w:t xml:space="preserve">  providerSymbol?: string</w:t>
            </w:r>
            <w:r>
              <w:br/>
            </w:r>
            <w:r>
              <w:rPr>
                <w:rFonts w:ascii="Consolas" w:hAnsi="Consolas" w:eastAsia="Consolas"/>
                <w:color w:val="000000"/>
                <w:sz w:val="17"/>
              </w:rPr>
              <w:t xml:space="preserve">  currency: 'TWD' | 'USD'</w:t>
            </w:r>
            <w:r>
              <w:br/>
            </w:r>
            <w:r>
              <w:rPr>
                <w:rFonts w:ascii="Consolas" w:hAnsi="Consolas" w:eastAsia="Consolas"/>
                <w:color w:val="000000"/>
                <w:sz w:val="17"/>
              </w:rPr>
              <w:t xml:space="preserve">  instrumentType: 'stock' | 'etf'</w:t>
            </w:r>
            <w:r>
              <w:br/>
            </w:r>
            <w:r>
              <w:rPr>
                <w:rFonts w:ascii="Consolas" w:hAnsi="Consolas" w:eastAsia="Consolas"/>
                <w:color w:val="000000"/>
                <w:sz w:val="17"/>
              </w:rPr>
              <w:t xml:space="preserve">  timezone: string</w:t>
            </w:r>
            <w:r>
              <w:br/>
            </w:r>
            <w:r>
              <w:rPr>
                <w:rFonts w:ascii="Consolas" w:hAnsi="Consolas" w:eastAsia="Consolas"/>
                <w:color w:val="000000"/>
                <w:sz w:val="17"/>
              </w:rPr>
              <w:t xml:space="preserve">  createdAt: string</w:t>
            </w:r>
            <w:r>
              <w:br/>
            </w:r>
            <w:r>
              <w:rPr>
                <w:rFonts w:ascii="Consolas" w:hAnsi="Consolas" w:eastAsia="Consolas"/>
                <w:color w:val="000000"/>
                <w:sz w:val="17"/>
              </w:rPr>
              <w:t xml:space="preserve">  updatedAt: string</w:t>
            </w:r>
            <w:r>
              <w:br/>
            </w:r>
            <w:r>
              <w:rPr>
                <w:rFonts w:ascii="Consolas" w:hAnsi="Consolas" w:eastAsia="Consolas"/>
                <w:color w:val="000000"/>
                <w:sz w:val="17"/>
              </w:rPr>
              <w:t>}</w:t>
            </w:r>
          </w:p>
        </w:tc>
      </w:tr>
    </w:tbl>
    <w:p>
      <w:pPr>
        <w:widowControl/>
        <w:spacing w:after="20"/>
      </w:pPr>
    </w:p>
    <w:p>
      <w:pPr>
        <w:pStyle w:val="Heading2"/>
        <w:keepNext/>
        <w:widowControl/>
      </w:pPr>
      <w:r>
        <w:rPr>
          <w:rFonts w:ascii="Microsoft JhengHei" w:hAnsi="Microsoft JhengHei" w:eastAsia="Microsoft JhengHei"/>
          <w:color w:val="000000"/>
        </w:rPr>
        <w:t>建議的行情欄位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72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欄位</w:t>
            </w:r>
          </w:p>
        </w:tc>
        <w:tc>
          <w:tcPr>
            <w:tcW w:type="dxa" w:w="44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用途</w:t>
            </w:r>
          </w:p>
        </w:tc>
        <w:tc>
          <w:tcPr>
            <w:tcW w:type="dxa" w:w="360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驗證</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instrumentId</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連回本機資產</w:t>
            </w:r>
          </w:p>
        </w:tc>
        <w:tc>
          <w:tcPr>
            <w:tcW w:type="dxa" w:w="360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必須存在於本次請求</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instrumentKey</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避免跨市場同碼誤配</w:t>
            </w:r>
          </w:p>
        </w:tc>
        <w:tc>
          <w:tcPr>
            <w:tcW w:type="dxa" w:w="360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必須與 instrument 相同</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price</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最近有效收盤價</w:t>
            </w:r>
          </w:p>
        </w:tc>
        <w:tc>
          <w:tcPr>
            <w:tcW w:type="dxa" w:w="360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十進位字串 且大於零</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currency</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報價原幣</w:t>
            </w:r>
          </w:p>
        </w:tc>
        <w:tc>
          <w:tcPr>
            <w:tcW w:type="dxa" w:w="360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第一階段僅 TWD 或 USD</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asOf</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交易所當地行情日</w:t>
            </w:r>
          </w:p>
        </w:tc>
        <w:tc>
          <w:tcPr>
            <w:tcW w:type="dxa" w:w="360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YYYY-MM-DD</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fetchedAt</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後端取得時間</w:t>
            </w:r>
          </w:p>
        </w:tc>
        <w:tc>
          <w:tcPr>
            <w:tcW w:type="dxa" w:w="360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ISO 8601 UTC</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quoteKind</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資料口徑</w:t>
            </w:r>
          </w:p>
        </w:tc>
        <w:tc>
          <w:tcPr>
            <w:tcW w:type="dxa" w:w="360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固定 close</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adjustment</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調整狀態</w:t>
            </w:r>
          </w:p>
        </w:tc>
        <w:tc>
          <w:tcPr>
            <w:tcW w:type="dxa" w:w="360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第一階段 none 或 splits</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delay</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資料延遲說明</w:t>
            </w:r>
          </w:p>
        </w:tc>
        <w:tc>
          <w:tcPr>
            <w:tcW w:type="dxa" w:w="360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eod delayed 或 unknown</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sourceId</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來源追溯</w:t>
            </w:r>
          </w:p>
        </w:tc>
        <w:tc>
          <w:tcPr>
            <w:tcW w:type="dxa" w:w="360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固定供應器版本識別</w:t>
            </w:r>
          </w:p>
        </w:tc>
      </w:tr>
    </w:tbl>
    <w:p>
      <w:pPr>
        <w:widowControl/>
        <w:spacing w:after="20"/>
      </w:pPr>
    </w:p>
    <w:p>
      <w:pPr>
        <w:pStyle w:val="Heading1"/>
        <w:keepNext/>
        <w:widowControl/>
      </w:pPr>
      <w:r>
        <w:rPr>
          <w:rFonts w:ascii="Microsoft JhengHei" w:hAnsi="Microsoft JhengHei" w:eastAsia="Microsoft JhengHei"/>
          <w:color w:val="000000"/>
        </w:rPr>
        <w:t>六 行情端點與供應器</w:t>
      </w:r>
    </w:p>
    <w:p>
      <w:pPr>
        <w:pStyle w:val="Heading2"/>
        <w:keepNext/>
        <w:widowControl/>
      </w:pPr>
      <w:r>
        <w:rPr>
          <w:rFonts w:ascii="Microsoft JhengHei" w:hAnsi="Microsoft JhengHei" w:eastAsia="Microsoft JhengHei"/>
          <w:color w:val="000000"/>
        </w:rPr>
        <w:t>API 介面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6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端點</w:t>
            </w:r>
          </w:p>
        </w:tc>
        <w:tc>
          <w:tcPr>
            <w:tcW w:type="dxa" w:w="403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用途</w:t>
            </w:r>
          </w:p>
        </w:tc>
        <w:tc>
          <w:tcPr>
            <w:tcW w:type="dxa" w:w="309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限制</w:t>
            </w:r>
          </w:p>
        </w:tc>
      </w:tr>
      <w:tr>
        <w:trPr>
          <w:cantSplit/>
        </w:trPr>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POST /api/market-data</w:t>
            </w:r>
          </w:p>
        </w:tc>
        <w:tc>
          <w:tcPr>
            <w:tcW w:type="dxa" w:w="403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批次取得行情與 USD/TWD</w:t>
            </w:r>
          </w:p>
        </w:tc>
        <w:tc>
          <w:tcPr>
            <w:tcW w:type="dxa" w:w="30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最多 50 筆 僅 market symbol mic 與 requestId</w:t>
            </w:r>
          </w:p>
        </w:tc>
      </w:tr>
      <w:tr>
        <w:trPr>
          <w:cantSplit/>
        </w:trPr>
        <w:tc>
          <w:tcPr>
            <w:tcW w:type="dxa" w:w="26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GET /api/instruments/search</w:t>
            </w:r>
          </w:p>
        </w:tc>
        <w:tc>
          <w:tcPr>
            <w:tcW w:type="dxa" w:w="403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依市場搜尋或驗證標的</w:t>
            </w:r>
          </w:p>
        </w:tc>
        <w:tc>
          <w:tcPr>
            <w:tcW w:type="dxa" w:w="30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query 2 至 32 字元 最多 20 筆結果</w:t>
            </w:r>
          </w:p>
        </w:tc>
      </w:tr>
      <w:tr>
        <w:trPr>
          <w:cantSplit/>
        </w:trPr>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GET /api/market-data/health</w:t>
            </w:r>
          </w:p>
        </w:tc>
        <w:tc>
          <w:tcPr>
            <w:tcW w:type="dxa" w:w="403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確認供應器與快取可用性</w:t>
            </w:r>
          </w:p>
        </w:tc>
        <w:tc>
          <w:tcPr>
            <w:tcW w:type="dxa" w:w="30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不回傳密鑰 不觸發大量上游請求</w:t>
            </w:r>
          </w:p>
        </w:tc>
      </w:tr>
    </w:tbl>
    <w:p>
      <w:pPr>
        <w:widowControl/>
        <w:spacing w:after="20"/>
      </w:pPr>
    </w:p>
    <w:p>
      <w:pPr>
        <w:widowControl/>
      </w:pPr>
      <w:r>
        <w:rPr>
          <w:rFonts w:ascii="Microsoft JhengHei" w:hAnsi="Microsoft JhengHei" w:eastAsia="Microsoft JhengHei"/>
          <w:color w:val="000000"/>
        </w:rPr>
        <w:t>現有 GET symbols 查詢先保留一個備份版本週期，只接受 TWSE 舊格式。新 UI 一律使用 POST 契約。有效批次即使部分標的失敗仍回傳 200 與 errors 陣列；輸入錯誤回傳 400、觸發限流回傳 429、完全無可用新值或舊快取時回傳 503。</w:t>
      </w:r>
    </w:p>
    <w:p>
      <w:pPr>
        <w:pStyle w:val="Heading2"/>
        <w:keepNext/>
        <w:widowControl/>
      </w:pPr>
      <w:r>
        <w:rPr>
          <w:rFonts w:ascii="Microsoft JhengHei" w:hAnsi="Microsoft JhengHei" w:eastAsia="Microsoft JhengHei"/>
          <w:color w:val="000000"/>
        </w:rPr>
        <w:t>供應器策略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7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資料</w:t>
            </w:r>
          </w:p>
        </w:tc>
        <w:tc>
          <w:tcPr>
            <w:tcW w:type="dxa" w:w="388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預設來源</w:t>
            </w:r>
          </w:p>
        </w:tc>
        <w:tc>
          <w:tcPr>
            <w:tcW w:type="dxa" w:w="403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上線條件</w:t>
            </w:r>
          </w:p>
        </w:tc>
      </w:tr>
      <w:tr>
        <w:trPr>
          <w:cantSplit/>
        </w:trPr>
        <w:tc>
          <w:tcPr>
            <w:tcW w:type="dxa" w:w="1872"/>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TWSE 收盤價</w:t>
            </w:r>
          </w:p>
        </w:tc>
        <w:tc>
          <w:tcPr>
            <w:tcW w:type="dxa" w:w="3888"/>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臺灣證券交易所 STOCK_DAY_ALL</w:t>
            </w:r>
          </w:p>
        </w:tc>
        <w:tc>
          <w:tcPr>
            <w:tcW w:type="dxa" w:w="403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確認 OpenAPI 使用條款與來源標示</w:t>
            </w:r>
          </w:p>
        </w:tc>
      </w:tr>
      <w:tr>
        <w:trPr>
          <w:cantSplit/>
        </w:trPr>
        <w:tc>
          <w:tcPr>
            <w:tcW w:type="dxa" w:w="1872"/>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TPEx 收盤價</w:t>
            </w:r>
          </w:p>
        </w:tc>
        <w:tc>
          <w:tcPr>
            <w:tcW w:type="dxa" w:w="3888"/>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櫃買中心 tpex_mainboard_daily_close_quotes</w:t>
            </w:r>
          </w:p>
        </w:tc>
        <w:tc>
          <w:tcPr>
            <w:tcW w:type="dxa" w:w="403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確認 OpenAPI 使用條款與欄位穩定性</w:t>
            </w:r>
          </w:p>
        </w:tc>
      </w:tr>
      <w:tr>
        <w:trPr>
          <w:cantSplit/>
        </w:trPr>
        <w:tc>
          <w:tcPr>
            <w:tcW w:type="dxa" w:w="1872"/>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美股 EOD</w:t>
            </w:r>
          </w:p>
        </w:tc>
        <w:tc>
          <w:tcPr>
            <w:tcW w:type="dxa" w:w="3888"/>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Twelve Data EOD adapter</w:t>
            </w:r>
          </w:p>
        </w:tc>
        <w:tc>
          <w:tcPr>
            <w:tcW w:type="dxa" w:w="403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取得允許公版第三方顯示的商業權利與交易所核准</w:t>
            </w:r>
          </w:p>
        </w:tc>
      </w:tr>
      <w:tr>
        <w:trPr>
          <w:cantSplit/>
        </w:trPr>
        <w:tc>
          <w:tcPr>
            <w:tcW w:type="dxa" w:w="1872"/>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USD/TWD</w:t>
            </w:r>
          </w:p>
        </w:tc>
        <w:tc>
          <w:tcPr>
            <w:tcW w:type="dxa" w:w="3888"/>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中央銀行統計資料庫</w:t>
            </w:r>
          </w:p>
        </w:tc>
        <w:tc>
          <w:tcPr>
            <w:tcW w:type="dxa" w:w="403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沿用現有來源並加入欄位 schema 驗證</w:t>
            </w:r>
          </w:p>
        </w:tc>
      </w:tr>
    </w:tbl>
    <w:p>
      <w:pPr>
        <w:widowControl/>
        <w:spacing w:after="20"/>
      </w:pPr>
    </w:p>
    <w:p>
      <w:pPr>
        <w:widowControl/>
      </w:pPr>
      <w:r>
        <w:rPr>
          <w:rFonts w:ascii="Microsoft JhengHei" w:hAnsi="Microsoft JhengHei" w:eastAsia="Microsoft JhengHei"/>
          <w:color w:val="000000"/>
        </w:rPr>
        <w:t>美股 adapter 必須隔離供應商欄位、錯誤碼與速率限制。若日後更換供應商，只修改 functions 端 adapter 與 contract tests；PlannerInstrument、MarketDataBatch、UI 與計算服務保持不變。</w:t>
      </w:r>
    </w:p>
    <w:p>
      <w:pPr>
        <w:pStyle w:val="Heading1"/>
        <w:keepNext/>
        <w:widowControl/>
      </w:pPr>
      <w:r>
        <w:rPr>
          <w:rFonts w:ascii="Microsoft JhengHei" w:hAnsi="Microsoft JhengHei" w:eastAsia="Microsoft JhengHei"/>
          <w:color w:val="000000"/>
        </w:rPr>
        <w:t>七 快取 安全與營運</w:t>
      </w:r>
    </w:p>
    <w:p>
      <w:pPr>
        <w:pStyle w:val="Heading2"/>
        <w:keepNext/>
        <w:widowControl/>
      </w:pPr>
      <w:r>
        <w:rPr>
          <w:rFonts w:ascii="Microsoft JhengHei" w:hAnsi="Microsoft JhengHei" w:eastAsia="Microsoft JhengHei"/>
          <w:color w:val="000000"/>
        </w:rPr>
        <w:t>伺服器端快取</w:t>
      </w:r>
    </w:p>
    <w:p>
      <w:pPr>
        <w:pStyle w:val="ListBullet"/>
        <w:widowControl/>
        <w:ind w:left="360" w:hanging="230"/>
      </w:pPr>
      <w:r>
        <w:rPr>
          <w:rFonts w:ascii="Microsoft JhengHei" w:hAnsi="Microsoft JhengHei" w:eastAsia="Microsoft JhengHei"/>
          <w:color w:val="000000"/>
        </w:rPr>
        <w:t>新增 MARKET_DATA_CACHE KV binding。key 使用 providerVersion instrumentKey quoteKind，避免同一批次不同排列造成大量重複快取。</w:t>
      </w:r>
    </w:p>
    <w:p>
      <w:pPr>
        <w:pStyle w:val="ListBullet"/>
        <w:widowControl/>
        <w:ind w:left="360" w:hanging="230"/>
      </w:pPr>
      <w:r>
        <w:rPr>
          <w:rFonts w:ascii="Microsoft JhengHei" w:hAnsi="Microsoft JhengHei" w:eastAsia="Microsoft JhengHei"/>
          <w:color w:val="000000"/>
        </w:rPr>
        <w:t>行情 fresh TTL 建議 60 分鐘，USD/TWD fresh TTL 建議 6 小時；實際值由環境變數設定，不寫死在程式。</w:t>
      </w:r>
    </w:p>
    <w:p>
      <w:pPr>
        <w:pStyle w:val="ListBullet"/>
        <w:widowControl/>
        <w:ind w:left="360" w:hanging="230"/>
      </w:pPr>
      <w:r>
        <w:rPr>
          <w:rFonts w:ascii="Microsoft JhengHei" w:hAnsi="Microsoft JhengHei" w:eastAsia="Microsoft JhengHei"/>
          <w:color w:val="000000"/>
        </w:rPr>
        <w:t>另保留行情 14 天、匯率 30 天的 stale 記錄，只在上游失敗時回傳，並明確標示 stale true 與原始 asOf。</w:t>
      </w:r>
    </w:p>
    <w:p>
      <w:pPr>
        <w:pStyle w:val="ListBullet"/>
        <w:widowControl/>
        <w:ind w:left="360" w:hanging="230"/>
      </w:pPr>
      <w:r>
        <w:rPr>
          <w:rFonts w:ascii="Microsoft JhengHei" w:hAnsi="Microsoft JhengHei" w:eastAsia="Microsoft JhengHei"/>
          <w:color w:val="000000"/>
        </w:rPr>
        <w:t>瀏覽器回應可維持短期 Cache-Control，但不得把 API key、上游錯誤本文或個別訪客識別資料寫入快取。</w:t>
      </w:r>
    </w:p>
    <w:p>
      <w:pPr>
        <w:pStyle w:val="ListBullet"/>
        <w:widowControl/>
        <w:ind w:left="360" w:hanging="230"/>
      </w:pPr>
      <w:r>
        <w:rPr>
          <w:rFonts w:ascii="Microsoft JhengHei" w:hAnsi="Microsoft JhengHei" w:eastAsia="Microsoft JhengHei"/>
          <w:color w:val="000000"/>
        </w:rPr>
        <w:t>更新來源時採每市場獨立失敗，TWSE 失敗不應阻止美股與匯率更新。</w:t>
      </w:r>
    </w:p>
    <w:p>
      <w:pPr>
        <w:pStyle w:val="Heading2"/>
        <w:keepNext/>
        <w:widowControl/>
      </w:pPr>
      <w:r>
        <w:rPr>
          <w:rFonts w:ascii="Microsoft JhengHei" w:hAnsi="Microsoft JhengHei" w:eastAsia="Microsoft JhengHei"/>
          <w:color w:val="000000"/>
        </w:rPr>
        <w:t>安全控制</w:t>
      </w:r>
    </w:p>
    <w:p>
      <w:pPr>
        <w:pStyle w:val="ListBullet"/>
        <w:widowControl/>
        <w:ind w:left="360" w:hanging="230"/>
      </w:pPr>
      <w:r>
        <w:rPr>
          <w:rFonts w:ascii="Microsoft JhengHei" w:hAnsi="Microsoft JhengHei" w:eastAsia="Microsoft JhengHei"/>
          <w:color w:val="000000"/>
        </w:rPr>
        <w:t>美股 API key 只存 Cloudflare Pages encrypted secret，preview 與 production 分開設定；不得寫入 wrangler.jsonc、前端 bundle、日誌或備份。</w:t>
      </w:r>
    </w:p>
    <w:p>
      <w:pPr>
        <w:pStyle w:val="ListBullet"/>
        <w:widowControl/>
        <w:ind w:left="360" w:hanging="230"/>
      </w:pPr>
      <w:r>
        <w:rPr>
          <w:rFonts w:ascii="Microsoft JhengHei" w:hAnsi="Microsoft JhengHei" w:eastAsia="Microsoft JhengHei"/>
          <w:color w:val="000000"/>
        </w:rPr>
        <w:t>請求 body 設定大小上限，市場採 allowlist，代碼採各市場規則驗證，拒絕任意 URL 與供應商參數透傳。</w:t>
      </w:r>
    </w:p>
    <w:p>
      <w:pPr>
        <w:pStyle w:val="ListBullet"/>
        <w:widowControl/>
        <w:ind w:left="360" w:hanging="230"/>
      </w:pPr>
      <w:r>
        <w:rPr>
          <w:rFonts w:ascii="Microsoft JhengHei" w:hAnsi="Microsoft JhengHei" w:eastAsia="Microsoft JhengHei"/>
          <w:color w:val="000000"/>
        </w:rPr>
        <w:t>限制每批 50 筆、搜尋結果 20 筆，對 /api/market-data 與 /api/instruments/search 設 IP 型 rate limiting。初始門檻可用每 IP 每 10 分鐘 30 次，再依公版流量調整。</w:t>
      </w:r>
    </w:p>
    <w:p>
      <w:pPr>
        <w:pStyle w:val="ListBullet"/>
        <w:widowControl/>
        <w:ind w:left="360" w:hanging="230"/>
      </w:pPr>
      <w:r>
        <w:rPr>
          <w:rFonts w:ascii="Microsoft JhengHei" w:hAnsi="Microsoft JhengHei" w:eastAsia="Microsoft JhengHei"/>
          <w:color w:val="000000"/>
        </w:rPr>
        <w:t>加入 5 秒上游逾時、有限次數重試與一致的安全錯誤訊息；不得把供應商回應全文傳給瀏覽器。</w:t>
      </w:r>
    </w:p>
    <w:p>
      <w:pPr>
        <w:pStyle w:val="ListBullet"/>
        <w:widowControl/>
        <w:ind w:left="360" w:hanging="230"/>
      </w:pPr>
      <w:r>
        <w:rPr>
          <w:rFonts w:ascii="Microsoft JhengHei" w:hAnsi="Microsoft JhengHei" w:eastAsia="Microsoft JhengHei"/>
          <w:color w:val="000000"/>
        </w:rPr>
        <w:t>日誌只記 provider、market、筆數、cache hit、耗時、狀態與 requestId，不記 IP 原文、使用者資產或完整查詢組合。</w:t>
      </w:r>
    </w:p>
    <w:p>
      <w:pPr>
        <w:pStyle w:val="Heading2"/>
        <w:keepNext/>
        <w:widowControl/>
      </w:pPr>
      <w:r>
        <w:rPr>
          <w:rFonts w:ascii="Microsoft JhengHei" w:hAnsi="Microsoft JhengHei" w:eastAsia="Microsoft JhengHei"/>
          <w:color w:val="000000"/>
        </w:rPr>
        <w:t>隱私資料流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59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資料</w:t>
            </w:r>
          </w:p>
        </w:tc>
        <w:tc>
          <w:tcPr>
            <w:tcW w:type="dxa" w:w="230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是否送至公版後端</w:t>
            </w:r>
          </w:p>
        </w:tc>
        <w:tc>
          <w:tcPr>
            <w:tcW w:type="dxa" w:w="489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保存位置</w:t>
            </w:r>
          </w:p>
        </w:tc>
      </w:tr>
      <w:tr>
        <w:trPr>
          <w:cantSplit/>
        </w:trPr>
        <w:tc>
          <w:tcPr>
            <w:tcW w:type="dxa" w:w="2592"/>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市場與證券代碼</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是</w:t>
            </w:r>
          </w:p>
        </w:tc>
        <w:tc>
          <w:tcPr>
            <w:tcW w:type="dxa" w:w="48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短期快取與非個人化營運紀錄</w:t>
            </w:r>
          </w:p>
        </w:tc>
      </w:tr>
      <w:tr>
        <w:trPr>
          <w:cantSplit/>
        </w:trPr>
        <w:tc>
          <w:tcPr>
            <w:tcW w:type="dxa" w:w="2592"/>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持有數量</w:t>
            </w:r>
          </w:p>
        </w:tc>
        <w:tc>
          <w:tcPr>
            <w:tcW w:type="dxa" w:w="230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否</w:t>
            </w:r>
          </w:p>
        </w:tc>
        <w:tc>
          <w:tcPr>
            <w:tcW w:type="dxa" w:w="48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使用者瀏覽器 IndexedDB</w:t>
            </w:r>
          </w:p>
        </w:tc>
      </w:tr>
      <w:tr>
        <w:trPr>
          <w:cantSplit/>
        </w:trPr>
        <w:tc>
          <w:tcPr>
            <w:tcW w:type="dxa" w:w="2592"/>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成本與資產金額</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否</w:t>
            </w:r>
          </w:p>
        </w:tc>
        <w:tc>
          <w:tcPr>
            <w:tcW w:type="dxa" w:w="48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使用者瀏覽器 IndexedDB</w:t>
            </w:r>
          </w:p>
        </w:tc>
      </w:tr>
      <w:tr>
        <w:trPr>
          <w:cantSplit/>
        </w:trPr>
        <w:tc>
          <w:tcPr>
            <w:tcW w:type="dxa" w:w="2592"/>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家庭與退休資料</w:t>
            </w:r>
          </w:p>
        </w:tc>
        <w:tc>
          <w:tcPr>
            <w:tcW w:type="dxa" w:w="230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否</w:t>
            </w:r>
          </w:p>
        </w:tc>
        <w:tc>
          <w:tcPr>
            <w:tcW w:type="dxa" w:w="48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使用者瀏覽器 IndexedDB</w:t>
            </w:r>
          </w:p>
        </w:tc>
      </w:tr>
      <w:tr>
        <w:trPr>
          <w:cantSplit/>
        </w:trPr>
        <w:tc>
          <w:tcPr>
            <w:tcW w:type="dxa" w:w="2592"/>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最新公開行情與匯率</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是</w:t>
            </w:r>
          </w:p>
        </w:tc>
        <w:tc>
          <w:tcPr>
            <w:tcW w:type="dxa" w:w="48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Cloudflare KV 及瀏覽器備份</w:t>
            </w:r>
          </w:p>
        </w:tc>
      </w:tr>
    </w:tbl>
    <w:p>
      <w:pPr>
        <w:widowControl/>
        <w:spacing w:after="20"/>
      </w:pPr>
    </w:p>
    <w:p>
      <w:pPr>
        <w:pStyle w:val="Heading1"/>
        <w:keepNext/>
        <w:widowControl/>
      </w:pPr>
      <w:r>
        <w:rPr>
          <w:rFonts w:ascii="Microsoft JhengHei" w:hAnsi="Microsoft JhengHei" w:eastAsia="Microsoft JhengHei"/>
          <w:color w:val="000000"/>
        </w:rPr>
        <w:t>八 使用者介面</w:t>
      </w:r>
    </w:p>
    <w:p>
      <w:pPr>
        <w:pStyle w:val="Heading2"/>
        <w:keepNext/>
        <w:widowControl/>
      </w:pPr>
      <w:r>
        <w:rPr>
          <w:rFonts w:ascii="Microsoft JhengHei" w:hAnsi="Microsoft JhengHei" w:eastAsia="Microsoft JhengHei"/>
          <w:color w:val="000000"/>
        </w:rPr>
        <w:t>資產編輯</w:t>
      </w:r>
    </w:p>
    <w:p>
      <w:pPr>
        <w:widowControl/>
        <w:ind w:left="403" w:hanging="259"/>
      </w:pPr>
      <w:r>
        <w:rPr>
          <w:rFonts w:ascii="Microsoft JhengHei" w:hAnsi="Microsoft JhengHei" w:eastAsia="Microsoft JhengHei"/>
          <w:color w:val="000000"/>
        </w:rPr>
        <w:t>1.  使用者將資產類型選為股票或 ETF，並選擇資產幣別。</w:t>
      </w:r>
    </w:p>
    <w:p>
      <w:pPr>
        <w:widowControl/>
        <w:ind w:left="403" w:hanging="259"/>
      </w:pPr>
      <w:r>
        <w:rPr>
          <w:rFonts w:ascii="Microsoft JhengHei" w:hAnsi="Microsoft JhengHei" w:eastAsia="Microsoft JhengHei"/>
          <w:color w:val="000000"/>
        </w:rPr>
        <w:t>2.  勾選使用市場行情後，選擇臺灣上市、臺灣上櫃或美國市場。</w:t>
      </w:r>
    </w:p>
    <w:p>
      <w:pPr>
        <w:widowControl/>
        <w:ind w:left="403" w:hanging="259"/>
      </w:pPr>
      <w:r>
        <w:rPr>
          <w:rFonts w:ascii="Microsoft JhengHei" w:hAnsi="Microsoft JhengHei" w:eastAsia="Microsoft JhengHei"/>
          <w:color w:val="000000"/>
        </w:rPr>
        <w:t>3.  輸入代碼並取得搜尋結果；結果顯示名稱、代碼、交易所與幣別。</w:t>
      </w:r>
    </w:p>
    <w:p>
      <w:pPr>
        <w:widowControl/>
        <w:ind w:left="403" w:hanging="259"/>
      </w:pPr>
      <w:r>
        <w:rPr>
          <w:rFonts w:ascii="Microsoft JhengHei" w:hAnsi="Microsoft JhengHei" w:eastAsia="Microsoft JhengHei"/>
          <w:color w:val="000000"/>
        </w:rPr>
        <w:t>4.  選定標的後輸入持有數量及帳戶，畫面顯示將送出的資料只有市場與代碼。</w:t>
      </w:r>
    </w:p>
    <w:p>
      <w:pPr>
        <w:widowControl/>
        <w:ind w:left="403" w:hanging="259"/>
      </w:pPr>
      <w:r>
        <w:rPr>
          <w:rFonts w:ascii="Microsoft JhengHei" w:hAnsi="Microsoft JhengHei" w:eastAsia="Microsoft JhengHei"/>
          <w:color w:val="000000"/>
        </w:rPr>
        <w:t>5.  儲存時以市場規則驗證，並清除舊 instrumentKey 對應的行情快取。</w:t>
      </w:r>
    </w:p>
    <w:p>
      <w:pPr>
        <w:widowControl/>
      </w:pPr>
      <w:r>
        <w:rPr>
          <w:rFonts w:ascii="Microsoft JhengHei" w:hAnsi="Microsoft JhengHei" w:eastAsia="Microsoft JhengHei"/>
          <w:color w:val="000000"/>
        </w:rPr>
        <w:t>現有 DataPage.tsx 在資產幣別不是 TWD 時會關閉行情追蹤，必須移除此限制。臺股代碼可接受 4 至 6 位數與現有尾碼；美股 ticker 允許英數、點與連字號，但最終必須由搜尋或驗證端點確認。</w:t>
      </w:r>
    </w:p>
    <w:p>
      <w:pPr>
        <w:pStyle w:val="Heading2"/>
        <w:keepNext/>
        <w:widowControl/>
      </w:pPr>
      <w:r>
        <w:rPr>
          <w:rFonts w:ascii="Microsoft JhengHei" w:hAnsi="Microsoft JhengHei" w:eastAsia="Microsoft JhengHei"/>
          <w:color w:val="000000"/>
        </w:rPr>
        <w:t>行情頁</w:t>
      </w:r>
    </w:p>
    <w:p>
      <w:pPr>
        <w:pStyle w:val="ListBullet"/>
        <w:widowControl/>
        <w:ind w:left="360" w:hanging="230"/>
      </w:pPr>
      <w:r>
        <w:rPr>
          <w:rFonts w:ascii="Microsoft JhengHei" w:hAnsi="Microsoft JhengHei" w:eastAsia="Microsoft JhengHei"/>
          <w:color w:val="000000"/>
        </w:rPr>
        <w:t>依臺灣上市、臺灣上櫃與美國分組，顯示標的名稱、交易所、原幣價格、行情日與來源。</w:t>
      </w:r>
    </w:p>
    <w:p>
      <w:pPr>
        <w:pStyle w:val="ListBullet"/>
        <w:widowControl/>
        <w:ind w:left="360" w:hanging="230"/>
      </w:pPr>
      <w:r>
        <w:rPr>
          <w:rFonts w:ascii="Microsoft JhengHei" w:hAnsi="Microsoft JhengHei" w:eastAsia="Microsoft JhengHei"/>
          <w:color w:val="000000"/>
        </w:rPr>
        <w:t>美股資產同時顯示 USD 市值及依目前保存匯率換算的約當 TWD 市值。</w:t>
      </w:r>
    </w:p>
    <w:p>
      <w:pPr>
        <w:pStyle w:val="ListBullet"/>
        <w:widowControl/>
        <w:ind w:left="360" w:hanging="230"/>
      </w:pPr>
      <w:r>
        <w:rPr>
          <w:rFonts w:ascii="Microsoft JhengHei" w:hAnsi="Microsoft JhengHei" w:eastAsia="Microsoft JhengHei"/>
          <w:color w:val="000000"/>
        </w:rPr>
        <w:t>清楚區分行情日 asOf 與實際更新時間 fetchedAt；EOD 或延遲資料不得標示為即時。</w:t>
      </w:r>
    </w:p>
    <w:p>
      <w:pPr>
        <w:pStyle w:val="ListBullet"/>
        <w:widowControl/>
        <w:ind w:left="360" w:hanging="230"/>
      </w:pPr>
      <w:r>
        <w:rPr>
          <w:rFonts w:ascii="Microsoft JhengHei" w:hAnsi="Microsoft JhengHei" w:eastAsia="Microsoft JhengHei"/>
          <w:color w:val="000000"/>
        </w:rPr>
        <w:t>部分失敗時逐筆列出原因，其餘成功標的仍更新；完全失敗則維持舊值。</w:t>
      </w:r>
    </w:p>
    <w:p>
      <w:pPr>
        <w:pStyle w:val="ListBullet"/>
        <w:widowControl/>
        <w:ind w:left="360" w:hanging="230"/>
      </w:pPr>
      <w:r>
        <w:rPr>
          <w:rFonts w:ascii="Microsoft JhengHei" w:hAnsi="Microsoft JhengHei" w:eastAsia="Microsoft JhengHei"/>
          <w:color w:val="000000"/>
        </w:rPr>
        <w:t>超過 7 個日曆日沿用既有過期提醒，後續可再導入市場日曆改善長假判斷。</w:t>
      </w:r>
    </w:p>
    <w:p>
      <w:pPr>
        <w:pStyle w:val="Heading1"/>
        <w:keepNext/>
        <w:widowControl/>
      </w:pPr>
      <w:r>
        <w:rPr>
          <w:rFonts w:ascii="Microsoft JhengHei" w:hAnsi="Microsoft JhengHei" w:eastAsia="Microsoft JhengHei"/>
          <w:color w:val="000000"/>
        </w:rPr>
        <w:t>九 計算口徑</w:t>
      </w:r>
    </w:p>
    <w:p>
      <w:pPr>
        <w:widowControl/>
      </w:pPr>
      <w:r>
        <w:rPr>
          <w:rFonts w:ascii="Microsoft JhengHei" w:hAnsi="Microsoft JhengHei" w:eastAsia="Microsoft JhengHei"/>
          <w:color w:val="000000"/>
        </w:rPr>
        <w:t>本案只改變資產的最新有效期初市值，不改變 projection-contract-v0.2。臺股市值等於持有數量乘以 TWD 收盤價；美股市值等於持有數量乘以 USD 收盤價，資產仍保存 USD 原幣，投資組合與家庭總額再使用最新有效 USD/TWD 換算。所有金額運算沿用 Decimal 字串，禁止使用 JavaScript 浮點數作最終財務計算。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94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項目</w:t>
            </w:r>
          </w:p>
        </w:tc>
        <w:tc>
          <w:tcPr>
            <w:tcW w:type="dxa" w:w="396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第一階段口徑</w:t>
            </w:r>
          </w:p>
        </w:tc>
        <w:tc>
          <w:tcPr>
            <w:tcW w:type="dxa" w:w="388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避免的錯誤</w:t>
            </w:r>
          </w:p>
        </w:tc>
      </w:tr>
      <w:tr>
        <w:trPr>
          <w:cantSplit/>
        </w:trPr>
        <w:tc>
          <w:tcPr>
            <w:tcW w:type="dxa" w:w="194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目前市值</w:t>
            </w:r>
          </w:p>
        </w:tc>
        <w:tc>
          <w:tcPr>
            <w:tcW w:type="dxa" w:w="396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數量乘最近有效收盤價</w:t>
            </w:r>
          </w:p>
        </w:tc>
        <w:tc>
          <w:tcPr>
            <w:tcW w:type="dxa" w:w="3888"/>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不把每股價格直接當資產總額</w:t>
            </w:r>
          </w:p>
        </w:tc>
      </w:tr>
      <w:tr>
        <w:trPr>
          <w:cantSplit/>
        </w:trPr>
        <w:tc>
          <w:tcPr>
            <w:tcW w:type="dxa" w:w="194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外幣換算</w:t>
            </w:r>
          </w:p>
        </w:tc>
        <w:tc>
          <w:tcPr>
            <w:tcW w:type="dxa" w:w="396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USD 市值乘最新有效 USD/TWD</w:t>
            </w:r>
          </w:p>
        </w:tc>
        <w:tc>
          <w:tcPr>
            <w:tcW w:type="dxa" w:w="3888"/>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不覆寫或遺失原幣金額</w:t>
            </w:r>
          </w:p>
        </w:tc>
      </w:tr>
      <w:tr>
        <w:trPr>
          <w:cantSplit/>
        </w:trPr>
        <w:tc>
          <w:tcPr>
            <w:tcW w:type="dxa" w:w="194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退休預測</w:t>
            </w:r>
          </w:p>
        </w:tc>
        <w:tc>
          <w:tcPr>
            <w:tcW w:type="dxa" w:w="396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以換算後期初值搭配既有年報酬假設</w:t>
            </w:r>
          </w:p>
        </w:tc>
        <w:tc>
          <w:tcPr>
            <w:tcW w:type="dxa" w:w="3888"/>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不以單一股票歷史走勢預測未來</w:t>
            </w:r>
          </w:p>
        </w:tc>
      </w:tr>
      <w:tr>
        <w:trPr>
          <w:cantSplit/>
        </w:trPr>
        <w:tc>
          <w:tcPr>
            <w:tcW w:type="dxa" w:w="194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匯率假設</w:t>
            </w:r>
          </w:p>
        </w:tc>
        <w:tc>
          <w:tcPr>
            <w:tcW w:type="dxa" w:w="396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預測期間仍固定使用目前保存匯率</w:t>
            </w:r>
          </w:p>
        </w:tc>
        <w:tc>
          <w:tcPr>
            <w:tcW w:type="dxa" w:w="3888"/>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不暗中加入匯率預測</w:t>
            </w:r>
          </w:p>
        </w:tc>
      </w:tr>
      <w:tr>
        <w:trPr>
          <w:cantSplit/>
        </w:trPr>
        <w:tc>
          <w:tcPr>
            <w:tcW w:type="dxa" w:w="194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8"/>
              </w:rPr>
              <w:t>股息</w:t>
            </w:r>
          </w:p>
        </w:tc>
        <w:tc>
          <w:tcPr>
            <w:tcW w:type="dxa" w:w="396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第二階段僅記錄已發生或已確認現金流</w:t>
            </w:r>
          </w:p>
        </w:tc>
        <w:tc>
          <w:tcPr>
            <w:tcW w:type="dxa" w:w="3888"/>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8"/>
              </w:rPr>
              <w:t>不與總報酬假設重複加總</w:t>
            </w:r>
          </w:p>
        </w:tc>
      </w:tr>
      <w:tr>
        <w:trPr>
          <w:cantSplit/>
        </w:trPr>
        <w:tc>
          <w:tcPr>
            <w:tcW w:type="dxa" w:w="194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8"/>
              </w:rPr>
              <w:t>拆股</w:t>
            </w:r>
          </w:p>
        </w:tc>
        <w:tc>
          <w:tcPr>
            <w:tcW w:type="dxa" w:w="396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事件 ID 加 actionAsOf 保證冪等</w:t>
            </w:r>
          </w:p>
        </w:tc>
        <w:tc>
          <w:tcPr>
            <w:tcW w:type="dxa" w:w="3888"/>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8"/>
              </w:rPr>
              <w:t>不重複調整持有數量</w:t>
            </w:r>
          </w:p>
        </w:tc>
      </w:tr>
    </w:tbl>
    <w:p>
      <w:pPr>
        <w:widowControl/>
        <w:spacing w:after="20"/>
      </w:pPr>
    </w:p>
    <w:p>
      <w:pPr>
        <w:pStyle w:val="Heading1"/>
        <w:keepNext/>
        <w:widowControl/>
      </w:pPr>
      <w:r>
        <w:rPr>
          <w:rFonts w:ascii="Microsoft JhengHei" w:hAnsi="Microsoft JhengHei" w:eastAsia="Microsoft JhengHei"/>
          <w:color w:val="000000"/>
        </w:rPr>
        <w:t>十 資料遷移與備份</w:t>
      </w:r>
    </w:p>
    <w:p>
      <w:pPr>
        <w:widowControl/>
        <w:ind w:left="403" w:hanging="259"/>
      </w:pPr>
      <w:r>
        <w:rPr>
          <w:rFonts w:ascii="Microsoft JhengHei" w:hAnsi="Microsoft JhengHei" w:eastAsia="Microsoft JhengHei"/>
          <w:color w:val="000000"/>
        </w:rPr>
        <w:t>1.  將 PlannerData.schemaVersion 升級為 planner-data-v0.10，備份版本升級為 retirement-planner-backup-v0.10。</w:t>
      </w:r>
    </w:p>
    <w:p>
      <w:pPr>
        <w:widowControl/>
        <w:ind w:left="403" w:hanging="259"/>
      </w:pPr>
      <w:r>
        <w:rPr>
          <w:rFonts w:ascii="Microsoft JhengHei" w:hAnsi="Microsoft JhengHei" w:eastAsia="Microsoft JhengHei"/>
          <w:color w:val="000000"/>
        </w:rPr>
        <w:t>2.  所有 v0.9 instrument 直接遷移為 market TWSE、mic XTAI、currency TWD、timezone Asia/Taipei，instrumentKey 由 XTAI 與 symbol 產生。</w:t>
      </w:r>
    </w:p>
    <w:p>
      <w:pPr>
        <w:widowControl/>
        <w:ind w:left="403" w:hanging="259"/>
      </w:pPr>
      <w:r>
        <w:rPr>
          <w:rFonts w:ascii="Microsoft JhengHei" w:hAnsi="Microsoft JhengHei" w:eastAsia="Microsoft JhengHei"/>
          <w:color w:val="000000"/>
        </w:rPr>
        <w:t>3.  既有 quote 補上 quoteKind close、adjustment none、delay eod 或 unknown；原 price、asOf、sourceId 與 fetchedAt 不改。</w:t>
      </w:r>
    </w:p>
    <w:p>
      <w:pPr>
        <w:widowControl/>
        <w:ind w:left="403" w:hanging="259"/>
      </w:pPr>
      <w:r>
        <w:rPr>
          <w:rFonts w:ascii="Microsoft JhengHei" w:hAnsi="Microsoft JhengHei" w:eastAsia="Microsoft JhengHei"/>
          <w:color w:val="000000"/>
        </w:rPr>
        <w:t>4.  舊版 v0.1 至 v0.9 備份必須繼續匯入，匯入後一次遷移到 v0.10；匯出只產生 v0.10。</w:t>
      </w:r>
    </w:p>
    <w:p>
      <w:pPr>
        <w:widowControl/>
        <w:ind w:left="403" w:hanging="259"/>
      </w:pPr>
      <w:r>
        <w:rPr>
          <w:rFonts w:ascii="Microsoft JhengHei" w:hAnsi="Microsoft JhengHei" w:eastAsia="Microsoft JhengHei"/>
          <w:color w:val="000000"/>
        </w:rPr>
        <w:t>5.  遷移不得修改資產金額、持有數量、報酬假設、投資組合選取或退休制度資料。</w:t>
      </w:r>
    </w:p>
    <w:p>
      <w:pPr>
        <w:widowControl/>
        <w:ind w:left="403" w:hanging="259"/>
      </w:pPr>
      <w:r>
        <w:rPr>
          <w:rFonts w:ascii="Microsoft JhengHei" w:hAnsi="Microsoft JhengHei" w:eastAsia="Microsoft JhengHei"/>
          <w:color w:val="000000"/>
        </w:rPr>
        <w:t>6.  若遷移遇到無法辨識的 instrument，保留原資產市值並停用該筆自動行情，向使用者顯示需要重新連結。</w:t>
      </w:r>
    </w:p>
    <w:p>
      <w:pPr>
        <w:widowControl/>
      </w:pPr>
      <w:r>
        <w:rPr>
          <w:rFonts w:ascii="Microsoft JhengHei" w:hAnsi="Microsoft JhengHei" w:eastAsia="Microsoft JhengHei"/>
          <w:color w:val="000000"/>
        </w:rPr>
        <w:t>Dexie 目前以單筆 PlannerData 保存完整資料，預期不需要新資料表；若第二階段公司行動量增加，再評估拆表。第一階段仍應增加 migration fixture，驗證 v0.9 備份經 v0.10 匯出再匯入後資料一致。</w:t>
      </w:r>
    </w:p>
    <w:p>
      <w:pPr>
        <w:pStyle w:val="Heading1"/>
        <w:keepNext/>
        <w:widowControl/>
      </w:pPr>
      <w:r>
        <w:rPr>
          <w:rFonts w:ascii="Microsoft JhengHei" w:hAnsi="Microsoft JhengHei" w:eastAsia="Microsoft JhengHei"/>
          <w:color w:val="000000"/>
        </w:rPr>
        <w:t>十一 檔案級施作清單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65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工作區</w:t>
            </w:r>
          </w:p>
        </w:tc>
        <w:tc>
          <w:tcPr>
            <w:tcW w:type="dxa" w:w="338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主要檔案</w:t>
            </w:r>
          </w:p>
        </w:tc>
        <w:tc>
          <w:tcPr>
            <w:tcW w:type="dxa" w:w="4752"/>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完成內容</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資料契約</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src/application/planner-data.ts</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新增市場型別 instrumentKey MIC 行情口徑及 v0.10</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遷移</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src/application/planner-migration.ts</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建立 v0.9 至 v0.10 且保留更舊版本鏈</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備份</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src/infrastructure/backup.ts</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新增 v0.10 Zod schema 序列化與舊版解析</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標的連結</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src/application/asset-market-link.ts</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改為依市場驗證 並避免只以 symbol 清快取</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領域驗證</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src/domain/market-trackable.ts</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拆分臺股與美股正規化及 instrumentKey 產生</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前端供應器</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src/infrastructure/market-data-provider.ts</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送出多市場請求 並以 instrumentKey 對應重複代碼</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更新服務</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src/application/market-data-service.ts</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驗證幣別 部分成功 stale 標記與 per market error</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Pages Function</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functions/api/market-data.js</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多來源 adapter timeout schema cache secret 與錯誤映射</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搜尋端點</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functions/api/instruments/search.js</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市場篩選 搜尋上限 結果正規化與安全輸出</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Cloudflare 設定</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wrangler.jsonc .gitignore</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KV binding 變數名稱與本機 secret 檔排除</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資產 UI</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src/components/DataPage.tsx</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市場選擇 搜尋結果 USD 追蹤與欄位說明</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行情 UI</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src/components/MarketDataPage.tsx</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分市場 原幣與 TWD 資料日 延遲及錯誤狀態</w:t>
            </w:r>
          </w:p>
        </w:tc>
      </w:tr>
      <w:tr>
        <w:trPr>
          <w:cantSplit/>
        </w:trPr>
        <w:tc>
          <w:tcPr>
            <w:tcW w:type="dxa" w:w="1656"/>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測試</w:t>
            </w:r>
          </w:p>
        </w:tc>
        <w:tc>
          <w:tcPr>
            <w:tcW w:type="dxa" w:w="338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既有 market 相關 test 與 e2e</w:t>
            </w:r>
          </w:p>
        </w:tc>
        <w:tc>
          <w:tcPr>
            <w:tcW w:type="dxa" w:w="4752"/>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新增臺股 上櫃 美股 匯率 遷移 失敗 隱私案例</w:t>
            </w:r>
          </w:p>
        </w:tc>
      </w:tr>
      <w:tr>
        <w:trPr>
          <w:cantSplit/>
        </w:trPr>
        <w:tc>
          <w:tcPr>
            <w:tcW w:type="dxa" w:w="1656"/>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決策文件</w:t>
            </w:r>
          </w:p>
        </w:tc>
        <w:tc>
          <w:tcPr>
            <w:tcW w:type="dxa" w:w="338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docs/adr</w:t>
            </w:r>
          </w:p>
        </w:tc>
        <w:tc>
          <w:tcPr>
            <w:tcW w:type="dxa" w:w="4752"/>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新增多市場資料契約與公版行情授權 ADR</w:t>
            </w:r>
          </w:p>
        </w:tc>
      </w:tr>
    </w:tbl>
    <w:p>
      <w:pPr>
        <w:widowControl/>
        <w:spacing w:after="20"/>
      </w:pPr>
    </w:p>
    <w:p>
      <w:pPr>
        <w:pStyle w:val="Heading1"/>
        <w:keepNext/>
        <w:widowControl/>
      </w:pPr>
      <w:r>
        <w:rPr>
          <w:rFonts w:ascii="Microsoft JhengHei" w:hAnsi="Microsoft JhengHei" w:eastAsia="Microsoft JhengHei"/>
          <w:color w:val="000000"/>
        </w:rPr>
        <w:t>十二 測試計畫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72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層級</w:t>
            </w:r>
          </w:p>
        </w:tc>
        <w:tc>
          <w:tcPr>
            <w:tcW w:type="dxa" w:w="504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必要案例</w:t>
            </w:r>
          </w:p>
        </w:tc>
        <w:tc>
          <w:tcPr>
            <w:tcW w:type="dxa" w:w="302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通過標準</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單元測試</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臺美代碼正規化 instrumentKey Decimal 換算 stale 規則</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所有邊界輸入皆有明確結果</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契約測試</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TWSE TPEx 美股與央行 fixture 轉 MarketDataBatch</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上游欄位改變時測試立即失敗</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服務測試</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同碼多資產 部分失敗 缺匯率 供應器逾時</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成功資料更新 失敗資料不被清除</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遷移測試</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v0.1 至 v0.9 匯入 v0.10 round trip</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財務值與投資組合選取不變</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元件測試</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市場選擇 搜尋 USD 市值 日期與錯誤顯示</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鍵盤與螢幕閱讀器可完成流程</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端對端測試</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新增 2330 6488 AAPL 更新後檢查總額與備份</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重新載入與離線狀態仍可重現</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安全測試</w:t>
            </w:r>
          </w:p>
        </w:tc>
        <w:tc>
          <w:tcPr>
            <w:tcW w:type="dxa" w:w="5040"/>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超長 body 非法 market URL 注入 429 secret 洩漏</w:t>
            </w:r>
          </w:p>
        </w:tc>
        <w:tc>
          <w:tcPr>
            <w:tcW w:type="dxa" w:w="302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拒絕惡意請求且回應不含密鑰</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部署驗收</w:t>
            </w:r>
          </w:p>
        </w:tc>
        <w:tc>
          <w:tcPr>
            <w:tcW w:type="dxa" w:w="5040"/>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preview project branch commit 與實際版本</w:t>
            </w:r>
          </w:p>
        </w:tc>
        <w:tc>
          <w:tcPr>
            <w:tcW w:type="dxa" w:w="302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四項均指向指定公版來源</w:t>
            </w:r>
          </w:p>
        </w:tc>
      </w:tr>
    </w:tbl>
    <w:p>
      <w:pPr>
        <w:widowControl/>
        <w:spacing w:after="20"/>
      </w:pPr>
    </w:p>
    <w:p>
      <w:pPr>
        <w:pStyle w:val="Heading2"/>
        <w:keepNext/>
        <w:widowControl/>
      </w:pPr>
      <w:r>
        <w:rPr>
          <w:rFonts w:ascii="Microsoft JhengHei" w:hAnsi="Microsoft JhengHei" w:eastAsia="Microsoft JhengHei"/>
          <w:color w:val="000000"/>
        </w:rPr>
        <w:t>代表性驗收資料</w:t>
      </w:r>
    </w:p>
    <w:p>
      <w:pPr>
        <w:pStyle w:val="ListBullet"/>
        <w:widowControl/>
        <w:ind w:left="360" w:hanging="230"/>
      </w:pPr>
      <w:r>
        <w:rPr>
          <w:rFonts w:ascii="Microsoft JhengHei" w:hAnsi="Microsoft JhengHei" w:eastAsia="Microsoft JhengHei"/>
          <w:color w:val="000000"/>
        </w:rPr>
        <w:t>TWSE　2330 與 0050，驗證股票及 ETF。</w:t>
      </w:r>
    </w:p>
    <w:p>
      <w:pPr>
        <w:pStyle w:val="ListBullet"/>
        <w:widowControl/>
        <w:ind w:left="360" w:hanging="230"/>
      </w:pPr>
      <w:r>
        <w:rPr>
          <w:rFonts w:ascii="Microsoft JhengHei" w:hAnsi="Microsoft JhengHei" w:eastAsia="Microsoft JhengHei"/>
          <w:color w:val="000000"/>
        </w:rPr>
        <w:t>TPEx　選一檔上櫃股票與一檔上櫃 ETF，代碼必須由上線當日官方清單確認。</w:t>
      </w:r>
    </w:p>
    <w:p>
      <w:pPr>
        <w:pStyle w:val="ListBullet"/>
        <w:widowControl/>
        <w:ind w:left="360" w:hanging="230"/>
      </w:pPr>
      <w:r>
        <w:rPr>
          <w:rFonts w:ascii="Microsoft JhengHei" w:hAnsi="Microsoft JhengHei" w:eastAsia="Microsoft JhengHei"/>
          <w:color w:val="000000"/>
        </w:rPr>
        <w:t>US　AAPL、VOO 與含點號 ticker，例如 BRK.B，實際供應商格式由 adapter 處理。</w:t>
      </w:r>
    </w:p>
    <w:p>
      <w:pPr>
        <w:pStyle w:val="ListBullet"/>
        <w:widowControl/>
        <w:ind w:left="360" w:hanging="230"/>
      </w:pPr>
      <w:r>
        <w:rPr>
          <w:rFonts w:ascii="Microsoft JhengHei" w:hAnsi="Microsoft JhengHei" w:eastAsia="Microsoft JhengHei"/>
          <w:color w:val="000000"/>
        </w:rPr>
        <w:t>錯誤　不存在代碼、暫停交易、缺少匯率、上游 429、上游逾時與過期快取。</w:t>
      </w:r>
    </w:p>
    <w:p>
      <w:pPr>
        <w:pStyle w:val="Heading1"/>
        <w:keepNext/>
        <w:widowControl/>
      </w:pPr>
      <w:r>
        <w:rPr>
          <w:rFonts w:ascii="Microsoft JhengHei" w:hAnsi="Microsoft JhengHei" w:eastAsia="Microsoft JhengHei"/>
          <w:color w:val="000000"/>
        </w:rPr>
        <w:t>十三 分階段工作包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728"/>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工作包</w:t>
            </w:r>
          </w:p>
        </w:tc>
        <w:tc>
          <w:tcPr>
            <w:tcW w:type="dxa" w:w="44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內容</w:t>
            </w:r>
          </w:p>
        </w:tc>
        <w:tc>
          <w:tcPr>
            <w:tcW w:type="dxa" w:w="129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相依</w:t>
            </w:r>
          </w:p>
        </w:tc>
        <w:tc>
          <w:tcPr>
            <w:tcW w:type="dxa" w:w="230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預估人日</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A 契約與決策</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ADR API contract 型別與授權閘門</w:t>
            </w:r>
          </w:p>
        </w:tc>
        <w:tc>
          <w:tcPr>
            <w:tcW w:type="dxa" w:w="12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無</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1 至 2</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B v0.10 資料遷移</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PlannerData backup migration fixtures</w:t>
            </w:r>
          </w:p>
        </w:tc>
        <w:tc>
          <w:tcPr>
            <w:tcW w:type="dxa" w:w="12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A</w:t>
            </w:r>
          </w:p>
        </w:tc>
        <w:tc>
          <w:tcPr>
            <w:tcW w:type="dxa" w:w="230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2 至 3</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C 臺股擴充</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TWSE 保留 TPEx adapter 與多市場路由</w:t>
            </w:r>
          </w:p>
        </w:tc>
        <w:tc>
          <w:tcPr>
            <w:tcW w:type="dxa" w:w="12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A</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2 至 3</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D 美股與雲端保護</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EOD adapter secret KV timeout rate limit</w:t>
            </w:r>
          </w:p>
        </w:tc>
        <w:tc>
          <w:tcPr>
            <w:tcW w:type="dxa" w:w="12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A</w:t>
            </w:r>
          </w:p>
        </w:tc>
        <w:tc>
          <w:tcPr>
            <w:tcW w:type="dxa" w:w="230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3 至 5</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E 前端流程</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搜尋 連結 更新 分組與錯誤狀態</w:t>
            </w:r>
          </w:p>
        </w:tc>
        <w:tc>
          <w:tcPr>
            <w:tcW w:type="dxa" w:w="12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B C D</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3 至 4</w:t>
            </w:r>
          </w:p>
        </w:tc>
      </w:tr>
      <w:tr>
        <w:trPr>
          <w:cantSplit/>
        </w:trPr>
        <w:tc>
          <w:tcPr>
            <w:tcW w:type="dxa" w:w="1728"/>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F 全面測試與 preview</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unit contract e2e build deployment verification</w:t>
            </w:r>
          </w:p>
        </w:tc>
        <w:tc>
          <w:tcPr>
            <w:tcW w:type="dxa" w:w="129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B 至 E</w:t>
            </w:r>
          </w:p>
        </w:tc>
        <w:tc>
          <w:tcPr>
            <w:tcW w:type="dxa" w:w="230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2 至 3</w:t>
            </w:r>
          </w:p>
        </w:tc>
      </w:tr>
      <w:tr>
        <w:trPr>
          <w:cantSplit/>
        </w:trPr>
        <w:tc>
          <w:tcPr>
            <w:tcW w:type="dxa" w:w="1728"/>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G 公司行動與股息</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事件模型 冪等套用 稅率與不重複計算</w:t>
            </w:r>
          </w:p>
        </w:tc>
        <w:tc>
          <w:tcPr>
            <w:tcW w:type="dxa" w:w="129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F</w:t>
            </w:r>
          </w:p>
        </w:tc>
        <w:tc>
          <w:tcPr>
            <w:tcW w:type="dxa" w:w="230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4 至 7</w:t>
            </w:r>
          </w:p>
        </w:tc>
      </w:tr>
    </w:tbl>
    <w:p>
      <w:pPr>
        <w:widowControl/>
        <w:spacing w:after="20"/>
      </w:pPr>
    </w:p>
    <w:p>
      <w:pPr>
        <w:widowControl/>
      </w:pPr>
      <w:r>
        <w:rPr>
          <w:rFonts w:ascii="Microsoft JhengHei" w:hAnsi="Microsoft JhengHei" w:eastAsia="Microsoft JhengHei"/>
          <w:color w:val="000000"/>
        </w:rPr>
        <w:t>第一階段 A 至 F 約 13 至 20 人日；加入第二階段約 17 至 27 人日。此估算假設由熟悉現有程式的一名開發者執行，且美股供應商的帳號、商業權利與 preview secret 已就緒。供應商採購與交易所審核時間不含在開發人日內。</w:t>
      </w:r>
    </w:p>
    <w:p>
      <w:pPr>
        <w:pStyle w:val="Heading1"/>
        <w:keepNext/>
        <w:widowControl/>
      </w:pPr>
      <w:r>
        <w:rPr>
          <w:rFonts w:ascii="Microsoft JhengHei" w:hAnsi="Microsoft JhengHei" w:eastAsia="Microsoft JhengHei"/>
          <w:color w:val="000000"/>
        </w:rPr>
        <w:t>十四 上線閘門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閘門</w:t>
            </w:r>
          </w:p>
        </w:tc>
        <w:tc>
          <w:tcPr>
            <w:tcW w:type="dxa" w:w="525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必備證據</w:t>
            </w:r>
          </w:p>
        </w:tc>
        <w:tc>
          <w:tcPr>
            <w:tcW w:type="dxa" w:w="2736"/>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未通過處理</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資料授權</w:t>
            </w:r>
          </w:p>
        </w:tc>
        <w:tc>
          <w:tcPr>
            <w:tcW w:type="dxa" w:w="525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合約或書面條款允許公版顯示及所需交易所權利</w:t>
            </w:r>
          </w:p>
        </w:tc>
        <w:tc>
          <w:tcPr>
            <w:tcW w:type="dxa" w:w="273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關閉 US_AUTO_QUOTES</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密鑰隔離</w:t>
            </w:r>
          </w:p>
        </w:tc>
        <w:tc>
          <w:tcPr>
            <w:tcW w:type="dxa" w:w="525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preview secret 已設定且 bundle 與 repository 搜尋不到 key</w:t>
            </w:r>
          </w:p>
        </w:tc>
        <w:tc>
          <w:tcPr>
            <w:tcW w:type="dxa" w:w="273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停止部署</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舊資料相容</w:t>
            </w:r>
          </w:p>
        </w:tc>
        <w:tc>
          <w:tcPr>
            <w:tcW w:type="dxa" w:w="525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v0.1 至 v0.9 fixtures 全數通過</w:t>
            </w:r>
          </w:p>
        </w:tc>
        <w:tc>
          <w:tcPr>
            <w:tcW w:type="dxa" w:w="273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停止發布</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隱私</w:t>
            </w:r>
          </w:p>
        </w:tc>
        <w:tc>
          <w:tcPr>
            <w:tcW w:type="dxa" w:w="525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network test 證明未送出數量 金額與家庭資料</w:t>
            </w:r>
          </w:p>
        </w:tc>
        <w:tc>
          <w:tcPr>
            <w:tcW w:type="dxa" w:w="273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停止發布</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韌性</w:t>
            </w:r>
          </w:p>
        </w:tc>
        <w:tc>
          <w:tcPr>
            <w:tcW w:type="dxa" w:w="525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部分成功 逾時 429 與 stale fallback 測試通過</w:t>
            </w:r>
          </w:p>
        </w:tc>
        <w:tc>
          <w:tcPr>
            <w:tcW w:type="dxa" w:w="273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停止發布</w:t>
            </w:r>
          </w:p>
        </w:tc>
      </w:tr>
      <w:tr>
        <w:trPr>
          <w:cantSplit/>
        </w:trPr>
        <w:tc>
          <w:tcPr>
            <w:tcW w:type="dxa" w:w="1800"/>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公版隔離</w:t>
            </w:r>
          </w:p>
        </w:tc>
        <w:tc>
          <w:tcPr>
            <w:tcW w:type="dxa" w:w="525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project retirement-planner-public branch preview source commit 正確</w:t>
            </w:r>
          </w:p>
        </w:tc>
        <w:tc>
          <w:tcPr>
            <w:tcW w:type="dxa" w:w="2736"/>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禁止改部署到私版</w:t>
            </w:r>
          </w:p>
        </w:tc>
      </w:tr>
      <w:tr>
        <w:trPr>
          <w:cantSplit/>
        </w:trPr>
        <w:tc>
          <w:tcPr>
            <w:tcW w:type="dxa" w:w="1800"/>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實際網址</w:t>
            </w:r>
          </w:p>
        </w:tc>
        <w:tc>
          <w:tcPr>
            <w:tcW w:type="dxa" w:w="525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preview URL 載入版本與該次 commit 一致</w:t>
            </w:r>
          </w:p>
        </w:tc>
        <w:tc>
          <w:tcPr>
            <w:tcW w:type="dxa" w:w="2736"/>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回復上一個公版部署</w:t>
            </w:r>
          </w:p>
        </w:tc>
      </w:tr>
    </w:tbl>
    <w:p>
      <w:pPr>
        <w:widowControl/>
        <w:spacing w:after="20"/>
      </w:pPr>
    </w:p>
    <w:p>
      <w:pPr>
        <w:pStyle w:val="Heading1"/>
        <w:keepNext/>
        <w:widowControl/>
      </w:pPr>
      <w:r>
        <w:rPr>
          <w:rFonts w:ascii="Microsoft JhengHei" w:hAnsi="Microsoft JhengHei" w:eastAsia="Microsoft JhengHei"/>
          <w:color w:val="000000"/>
        </w:rPr>
        <w:t>十五 風險與處置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6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風險</w:t>
            </w:r>
          </w:p>
        </w:tc>
        <w:tc>
          <w:tcPr>
            <w:tcW w:type="dxa" w:w="26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影響</w:t>
            </w:r>
          </w:p>
        </w:tc>
        <w:tc>
          <w:tcPr>
            <w:tcW w:type="dxa" w:w="4464"/>
            <w:shd w:fill="17365D"/>
            <w:vAlign w:val="center"/>
            <w:tcMar>
              <w:top w:w="90" w:type="dxa"/>
              <w:start w:w="110" w:type="dxa"/>
              <w:bottom w:w="90" w:type="dxa"/>
              <w:end w:w="110" w:type="dxa"/>
            </w:tcMar>
          </w:tcPr>
          <w:p>
            <w:pPr>
              <w:widowControl/>
              <w:spacing w:line="252" w:lineRule="auto"/>
              <w:jc w:val="center"/>
            </w:pPr>
            <w:r>
              <w:rPr>
                <w:rFonts w:ascii="Microsoft JhengHei" w:hAnsi="Microsoft JhengHei" w:eastAsia="Microsoft JhengHei"/>
                <w:b/>
                <w:color w:val="FFFFFF"/>
                <w:sz w:val="18"/>
              </w:rPr>
              <w:t>處置</w:t>
            </w:r>
          </w:p>
        </w:tc>
      </w:tr>
      <w:tr>
        <w:trPr>
          <w:cantSplit/>
        </w:trPr>
        <w:tc>
          <w:tcPr>
            <w:tcW w:type="dxa" w:w="266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美股公開顯示權不足</w:t>
            </w:r>
          </w:p>
        </w:tc>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法律與供應中斷風險</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商業授權先行 功能旗標可停用 自動行情不得以個人方案替代</w:t>
            </w:r>
          </w:p>
        </w:tc>
      </w:tr>
      <w:tr>
        <w:trPr>
          <w:cantSplit/>
        </w:trPr>
        <w:tc>
          <w:tcPr>
            <w:tcW w:type="dxa" w:w="266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供應商代碼格式不同</w:t>
            </w:r>
          </w:p>
        </w:tc>
        <w:tc>
          <w:tcPr>
            <w:tcW w:type="dxa" w:w="26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錯配或查無資料</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保存 MIC 與 providerSymbol 以 adapter 轉換</w:t>
            </w:r>
          </w:p>
        </w:tc>
      </w:tr>
      <w:tr>
        <w:trPr>
          <w:cantSplit/>
        </w:trPr>
        <w:tc>
          <w:tcPr>
            <w:tcW w:type="dxa" w:w="266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公開端點遭大量查詢</w:t>
            </w:r>
          </w:p>
        </w:tc>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額度與費用失控</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KV 快取 批次上限 搜尋上限 WAF rate limiting 與用量監控</w:t>
            </w:r>
          </w:p>
        </w:tc>
      </w:tr>
      <w:tr>
        <w:trPr>
          <w:cantSplit/>
        </w:trPr>
        <w:tc>
          <w:tcPr>
            <w:tcW w:type="dxa" w:w="266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匯率方向誤讀</w:t>
            </w:r>
          </w:p>
        </w:tc>
        <w:tc>
          <w:tcPr>
            <w:tcW w:type="dxa" w:w="26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美股臺幣市值成倍錯誤</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固定 from USD to TWD contract 與已知值測試</w:t>
            </w:r>
          </w:p>
        </w:tc>
      </w:tr>
      <w:tr>
        <w:trPr>
          <w:cantSplit/>
        </w:trPr>
        <w:tc>
          <w:tcPr>
            <w:tcW w:type="dxa" w:w="266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公司行動重複套用</w:t>
            </w:r>
          </w:p>
        </w:tc>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持有數量錯誤</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provider event ID actionAsOf 與使用者確認</w:t>
            </w:r>
          </w:p>
        </w:tc>
      </w:tr>
      <w:tr>
        <w:trPr>
          <w:cantSplit/>
        </w:trPr>
        <w:tc>
          <w:tcPr>
            <w:tcW w:type="dxa" w:w="2664"/>
            <w:vAlign w:val="center"/>
            <w:tcMar>
              <w:top w:w="90" w:type="dxa"/>
              <w:start w:w="110" w:type="dxa"/>
              <w:bottom w:w="90" w:type="dxa"/>
              <w:end w:w="110" w:type="dxa"/>
            </w:tcMar>
            <w:shd w:fill="EAF2F8"/>
          </w:tcPr>
          <w:p>
            <w:pPr>
              <w:widowControl/>
              <w:spacing w:after="0" w:line="252" w:lineRule="auto"/>
              <w:jc w:val="center"/>
            </w:pPr>
            <w:r>
              <w:rPr>
                <w:rFonts w:ascii="Microsoft JhengHei" w:hAnsi="Microsoft JhengHei" w:eastAsia="Microsoft JhengHei"/>
                <w:color w:val="000000"/>
                <w:sz w:val="17"/>
              </w:rPr>
              <w:t>股息與總報酬重複</w:t>
            </w:r>
          </w:p>
        </w:tc>
        <w:tc>
          <w:tcPr>
            <w:tcW w:type="dxa" w:w="26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退休預測高估</w:t>
            </w:r>
          </w:p>
        </w:tc>
        <w:tc>
          <w:tcPr>
            <w:tcW w:type="dxa" w:w="4464"/>
            <w:vAlign w:val="center"/>
            <w:tcMar>
              <w:top w:w="90" w:type="dxa"/>
              <w:start w:w="110" w:type="dxa"/>
              <w:bottom w:w="90" w:type="dxa"/>
              <w:end w:w="110" w:type="dxa"/>
            </w:tcMar>
            <w:shd w:fill="EAF2F8"/>
          </w:tcPr>
          <w:p>
            <w:pPr>
              <w:widowControl/>
              <w:spacing w:after="0" w:line="252" w:lineRule="auto"/>
            </w:pPr>
            <w:r>
              <w:rPr>
                <w:rFonts w:ascii="Microsoft JhengHei" w:hAnsi="Microsoft JhengHei" w:eastAsia="Microsoft JhengHei"/>
                <w:color w:val="000000"/>
                <w:sz w:val="17"/>
              </w:rPr>
              <w:t>已發生現金流與未來總報酬假設分離</w:t>
            </w:r>
          </w:p>
        </w:tc>
      </w:tr>
      <w:tr>
        <w:trPr>
          <w:cantSplit/>
        </w:trPr>
        <w:tc>
          <w:tcPr>
            <w:tcW w:type="dxa" w:w="2664"/>
            <w:vAlign w:val="center"/>
            <w:tcMar>
              <w:top w:w="90" w:type="dxa"/>
              <w:start w:w="110" w:type="dxa"/>
              <w:bottom w:w="90" w:type="dxa"/>
              <w:end w:w="110" w:type="dxa"/>
            </w:tcMar>
          </w:tcPr>
          <w:p>
            <w:pPr>
              <w:widowControl/>
              <w:spacing w:after="0" w:line="252" w:lineRule="auto"/>
              <w:jc w:val="center"/>
            </w:pPr>
            <w:r>
              <w:rPr>
                <w:rFonts w:ascii="Microsoft JhengHei" w:hAnsi="Microsoft JhengHei" w:eastAsia="Microsoft JhengHei"/>
                <w:color w:val="000000"/>
                <w:sz w:val="17"/>
              </w:rPr>
              <w:t>舊備份無法匯入</w:t>
            </w:r>
          </w:p>
        </w:tc>
        <w:tc>
          <w:tcPr>
            <w:tcW w:type="dxa" w:w="26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使用者資料損失</w:t>
            </w:r>
          </w:p>
        </w:tc>
        <w:tc>
          <w:tcPr>
            <w:tcW w:type="dxa" w:w="4464"/>
            <w:vAlign w:val="center"/>
            <w:tcMar>
              <w:top w:w="90" w:type="dxa"/>
              <w:start w:w="110" w:type="dxa"/>
              <w:bottom w:w="90" w:type="dxa"/>
              <w:end w:w="110" w:type="dxa"/>
            </w:tcMar>
          </w:tcPr>
          <w:p>
            <w:pPr>
              <w:widowControl/>
              <w:spacing w:after="0" w:line="252" w:lineRule="auto"/>
            </w:pPr>
            <w:r>
              <w:rPr>
                <w:rFonts w:ascii="Microsoft JhengHei" w:hAnsi="Microsoft JhengHei" w:eastAsia="Microsoft JhengHei"/>
                <w:color w:val="000000"/>
                <w:sz w:val="17"/>
              </w:rPr>
              <w:t>保留完整遷移鏈 round trip fixture 與發布閘門</w:t>
            </w:r>
          </w:p>
        </w:tc>
      </w:tr>
    </w:tbl>
    <w:p>
      <w:pPr>
        <w:widowControl/>
        <w:spacing w:after="20"/>
      </w:pPr>
    </w:p>
    <w:p>
      <w:pPr>
        <w:pStyle w:val="Heading1"/>
        <w:keepNext/>
        <w:widowControl/>
      </w:pPr>
      <w:r>
        <w:rPr>
          <w:rFonts w:ascii="Microsoft JhengHei" w:hAnsi="Microsoft JhengHei" w:eastAsia="Microsoft JhengHei"/>
          <w:color w:val="000000"/>
        </w:rPr>
        <w:t>十六 完成定義</w:t>
      </w:r>
    </w:p>
    <w:p>
      <w:pPr>
        <w:pStyle w:val="ListBullet"/>
        <w:widowControl/>
        <w:ind w:left="360" w:hanging="230"/>
      </w:pPr>
      <w:r>
        <w:rPr>
          <w:rFonts w:ascii="Microsoft JhengHei" w:hAnsi="Microsoft JhengHei" w:eastAsia="Microsoft JhengHei"/>
          <w:color w:val="000000"/>
        </w:rPr>
        <w:t>使用者可在公版建立 TWSE、TPEx 或 US 股票及 ETF，並在相同資產表單中維護持有數量。</w:t>
      </w:r>
    </w:p>
    <w:p>
      <w:pPr>
        <w:pStyle w:val="ListBullet"/>
        <w:widowControl/>
        <w:ind w:left="360" w:hanging="230"/>
      </w:pPr>
      <w:r>
        <w:rPr>
          <w:rFonts w:ascii="Microsoft JhengHei" w:hAnsi="Microsoft JhengHei" w:eastAsia="Microsoft JhengHei"/>
          <w:color w:val="000000"/>
        </w:rPr>
        <w:t>手動更新後，成功標的顯示最近有效 EOD、行情日、來源、原幣市值及約當 TWD；失敗標的不破壞舊值。</w:t>
      </w:r>
    </w:p>
    <w:p>
      <w:pPr>
        <w:pStyle w:val="ListBullet"/>
        <w:widowControl/>
        <w:ind w:left="360" w:hanging="230"/>
      </w:pPr>
      <w:r>
        <w:rPr>
          <w:rFonts w:ascii="Microsoft JhengHei" w:hAnsi="Microsoft JhengHei" w:eastAsia="Microsoft JhengHei"/>
          <w:color w:val="000000"/>
        </w:rPr>
        <w:t>美股資產換算後能正確流入家庭總資產、投資組合配置與 projection-contract-v0.2 的期初值。</w:t>
      </w:r>
    </w:p>
    <w:p>
      <w:pPr>
        <w:pStyle w:val="ListBullet"/>
        <w:widowControl/>
        <w:ind w:left="360" w:hanging="230"/>
      </w:pPr>
      <w:r>
        <w:rPr>
          <w:rFonts w:ascii="Microsoft JhengHei" w:hAnsi="Microsoft JhengHei" w:eastAsia="Microsoft JhengHei"/>
          <w:color w:val="000000"/>
        </w:rPr>
        <w:t>公版後端的網路請求不包含股數、金額、家庭或退休資料。</w:t>
      </w:r>
    </w:p>
    <w:p>
      <w:pPr>
        <w:pStyle w:val="ListBullet"/>
        <w:widowControl/>
        <w:ind w:left="360" w:hanging="230"/>
      </w:pPr>
      <w:r>
        <w:rPr>
          <w:rFonts w:ascii="Microsoft JhengHei" w:hAnsi="Microsoft JhengHei" w:eastAsia="Microsoft JhengHei"/>
          <w:color w:val="000000"/>
        </w:rPr>
        <w:t>v0.1 至 v0.9 備份均可匯入，v0.10 可匯出並重新匯入。</w:t>
      </w:r>
    </w:p>
    <w:p>
      <w:pPr>
        <w:pStyle w:val="ListBullet"/>
        <w:widowControl/>
        <w:ind w:left="360" w:hanging="230"/>
      </w:pPr>
      <w:r>
        <w:rPr>
          <w:rFonts w:ascii="Microsoft JhengHei" w:hAnsi="Microsoft JhengHei" w:eastAsia="Microsoft JhengHei"/>
          <w:color w:val="000000"/>
        </w:rPr>
        <w:t>npm run check 與必要 e2e 全數通過，沒有 TypeScript、lint、unit test 或 build 錯誤。</w:t>
      </w:r>
    </w:p>
    <w:p>
      <w:pPr>
        <w:pStyle w:val="ListBullet"/>
        <w:widowControl/>
        <w:ind w:left="360" w:hanging="230"/>
      </w:pPr>
      <w:r>
        <w:rPr>
          <w:rFonts w:ascii="Microsoft JhengHei" w:hAnsi="Microsoft JhengHei" w:eastAsia="Microsoft JhengHei"/>
          <w:color w:val="000000"/>
        </w:rPr>
        <w:t>部署只進入 retirement-planner-public 的 preview 分支，並核對 project、branch、source commit 與指定網址建置版本。</w:t>
      </w:r>
    </w:p>
    <w:p>
      <w:pPr>
        <w:pStyle w:val="ListBullet"/>
        <w:widowControl/>
        <w:ind w:left="360" w:hanging="230"/>
      </w:pPr>
      <w:r>
        <w:rPr>
          <w:rFonts w:ascii="Microsoft JhengHei" w:hAnsi="Microsoft JhengHei" w:eastAsia="Microsoft JhengHei"/>
          <w:color w:val="000000"/>
        </w:rPr>
        <w:t>資料來源與延遲標示清楚，介面與說明文字不形成即時行情、投資建議或稅務正確性的暗示。</w:t>
      </w:r>
    </w:p>
    <w:p>
      <w:pPr>
        <w:pStyle w:val="Heading1"/>
        <w:keepNext/>
        <w:widowControl/>
      </w:pPr>
      <w:r>
        <w:rPr>
          <w:rFonts w:ascii="Microsoft JhengHei" w:hAnsi="Microsoft JhengHei" w:eastAsia="Microsoft JhengHei"/>
          <w:color w:val="000000"/>
        </w:rPr>
        <w:t>十七 開工順序</w:t>
      </w:r>
    </w:p>
    <w:p>
      <w:pPr>
        <w:widowControl/>
        <w:ind w:left="403" w:hanging="259"/>
      </w:pPr>
      <w:r>
        <w:rPr>
          <w:rFonts w:ascii="Microsoft JhengHei" w:hAnsi="Microsoft JhengHei" w:eastAsia="Microsoft JhengHei"/>
          <w:color w:val="000000"/>
        </w:rPr>
        <w:t>1.  先完成行情授權確認與 ADR，鎖定美股供應商、EOD 權利、來源標示及額度。</w:t>
      </w:r>
    </w:p>
    <w:p>
      <w:pPr>
        <w:widowControl/>
        <w:ind w:left="403" w:hanging="259"/>
      </w:pPr>
      <w:r>
        <w:rPr>
          <w:rFonts w:ascii="Microsoft JhengHei" w:hAnsi="Microsoft JhengHei" w:eastAsia="Microsoft JhengHei"/>
          <w:color w:val="000000"/>
        </w:rPr>
        <w:t>2.  建立 v0.10 資料契約、migration 與 backup tests，讓後續 UI 與 API 有穩定基礎。</w:t>
      </w:r>
    </w:p>
    <w:p>
      <w:pPr>
        <w:widowControl/>
        <w:ind w:left="403" w:hanging="259"/>
      </w:pPr>
      <w:r>
        <w:rPr>
          <w:rFonts w:ascii="Microsoft JhengHei" w:hAnsi="Microsoft JhengHei" w:eastAsia="Microsoft JhengHei"/>
          <w:color w:val="000000"/>
        </w:rPr>
        <w:t>3.  完成 TWSE、TPEx、US 與 FX adapters，再加入 KV cache、逾時、錯誤隔離及 rate limiting。</w:t>
      </w:r>
    </w:p>
    <w:p>
      <w:pPr>
        <w:widowControl/>
        <w:ind w:left="403" w:hanging="259"/>
      </w:pPr>
      <w:r>
        <w:rPr>
          <w:rFonts w:ascii="Microsoft JhengHei" w:hAnsi="Microsoft JhengHei" w:eastAsia="Microsoft JhengHei"/>
          <w:color w:val="000000"/>
        </w:rPr>
        <w:t>4.  調整 DataPage 與 MarketDataPage，串接搜尋、連結、更新與多幣別顯示。</w:t>
      </w:r>
    </w:p>
    <w:p>
      <w:pPr>
        <w:widowControl/>
        <w:ind w:left="403" w:hanging="259"/>
      </w:pPr>
      <w:r>
        <w:rPr>
          <w:rFonts w:ascii="Microsoft JhengHei" w:hAnsi="Microsoft JhengHei" w:eastAsia="Microsoft JhengHei"/>
          <w:color w:val="000000"/>
        </w:rPr>
        <w:t>5.  完成 unit、contract、migration、component 與 e2e 測試，執行 npm run check。</w:t>
      </w:r>
    </w:p>
    <w:p>
      <w:pPr>
        <w:widowControl/>
        <w:ind w:left="403" w:hanging="259"/>
      </w:pPr>
      <w:r>
        <w:rPr>
          <w:rFonts w:ascii="Microsoft JhengHei" w:hAnsi="Microsoft JhengHei" w:eastAsia="Microsoft JhengHei"/>
          <w:color w:val="000000"/>
        </w:rPr>
        <w:t>6.  依公版規則部署 preview，逐項核對 Pages project、branch、source commit 與 preview URL。</w:t>
      </w:r>
    </w:p>
    <w:p>
      <w:pPr>
        <w:widowControl/>
        <w:ind w:left="403" w:hanging="259"/>
      </w:pPr>
      <w:r>
        <w:rPr>
          <w:rFonts w:ascii="Microsoft JhengHei" w:hAnsi="Microsoft JhengHei" w:eastAsia="Microsoft JhengHei"/>
          <w:color w:val="000000"/>
        </w:rPr>
        <w:t>7.  第一階段穩定後再開始公司行動與股息，不與行情核心改動混在同一提交或同一驗收批次。</w:t>
      </w:r>
    </w:p>
    <w:p>
      <w:pPr>
        <w:pStyle w:val="Heading1"/>
        <w:keepNext/>
        <w:pageBreakBefore/>
        <w:widowControl/>
      </w:pPr>
      <w:r>
        <w:rPr>
          <w:rFonts w:ascii="Microsoft JhengHei" w:hAnsi="Microsoft JhengHei" w:eastAsia="Microsoft JhengHei"/>
          <w:color w:val="000000"/>
        </w:rPr>
        <w:t>十八 參考資料</w:t>
      </w:r>
    </w:p>
    <w:p>
      <w:pPr>
        <w:pStyle w:val="ListBullet"/>
        <w:widowControl/>
        <w:ind w:left="360" w:hanging="230"/>
      </w:pPr>
      <w:hyperlink r:id="rId9">
        <w:r>
          <w:rPr>
            <w:rFonts w:ascii="Microsoft JhengHei" w:hAnsi="Microsoft JhengHei" w:eastAsia="Microsoft JhengHei"/>
            <w:color w:val="0563C1"/>
            <w:u w:val="single"/>
          </w:rPr>
          <w:t>臺灣證券交易所 OpenAPI</w:t>
        </w:r>
      </w:hyperlink>
    </w:p>
    <w:p>
      <w:pPr>
        <w:pStyle w:val="ListBullet"/>
        <w:widowControl/>
        <w:ind w:left="360" w:hanging="230"/>
      </w:pPr>
      <w:hyperlink r:id="rId10">
        <w:r>
          <w:rPr>
            <w:rFonts w:ascii="Microsoft JhengHei" w:hAnsi="Microsoft JhengHei" w:eastAsia="Microsoft JhengHei"/>
            <w:color w:val="0563C1"/>
            <w:u w:val="single"/>
          </w:rPr>
          <w:t>證券櫃檯買賣中心 OpenAPI</w:t>
        </w:r>
      </w:hyperlink>
    </w:p>
    <w:p>
      <w:pPr>
        <w:pStyle w:val="ListBullet"/>
        <w:widowControl/>
        <w:ind w:left="360" w:hanging="230"/>
      </w:pPr>
      <w:hyperlink r:id="rId11">
        <w:r>
          <w:rPr>
            <w:rFonts w:ascii="Microsoft JhengHei" w:hAnsi="Microsoft JhengHei" w:eastAsia="Microsoft JhengHei"/>
            <w:color w:val="0563C1"/>
            <w:u w:val="single"/>
          </w:rPr>
          <w:t>中央銀行統計資料庫 API 說明</w:t>
        </w:r>
      </w:hyperlink>
    </w:p>
    <w:p>
      <w:pPr>
        <w:pStyle w:val="ListBullet"/>
        <w:widowControl/>
        <w:ind w:left="360" w:hanging="230"/>
      </w:pPr>
      <w:hyperlink r:id="rId12">
        <w:r>
          <w:rPr>
            <w:rFonts w:ascii="Microsoft JhengHei" w:hAnsi="Microsoft JhengHei" w:eastAsia="Microsoft JhengHei"/>
            <w:color w:val="0563C1"/>
            <w:u w:val="single"/>
          </w:rPr>
          <w:t>Twelve Data Market Data API</w:t>
        </w:r>
      </w:hyperlink>
    </w:p>
    <w:p>
      <w:pPr>
        <w:pStyle w:val="ListBullet"/>
        <w:widowControl/>
        <w:ind w:left="360" w:hanging="230"/>
      </w:pPr>
      <w:hyperlink r:id="rId13">
        <w:r>
          <w:rPr>
            <w:rFonts w:ascii="Microsoft JhengHei" w:hAnsi="Microsoft JhengHei" w:eastAsia="Microsoft JhengHei"/>
            <w:color w:val="0563C1"/>
            <w:u w:val="single"/>
          </w:rPr>
          <w:t>Twelve Data Commercial and Personal Usage</w:t>
        </w:r>
      </w:hyperlink>
    </w:p>
    <w:p>
      <w:pPr>
        <w:pStyle w:val="ListBullet"/>
        <w:widowControl/>
        <w:ind w:left="360" w:hanging="230"/>
      </w:pPr>
      <w:hyperlink r:id="rId14">
        <w:r>
          <w:rPr>
            <w:rFonts w:ascii="Microsoft JhengHei" w:hAnsi="Microsoft JhengHei" w:eastAsia="Microsoft JhengHei"/>
            <w:color w:val="0563C1"/>
            <w:u w:val="single"/>
          </w:rPr>
          <w:t>Cloudflare Pages Functions</w:t>
        </w:r>
      </w:hyperlink>
    </w:p>
    <w:p>
      <w:pPr>
        <w:pStyle w:val="ListBullet"/>
        <w:widowControl/>
        <w:ind w:left="360" w:hanging="230"/>
      </w:pPr>
      <w:hyperlink r:id="rId15">
        <w:r>
          <w:rPr>
            <w:rFonts w:ascii="Microsoft JhengHei" w:hAnsi="Microsoft JhengHei" w:eastAsia="Microsoft JhengHei"/>
            <w:color w:val="0563C1"/>
            <w:u w:val="single"/>
          </w:rPr>
          <w:t>Cloudflare Pages Functions Bindings</w:t>
        </w:r>
      </w:hyperlink>
    </w:p>
    <w:p>
      <w:pPr>
        <w:pStyle w:val="ListBullet"/>
        <w:widowControl/>
        <w:ind w:left="360" w:hanging="230"/>
      </w:pPr>
      <w:hyperlink r:id="rId16">
        <w:r>
          <w:rPr>
            <w:rFonts w:ascii="Microsoft JhengHei" w:hAnsi="Microsoft JhengHei" w:eastAsia="Microsoft JhengHei"/>
            <w:color w:val="0563C1"/>
            <w:u w:val="single"/>
          </w:rPr>
          <w:t>Cloudflare Workers Cache API</w:t>
        </w:r>
      </w:hyperlink>
    </w:p>
    <w:p>
      <w:pPr>
        <w:pStyle w:val="ListBullet"/>
        <w:widowControl/>
        <w:ind w:left="360" w:hanging="230"/>
      </w:pPr>
      <w:hyperlink r:id="rId17">
        <w:r>
          <w:rPr>
            <w:rFonts w:ascii="Microsoft JhengHei" w:hAnsi="Microsoft JhengHei" w:eastAsia="Microsoft JhengHei"/>
            <w:color w:val="0563C1"/>
            <w:u w:val="single"/>
          </w:rPr>
          <w:t>Cloudflare Rate Limiting Rules</w:t>
        </w:r>
      </w:hyperlink>
    </w:p>
    <w:p>
      <w:pPr>
        <w:widowControl/>
      </w:pPr>
      <w:r>
        <w:rPr>
          <w:rFonts w:ascii="Microsoft JhengHei" w:hAnsi="Microsoft JhengHei" w:eastAsia="Microsoft JhengHei"/>
          <w:color w:val="000000"/>
        </w:rPr>
        <w:t>資料來源與授權狀態應在每次公版上線前重新確認。供應商方案、交易所權利與 Cloudflare 功能限制可能變更；本文件的架構決策不代表已取得授權。</w:t>
      </w:r>
    </w:p>
    <w:sectPr w:rsidR="00FC693F" w:rsidRPr="0006063C" w:rsidSect="00034616">
      <w:footerReference w:type="default" r:id="rId18"/>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A5A5A"/>
        <w:sz w:val="16"/>
      </w:rPr>
      <w:t xml:space="preserve">PUBLIC  臺股與美股行情支援  ｜  </w:t>
    </w:r>
    <w:r>
      <w:rPr>
        <w:rFonts w:ascii="Microsoft JhengHei" w:hAnsi="Microsoft JhengHei" w:eastAsia="Microsoft JhengHei"/>
        <w:color w:val="5A5A5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JhengHei" w:hAnsi="Microsoft JhengHei" w:eastAsia="Microsoft Jheng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icrosoft JhengHei" w:hAnsi="Microsoft JhengHei" w:eastAsia="Microsoft Jheng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sz w:val="21"/>
    </w:rPr>
  </w:style>
  <w:style w:type="paragraph" w:styleId="ListBullet2">
    <w:name w:val="List Bullet 2"/>
    <w:basedOn w:val="Normal"/>
    <w:uiPriority w:val="99"/>
    <w:unhideWhenUsed/>
    <w:rsid w:val="00326F90"/>
    <w:pPr>
      <w:numPr>
        <w:numId w:val="2"/>
      </w:numPr>
      <w:spacing w:after="60"/>
      <w:contextualSpacing/>
    </w:pPr>
    <w:rPr>
      <w:rFonts w:ascii="Microsoft JhengHei" w:hAnsi="Microsoft JhengHei" w:eastAsia="Microsoft Jheng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pi.twse.com.tw/" TargetMode="External"/><Relationship Id="rId10" Type="http://schemas.openxmlformats.org/officeDocument/2006/relationships/hyperlink" Target="https://www.tpex.org.tw/openapi/" TargetMode="External"/><Relationship Id="rId11" Type="http://schemas.openxmlformats.org/officeDocument/2006/relationships/hyperlink" Target="https://cpx.cbc.gov.tw/Data/ExportToAPIInfo" TargetMode="External"/><Relationship Id="rId12" Type="http://schemas.openxmlformats.org/officeDocument/2006/relationships/hyperlink" Target="https://twelvedata.com/docs/market-data" TargetMode="External"/><Relationship Id="rId13" Type="http://schemas.openxmlformats.org/officeDocument/2006/relationships/hyperlink" Target="https://support.twelvedata.com/en/articles/5332349-commercial-and-personal-usage" TargetMode="External"/><Relationship Id="rId14" Type="http://schemas.openxmlformats.org/officeDocument/2006/relationships/hyperlink" Target="https://developers.cloudflare.com/pages/functions/" TargetMode="External"/><Relationship Id="rId15" Type="http://schemas.openxmlformats.org/officeDocument/2006/relationships/hyperlink" Target="https://developers.cloudflare.com/pages/functions/bindings/" TargetMode="External"/><Relationship Id="rId16" Type="http://schemas.openxmlformats.org/officeDocument/2006/relationships/hyperlink" Target="https://developers.cloudflare.com/workers/runtime-apis/cache/" TargetMode="External"/><Relationship Id="rId17" Type="http://schemas.openxmlformats.org/officeDocument/2006/relationships/hyperlink" Target="https://developers.cloudflare.com/waf/rate-limiting-rule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公版臺股與美股行情支援施作方案說明書</dc:title>
  <dc:subject>retirement-planner-public 臺股與美股日線行情 多幣別 公司行動與上線驗收方案</dc:subject>
  <dc:creator>python-docx</dc:creator>
  <cp:keywords>PUBLIC, TWSE, TPEx, US stocks, Cloudflare Pages, market data</cp:keywords>
  <dc:description>generated by python-docx</dc:description>
  <cp:lastModifiedBy/>
  <cp:revision>1</cp:revision>
  <dcterms:created xsi:type="dcterms:W3CDTF">2013-12-23T23:15:00Z</dcterms:created>
  <dcterms:modified xsi:type="dcterms:W3CDTF">2013-12-23T23:15:00Z</dcterms:modified>
  <cp:category/>
</cp:coreProperties>
</file>