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&#65279;<?xml version="1.0" encoding="utf-8"?><Relationships xmlns="http://schemas.openxmlformats.org/package/2006/relationships"><Relationship Type="http://schemas.openxmlformats.org/officeDocument/2006/relationships/officeDocument" Target="/word/document.xml" Id="Rfc5a256784b44d30" /></Relationships>
</file>

<file path=word/document.xml><?xml version="1.0" encoding="utf-8"?>
<w:document xmlns:r="http://schemas.openxmlformats.org/officeDocument/2006/relationships" xmlns:w="http://schemas.openxmlformats.org/wordprocessingml/2006/main">
  <w:body>
    <w:p>
      <w:pPr>
        <w:spacing w:before="3000"/>
      </w:pPr>
    </w:p>
    <w:p>
      <w:pPr>
        <w:pStyle w:val="CoverTitle"/>
      </w:pPr>
      <w:r>
        <w:t xml:space="preserve">无人值守图书馆系统</w:t>
      </w:r>
    </w:p>
    <w:p>
      <w:pPr>
        <w:pStyle w:val="CoverSubtitle"/>
      </w:pPr>
      <w:r>
        <w:t xml:space="preserve">需求分析文档</w:t>
      </w:r>
    </w:p>
    <w:p>
      <w:pPr>
        <w:spacing w:before="1800"/>
      </w:pPr>
    </w:p>
    <w:p>
      <w:pPr>
        <w:pStyle w:val="CoverInfo"/>
      </w:pPr>
      <w:r>
        <w:t xml:space="preserve">文档版本：V1.0</w:t>
      </w:r>
    </w:p>
    <w:p>
      <w:pPr>
        <w:pStyle w:val="CoverInfo"/>
      </w:pPr>
      <w:r>
        <w:t xml:space="preserve">文档用途：项目立项、申报与评审</w:t>
      </w:r>
    </w:p>
    <w:p>
      <w:pPr>
        <w:pStyle w:val="CoverInfo"/>
      </w:pPr>
      <w:r>
        <w:t xml:space="preserve">编制日期：2026 年 9 月 10 日</w:t>
      </w:r>
    </w:p>
    <w:p>
      <w:pPr>
        <w:sectPr>
          <w:type w:val="nextPage"/>
          <w:pgSz w:w="11906" w:h="16838"/>
          <w:pgMar w:top="1418" w:right="1418" w:bottom="1418" w:left="1418" w:header="720" w:footer="720" w:gutter="0"/>
        </w:sectPr>
      </w:pPr>
    </w:p>
    <w:p>
      <w:pPr>
        <w:pStyle w:val="TOCHeading"/>
      </w:pPr>
      <w:r>
        <w:t xml:space="preserve">目录</w:t>
      </w:r>
    </w:p>
    <w:p>
      <w:pPr>
        <w:pStyle w:val="TOCEntry1"/>
      </w:pPr>
      <w:r>
        <w:fldChar w:fldCharType="begin"/>
      </w:r>
      <w:r>
        <w:instrText xml:space="preserve"> TOC \o "1-2" \h \z \u </w:instrText>
      </w:r>
      <w:r>
        <w:fldChar w:fldCharType="separate"/>
      </w:r>
      <w:r>
        <w:t xml:space="preserve">一、需求背景与政策依据</w:t>
      </w:r>
    </w:p>
    <w:p>
      <w:pPr>
        <w:pStyle w:val="TOCEntry2"/>
      </w:pPr>
      <w:r>
        <w:t xml:space="preserve">（一）24 小时阅读服务的二十年实践</w:t>
      </w:r>
    </w:p>
    <w:p>
      <w:pPr>
        <w:pStyle w:val="TOCEntry2"/>
      </w:pPr>
      <w:r>
        <w:t xml:space="preserve">（二）政策依据</w:t>
      </w:r>
    </w:p>
    <w:p>
      <w:pPr>
        <w:pStyle w:val="TOCEntry2"/>
      </w:pPr>
      <w:r>
        <w:t xml:space="preserve">（三）编制说明</w:t>
      </w:r>
    </w:p>
    <w:p>
      <w:pPr>
        <w:pStyle w:val="TOCEntry1"/>
      </w:pPr>
      <w:r>
        <w:t xml:space="preserve">二、现状与问题分析</w:t>
      </w:r>
    </w:p>
    <w:p>
      <w:pPr>
        <w:pStyle w:val="TOCEntry2"/>
      </w:pPr>
      <w:r>
        <w:t xml:space="preserve">（一）服务形态与系统构成</w:t>
      </w:r>
    </w:p>
    <w:p>
      <w:pPr>
        <w:pStyle w:val="TOCEntry2"/>
      </w:pPr>
      <w:r>
        <w:t xml:space="preserve">（二）缺口分析</w:t>
      </w:r>
    </w:p>
    <w:p>
      <w:pPr>
        <w:pStyle w:val="TOCEntry1"/>
      </w:pPr>
      <w:r>
        <w:t xml:space="preserve">三、需求识别与分析</w:t>
      </w:r>
    </w:p>
    <w:p>
      <w:pPr>
        <w:pStyle w:val="TOCEntry2"/>
      </w:pPr>
      <w:r>
        <w:t xml:space="preserve">（一）图书馆运营侧需求</w:t>
      </w:r>
    </w:p>
    <w:p>
      <w:pPr>
        <w:pStyle w:val="TOCEntry2"/>
      </w:pPr>
      <w:r>
        <w:t xml:space="preserve">（二）系统与技术侧需求</w:t>
      </w:r>
    </w:p>
    <w:p>
      <w:pPr>
        <w:pStyle w:val="TOCEntry2"/>
      </w:pPr>
      <w:r>
        <w:t xml:space="preserve">（三）空间与布点需求</w:t>
      </w:r>
    </w:p>
    <w:p>
      <w:pPr>
        <w:pStyle w:val="TOCEntry2"/>
      </w:pPr>
      <w:r>
        <w:t xml:space="preserve">（四）非功能需求</w:t>
      </w:r>
    </w:p>
    <w:p>
      <w:pPr>
        <w:pStyle w:val="TOCEntry2"/>
      </w:pPr>
      <w:r>
        <w:t xml:space="preserve">（五）需求优先级</w:t>
      </w:r>
    </w:p>
    <w:p>
      <w:pPr>
        <w:pStyle w:val="TOCEntry1"/>
      </w:pPr>
      <w:r>
        <w:t xml:space="preserve">四、需求汇总与建设目标</w:t>
      </w:r>
    </w:p>
    <w:p>
      <w:pPr>
        <w:pStyle w:val="TOCEntry2"/>
      </w:pPr>
      <w:r>
        <w:t xml:space="preserve">（一）需求矩阵</w:t>
      </w:r>
    </w:p>
    <w:p>
      <w:pPr>
        <w:pStyle w:val="TOCEntry2"/>
      </w:pPr>
      <w:r>
        <w:t xml:space="preserve">（二）建设目标</w:t>
      </w:r>
    </w:p>
    <w:p>
      <w:pPr>
        <w:pStyle w:val="TOCEntry2"/>
      </w:pPr>
      <w:r>
        <w:t xml:space="preserve">（三）条件与风险</w:t>
      </w:r>
    </w:p>
    <w:p>
      <w:pPr>
        <w:pStyle w:val="TOCEntry1"/>
      </w:pPr>
      <w:r>
        <w:t xml:space="preserve">五、结论</w:t>
      </w:r>
    </w:p>
    <w:p>
      <w:pPr>
        <w:pStyle w:val="TOCEntry1"/>
      </w:pPr>
      <w:r>
        <w:t xml:space="preserve">参考资料</w:t>
      </w:r>
      <w:r>
        <w:fldChar w:fldCharType="end"/>
      </w:r>
    </w:p>
    <w:p>
      <w:pPr>
        <w:pStyle w:val="Hint"/>
      </w:pPr>
      <w:r>
        <w:t xml:space="preserve">（提示：首次打开后，右键点击目录选择“更新域”，目录页码即可刷新）</w:t>
      </w:r>
    </w:p>
    <w:p>
      <w:pPr>
        <w:sectPr>
          <w:type w:val="nextPage"/>
          <w:pgSz w:w="11906" w:h="16838"/>
          <w:pgMar w:top="1418" w:right="1418" w:bottom="1418" w:left="1418" w:header="720" w:footer="720" w:gutter="0"/>
        </w:sectPr>
      </w:pPr>
    </w:p>
    <w:p>
      <w:pPr>
        <w:pStyle w:val="Heading1"/>
      </w:pPr>
      <w:r>
        <w:t xml:space="preserve">一、需求背景与政策依据</w:t>
      </w:r>
    </w:p>
    <w:p>
      <w:pPr>
        <w:pStyle w:val="Heading2"/>
      </w:pPr>
      <w:r>
        <w:t xml:space="preserve">（一）24 小时阅读服务的二十年实践</w:t>
      </w:r>
    </w:p>
    <w:p>
      <w:r>
        <w:t xml:space="preserve">2005 年 9 月 28 日，东莞图书馆新馆开放当天，馆内一个相对独立的阅读空间开始 24 小时运行。空间设有读者直接进出的大门，配置门禁系统、图书检测设备、自助借还机和视频监控与报警系统，读者可自行开启大门，入内阅读、自习、自助借还[9]。这是国内首个无人值守的自助图书馆，国际同行将这种服务方式称为“永不关闭的图书馆”（Never Closed Library）[9]。此后二十年，以设备替代人工、用独立空间延长服务时间的做法被各地反复沿用，逐步进入公共文化服务的主干网络。</w:t>
      </w:r>
    </w:p>
    <w:p>
      <w:r>
        <w:t xml:space="preserve">从东莞起步，24 小时阅读服务沿两条路径铺开。一条是场馆型空间的复制与品牌化。台州市图书馆 2011 年启动“和合书吧”服务体系，2013 年 2 月开出省内首家集借、阅、藏于一体的 24 小时自助图书馆[11]；到 2024 年 12 月，全市建成 178 家[19]。北京市大兴区 2017 年 6 月落地全市首家 24 小时城市书房，到 2021 年 12 月建成 25 家，总面积 2829 平方米、座席 590 个、藏书 103070 册[10]；大兴区文化和旅游局 2025 年 9 月的公开材料显示，这一规模已达 26 家，“遍布全区且全天候无人值守”[22]。另一条是设施的轻型化与嵌入式延伸。东莞实现全市 33 个镇（街、园区）24 小时自助借阅服务全覆盖（截至 2022 年 12 月）[21]，并推出图书馆 ATM；深圳布局 24 小时街区图书馆[9]；台州 2023 年 8 月在市区铁路沿线 15 个站点启用“和合 e 书吧”[11]；江苏启东已有 5 家 24 小时城市书房投入运行[17]，2026 年 9 月，该市第六家（头兴港公园店）进入收尾阶段，项目投资 45 万元、建筑面积约 80 平方米[18]。河北三河等地同样建成了 24 小时书房，2026 年 4 月的公开报道记录了燕郊镇“燕潮城市书房”的使用场景[23]。行业观察把这一演化概括为从单一空间走向“城市书房、街区智能书柜的空间网络”[9]。温州市 2014 年首创城市书房模式，是形态普及过程中的标志性节点：截至 2025 年 12 月，全市城市书房达 181 家，总面积 4.87 万平方米、总藏书 211.28 万册[16]。</w:t>
      </w:r>
    </w:p>
    <w:p>
      <w:r>
        <w:t xml:space="preserve">服务扩张的同时，运行压力同步累积。一个无人值守空间要全天候可用，前端依赖身份核验、自助借还、安全监控等设备持续在线，后端依赖图书的补充、配送、上架与设备的巡检、维修有人承担。大兴区把这两类工作打包为“技术巡检”和“业务巡检”，通过政府购买服务交给第三方公司实施，并建立绩效考核机制[10]；台州在单点层面采用图书馆与场地运营方分工的模式，图书更新与业务指导由图书馆负责，运营、安保、水电与保洁由运营方负责[11]。这些安排说明，网点建成只是起点，能否长期维持，取决于后台管理与运维体系的设计。</w:t>
      </w:r>
    </w:p>
    <w:p>
      <w:pPr>
        <w:pStyle w:val="Heading2"/>
      </w:pPr>
      <w:r>
        <w:t xml:space="preserve">（二）政策依据</w:t>
      </w:r>
    </w:p>
    <w:p>
      <w:r>
        <w:t xml:space="preserve">2025 年 12 月 9 日，国务院总理李强签署第 823 号国务院令，公布《全民阅读促进条例》，条例自 2026 年 2 月 1 日起施行[1]。这是全民阅读领域第一部全国性行政法规，也为公共阅读设施划出了明确的服务底线。条例要求设施管理单位“向公众提供阅读、借阅、阅读指导、阅读能力培训等服务，公示服务项目”，“符合条件的全民阅读设施应当按照国家有关规定免费或者优惠向公众开放，公示开放时间”，有条件的设施“可以在国家法定节假日、休息日和学校寒暑假期间适当延长开放时间”；同时要求“建立健全安全管理制度，依法配备安全保护设备和人员，保障全民阅读设施和公众活动安全”[1]。第四十三条进一步明确，未按要求向公众开放、未公示服务项目与开放时间、未建立安全管理制度或者未配备安全保护设备和人员的，由主管部门责令限期改正[1]。条例正文没有直接使用“无人值守”的提法，但上述开放、公示与安全要求为各类全民阅读设施划出了共同底线；依托自助设备实现全天候开放的阅读空间，同样需要落实这些要求。</w:t>
      </w:r>
    </w:p>
    <w:p>
      <w:r>
        <w:t xml:space="preserve">2026 年 3 月 12 日，十四届全国人大四次会议批准《中华人民共和国国民经济和社会发展第十五个五年规划纲要》，新华社于 3 月 13 日受权全文播发[2]。纲要在“大力繁荣文化事业”一章中提出：“坚持文化惠民，实施公共文化服务提质增效行动，促进优质文化资源直达基层”，并要求“依托城市书房、社区文化驿站、文化长廊等发展新型公共文化空间，提供更多群众身边的文化服务”“健全社会力量参与公共文化服务机制，有序推进公共文化设施所有权和使用权分置改革”“提升智慧博物馆、智慧图书馆、公共文化云服务效能”，同时明确“深化全民阅读活动，推进书香社会建设”[2]。围绕这项行动的解读材料把重点概括为完善基层公共文化服务网络、扩大高品质公共文化服务供给、推动数字化发展和创新运行机制四个方面，其中“因地制宜打造城市书房、社区文化驿站、文化长廊等群众身边‘小而美’的公共文化空间”“完善错时开放、延时开放等便民措施”两条，与本项目讨论的设施形态直接相关[3]。</w:t>
      </w:r>
    </w:p>
    <w:p>
      <w:r>
        <w:t xml:space="preserve">政策之外，两组数据可以标示这项工作的现实位置。文化和旅游部 2025 年 12 月披露：截至 2024 年底，全国共有公共图书馆 3248 个，公共文化新空间超过 4 万个；下一步将研究制定公共文化服务提质增效行动方案[4]。光明日报组织的专家访谈则给出了更细的变化轨迹，2020 年 10 月全国才建成 3300 多个城市书房，到“十四五”末，以城市书房、文化驿站为代表的新型公共文化空间已超过 4 万个，数量增加了 10 倍多；上海、广东、北京、甘肃、福建等地已将延时、错时乃至夜间服务要求纳入地方立法[5]。中央党校学者的解读把重点放在效能上，认为公共文化服务建设的重心正从“广覆盖、保基本”转向“优质高效”，考核评价应把设施利用率、财政支出绩效和群众的参与度满意度作为重要标准[6]。</w:t>
      </w:r>
    </w:p>
    <w:p>
      <w:r>
        <w:t xml:space="preserve">对本项目而言，政策给出的坐标是具体的：延长开放时间、改善阅读环境受到法规和规划的双重鼓励；智慧化设备与系统被明确列为提升服务效能的路径；社会力量参与、设施所有权与使用权分置改革，为运营模式提供了政策空间。这些要求与空间，共同构成本项目需求分析的依据。</w:t>
      </w:r>
    </w:p>
    <w:p>
      <w:pPr>
        <w:pStyle w:val="Heading2"/>
      </w:pPr>
      <w:r>
        <w:t xml:space="preserve">（三）编制说明</w:t>
      </w:r>
    </w:p>
    <w:p>
      <w:r>
        <w:t xml:space="preserve">本文依据工作区文献 8 篇、公开政策文件与政府部门数据、公开报道中的城市案例编制，来源在参考资料中逐条列明，数据与事实核校截止 2026 年 9 月 10 日。涉及项目单位自有数据的指标（现有设施与馆藏规模、投入预算、读者数量、现行借阅量等），正文以定性目标表述；具体数值建议由项目单位在申报阶段核定后填列，第四部分列出了需要核定的指标范围。</w:t>
      </w:r>
    </w:p>
    <w:p>
      <w:pPr>
        <w:pStyle w:val="Heading1"/>
      </w:pPr>
      <w:r>
        <w:t xml:space="preserve">二、现状与问题分析</w:t>
      </w:r>
    </w:p>
    <w:p>
      <w:pPr>
        <w:pStyle w:val="Heading2"/>
      </w:pPr>
      <w:r>
        <w:t xml:space="preserve">（一）服务形态与系统构成</w:t>
      </w:r>
    </w:p>
    <w:p>
      <w:r>
        <w:t xml:space="preserve">“无人值守图书馆”的提法最早见于 2008 年前后的讨论。朱恒把它界定为一种新型复合图书馆：“在整个图书馆中，读者看不到任何图书馆工作人员，图书馆的采、编、流等日常工作全部由计算机控制的系统自动完成”；他设想的组成包括图书订购采访系统、图书编目典藏系统、图书流通阅览系统和监控系统四部分[12]。这一早期构想追求全流程自动化，受制于传输与控制技术，作者也坦言当时“实现有比较大的难度”[12]。</w:t>
      </w:r>
    </w:p>
    <w:p>
      <w:r>
        <w:t xml:space="preserve">二十年后的落地形态比早期构想收敛，要件却更清晰。李沅洁、邵波对 2013 至 2022 年国内智慧图书馆实践文献做了系统梳理（样本 383 条），结论之一是：“24 小时无人值守自助图书馆是智慧图书馆的自助服务中最为显著的应用成果”，其主要形态是“利用 RFID 自助借还系统、电子办证系统、出入门禁系统和电子监控系统为用户全天候自助使用而设立的独立空间”，实践主体基本为公共图书馆[8]。身份、通行、流通、安全四类系统，构成无人值守阅读空间的技术底座。</w:t>
      </w:r>
    </w:p>
    <w:p>
      <w:r>
        <w:t xml:space="preserve">服务要长期运转，还需要后台的管理支撑。大兴区的做法是将城市书房纳入总分馆体系，通过政府购买服务引入第三方公司承担技术巡检与业务巡检，并按财政绩效考评要求建立考核机制[10]。台州的单点运营呈现多主体协作特征，前文提到的图书馆与场地运营方分工即属此类[11]。温州则把社会力量参与作为基本机制：城市书房由政府主导建设，“社会力量无偿提供场地、参与运行管理”是最初的普遍安排[16]。这些模式共同指向一点，无人值守空间的可持续性取决于图书馆、运营方与属地之间职责的清楚划分。</w:t>
      </w:r>
    </w:p>
    <w:p>
      <w:r>
        <w:t xml:space="preserve">设备与系统的演进同样在持续。冯银花 2019 年提出的方案把机器视觉引入“无人”环节：用卷积神经网络识别人脸、手势、迈腿和翻阅行为，读者借书“拿了就走”，离馆时由门禁联动 RFID 完成自动借阅；其系统由信息中枢系统、RFID 书架系统、RFID 报错系统和 OPAC 系统组成，采用超高频射频技术，电子标签阅读距离可达 10 米以上[14]。陈望舒 2021 年把人工智能机器人用于咨询、监控与数据采集统计，其调研显示，24 小时自助服务中“90% 以上的都是借还书、续借、常规信息咨询等服务”，重复性咨询占比高，适合由自动化系统承接[13]。刘惠 2023 年聚焦还书环节，给出基于 RFID 的还书自动分拣方法，涵盖分拣装置选型、还书信息查找与统计数据盘点流程，并定义了衡量分拣准确性的指标 η[15]。运营端的智能化也在同步推进，大兴区 2021 年 9 月建成“24 小时书房监控中心”，参照“110 指挥中心”模式集中监控全部书房，用 AI 辅助对在馆人员行为作智能分析、发现异常自动报警，并对设备运行、入馆与借还数据作实时统计[10]；台州德润馆通过吊顶式门禁实现无感知边界管理，借助 AI 视觉盘点系统解决找书难题，利用 RFID 技术实现全市公共图书馆与和合书吧通借通还[20]。这些实践显示，无人值守能力来自视觉识别、射频识别与后台系统的组合支撑，单一设备无法独立完成任务。</w:t>
      </w:r>
    </w:p>
    <w:p>
      <w:pPr>
        <w:pStyle w:val="Heading2"/>
      </w:pPr>
      <w:r>
        <w:t xml:space="preserve">（二）缺口分析</w:t>
      </w:r>
    </w:p>
    <w:p>
      <w:r>
        <w:t xml:space="preserve">从上述实践与文献中，可以归纳出六类反复出现的缺口，它们是本项目需求识别的直接来源。</w:t>
      </w:r>
    </w:p>
    <w:p>
      <w:r>
        <w:t xml:space="preserve">G1 时段缺口。人工值守模式下，服务时间与馆员工作时间绑定，闭馆后到次日开馆前，借还、自习与阅览无法进行。李东来把 24 小时服务的价值概括为破解“非开放时段阅读服务断档”难题[9]；东莞的早期实践也记录下读者的直接诉求，年轻群体常常在闭馆音乐声中提出“图书馆闭馆能不能再晚一些”[9]。对建设项目而言，开放时间的设计不能停留在传统工作时段框架内。</w:t>
      </w:r>
    </w:p>
    <w:p>
      <w:r>
        <w:t xml:space="preserve">G2 人力缺口。无人值守的需求根源是人力供给的刚性约束。陈望舒的调研显示，24 小时自助图书馆“整书、理架和咨询工作依然主要依靠人工解决”，且“难以安排馆员进行 24 h 值守”[13]。即便实现自助借还，图书整理、上架、配送与设备巡检仍需人力，这些工作会随网点数量同步放大[10]。</w:t>
      </w:r>
    </w:p>
    <w:p>
      <w:r>
        <w:t xml:space="preserve">G3 效率与数据缺口。设施规模扩大后，错架、丢书、盘点慢的问题更加突出；系统之间不通、运行数据不回流，也让选址、配书与考核缺乏依据。李沅洁、邵波发现，“多数图书馆仅引进自助借还设备，只能完成自助借还服务，仍处于半智能化状态”，行业普遍“缺乏标准统一的数据格式、技术接口、业务流程”[8]。还书环节同样吃紧：刘惠指出普通机器分拣方法的适用性有限，随着归还书籍数量增加，错误分拣风险上升，基于 RFID 的自动分拣方案即围绕这一问题设计[15]。</w:t>
      </w:r>
    </w:p>
    <w:p>
      <w:r>
        <w:t xml:space="preserve">G4 安全与秩序缺口。无人空间的安全管理既包括人员与设备安全，也包括图书资产安全。早期构想中门禁与图书检测已是必备环节，“进图书馆时要进行身份验证……出图书馆时要扫描看看读者是否携带有尚未办理借阅手续的图书”[12]。当代实践把安全能力系统化：大兴以 AI 对在馆人员行为作智能分析、异常自动报警[10]，台州德润馆用吊顶式门禁作无感知边界管理[20]。对新建项目而言，视频监控、门禁与警示机制属于 24 小时开放的前置条件。</w:t>
      </w:r>
    </w:p>
    <w:p>
      <w:r>
        <w:t xml:space="preserve">G5 成本与可持续缺口。全天候服务意味着持续的运营投入。冯银花在射频方案的讨论中记录了“电子标签造价过大，成本太高”的现实约束[14]；王东复盘大兴经验时指出，“随着书房数量的不断增加，财政压力有继续加重的趋势”，并建议以绩效考核约束第三方服务[10]；李东来把“成本效益平衡”列为 24 小时服务在实践层面验证并需持续解决的课题[9]。小型点位的投资强度可参考公开案例：启东第六家书房约 80 平方米，项目总投资 45 万元[18]。</w:t>
      </w:r>
    </w:p>
    <w:p>
      <w:r>
        <w:t xml:space="preserve">G6 体验与均衡缺口。布点是否贴近需求、设施是否好用，直接决定使用率。台州早期书吧存在布局不均衡、书籍种类不全、场地不足等问题，不同点位借阅量差异明显[11]；大兴 25 家书房中 14 家集中在北部城区，商圈、公园等人流密集场所偏少[10]；李东来提出“细分读者”理念，指出夜间到馆读者规模有限，应据此确定 24 小时开放空间的范围与资源配置[9]。</w:t>
      </w:r>
    </w:p>
    <w:p>
      <w:r>
        <w:t xml:space="preserve">六类缺口中，G1 与 G4 决定系统的基础能力，G2、G3、G5 决定运营与服务流程的设计，G6 约束空间与布点方案。第三部分将由这些缺口出发，逐项识别需求。</w:t>
      </w:r>
    </w:p>
    <w:p>
      <w:pPr>
        <w:pStyle w:val="Heading1"/>
      </w:pPr>
      <w:r>
        <w:t xml:space="preserve">三、需求识别与分析</w:t>
      </w:r>
    </w:p>
    <w:p>
      <w:r>
        <w:t xml:space="preserve">需求识别围绕两条主线展开：图书馆运营侧回答“建成之后怎么运转”，系统与技术侧回答“靠什么替代人工”；空间与布点、非功能需求作为支撑条件单列。每条需求标注对应的缺口编号（G1 至 G6），供第四部分汇总核对。</w:t>
      </w:r>
    </w:p>
    <w:p>
      <w:pPr>
        <w:pStyle w:val="Heading2"/>
      </w:pPr>
      <w:r>
        <w:t xml:space="preserve">（一）图书馆运营侧需求</w:t>
      </w:r>
    </w:p>
    <w:p>
      <w:pPr>
        <w:pStyle w:val="BulletItem"/>
        <w:numPr>
          <w:ilvl w:val="0"/>
          <w:numId w:val="1"/>
        </w:numPr>
      </w:pPr>
      <w:r>
        <w:t xml:space="preserve">R1 馆藏调配与物流配送。多网点条件下，各点各自为政的借还模式会放大运营负担，通借通还是通行安排：台州的和合书吧与全市公共图书馆实现通借通还[20]，温州以自动化设备和 RFID 技术支撑一体化服务[16]。这一环节的需求包括建立统一的馆藏调配计划，明确配送频次、路线与到馆验收要求；把“图书更新、补充、配送，读者归还图书上架、排架”纳入标准化作业清单[10]；对在途与在馆库存建立台账，避免热门图书长期滞留单一点位。</w:t>
      </w:r>
    </w:p>
    <w:p>
      <w:pPr>
        <w:pStyle w:val="BulletItem"/>
        <w:numPr>
          <w:ilvl w:val="0"/>
          <w:numId w:val="1"/>
        </w:numPr>
      </w:pPr>
      <w:r>
        <w:t xml:space="preserve">R2 图书消毒与上架整理。归还图书宜经消毒处理后重新上架，夜间无人时段归集的图书需要暂存区与次日集中处理流程。需求上明确消毒环节的责任岗位与设备配置，设定归还图书的上架时限，并把架上秩序维护纳入业务巡检范围[10]。</w:t>
      </w:r>
    </w:p>
    <w:p>
      <w:pPr>
        <w:pStyle w:val="BulletItem"/>
        <w:numPr>
          <w:ilvl w:val="0"/>
          <w:numId w:val="1"/>
        </w:numPr>
      </w:pPr>
      <w:r>
        <w:t xml:space="preserve">R3 人力配置与成本核算。无人值守不等于无人运营，配送、巡检、维修、保洁、应急响应等岗位仍需人力，且随网点数量增长。需求上建立与网点规模挂钩的人员配置口径与工时标准，形成可核算、可比对的年度运营成本模型，为财政预算和绩效考核提供依据[10][9]。</w:t>
      </w:r>
    </w:p>
    <w:p>
      <w:pPr>
        <w:pStyle w:val="BulletItem"/>
        <w:numPr>
          <w:ilvl w:val="0"/>
          <w:numId w:val="1"/>
        </w:numPr>
      </w:pPr>
      <w:r>
        <w:t xml:space="preserve">R4 运营协同与考核。城市书房通常涉及图书馆、属地与第三方运营单位等多方主体，职责边界与协同机制需要在建设阶段就界定清楚。王东建议采取“政府职能部门＋属地＋社会化”的“3＋”管理模式，在设计、建设、运营全过程统一装饰标准、标识设计、书籍调配、信息系统和服务规范[10]。需求上包括岗位职责与界面文件、巡检与维修工单流程、故障响应时限，以及与服务费挂钩的绩效考核办法；台州实行的“24 小时内故障设备派员现场维修应急机制”[11]可作为时限参考。</w:t>
      </w:r>
    </w:p>
    <w:p>
      <w:pPr>
        <w:pStyle w:val="BulletItem"/>
        <w:numPr>
          <w:ilvl w:val="0"/>
          <w:numId w:val="1"/>
        </w:numPr>
      </w:pPr>
      <w:r>
        <w:t xml:space="preserve">R5 阅读活动与读者服务。设施的价值最终体现在使用上，专家观点主张以多样化的活动带动面向公众的阅读推广服务，形成“可读、可听、可视、可感、可参与”的阅读体验[5]。需求上要求系统预留活动发布、报名与展示功能，支持面向少儿、老年、亲子等不同人群的常态化活动排期，并保留线上服务入口[11]。</w:t>
      </w:r>
    </w:p>
    <w:p>
      <w:pPr>
        <w:pStyle w:val="Heading2"/>
      </w:pPr>
      <w:r>
        <w:t xml:space="preserve">（二）系统与技术侧需求</w:t>
      </w:r>
    </w:p>
    <w:p>
      <w:pPr>
        <w:pStyle w:val="BulletItem"/>
        <w:numPr>
          <w:ilvl w:val="0"/>
          <w:numId w:val="1"/>
        </w:numPr>
      </w:pPr>
      <w:r>
        <w:t xml:space="preserve">R6 身份核验与门禁管理。入馆身份核验是无人值守的第一道关口。需求上支持读者证、身份证、二维码、人脸等多种介质，实时校验读者资格与状态，对注销、失信等异常账号启用名单控制；冯银花方案中“读者无视提醒超过 3 次，将列入图书馆黑名单，一定期限内禁止进行图书借阅”的做法可作参考[14]。进出记录应可查询统计，在馆人数实时可测[10]；紧急情况下门禁可受控解锁，与消防应急联动。</w:t>
      </w:r>
    </w:p>
    <w:p>
      <w:pPr>
        <w:pStyle w:val="BulletItem"/>
        <w:numPr>
          <w:ilvl w:val="0"/>
          <w:numId w:val="1"/>
        </w:numPr>
      </w:pPr>
      <w:r>
        <w:t xml:space="preserve">R7 自助借还与电子办证。读者在自助设备上完成借书、还书、续借、查询与办证。需求上要求借还操作一次成功率高、界面引导清晰；借阅规则参数化，借期、册数、续借次数、预约规则等调整不依赖开发；借还结果与库存数据实时同步；证件失效、超限、图书无法识别等异常给出明确提示与处置指引。启东书房配备“图书自助借还机、自助办证机、电子书借阅机”等设备，可作为设备清单参考[18]。</w:t>
      </w:r>
    </w:p>
    <w:p>
      <w:pPr>
        <w:pStyle w:val="BulletItem"/>
        <w:numPr>
          <w:ilvl w:val="0"/>
          <w:numId w:val="1"/>
        </w:numPr>
      </w:pPr>
      <w:r>
        <w:t xml:space="preserve">R8 还书自动分拣与传输。还书量达到一定规模后，人工分拣将成为瓶颈。需求上按日均还书量确定分拣设备的型制与容量，刘惠提出装置选型需参考单位时间内的还书数量水平[15]；以 RFID 识别实现按馆藏地点或类别自动分拣，准确率有指标、可统计[15]；分拣结果与后台库存、上架流程衔接。</w:t>
      </w:r>
    </w:p>
    <w:p>
      <w:pPr>
        <w:pStyle w:val="BulletItem"/>
        <w:numPr>
          <w:ilvl w:val="0"/>
          <w:numId w:val="1"/>
        </w:numPr>
      </w:pPr>
      <w:r>
        <w:t xml:space="preserve">R9 图书定位盘点与防盗。需求上部署 RFID 盘点能力，实现错架检测与在架查找，冯银花的 RFID 报错系统对放错书格的读者作出提醒[14]；通过出入通道的图书检测与门禁联动，对未办理借阅手续的图书离馆行为报警[12]；支持按周期的自动盘点，输出盘亏、盘盈报告。</w:t>
      </w:r>
    </w:p>
    <w:p>
      <w:pPr>
        <w:pStyle w:val="BulletItem"/>
        <w:numPr>
          <w:ilvl w:val="0"/>
          <w:numId w:val="1"/>
        </w:numPr>
      </w:pPr>
      <w:r>
        <w:t xml:space="preserve">R10 安防监控与智能预警。需求上实现公共区域视频监控全覆盖、重点部位可回看；对异常行为作智能分析并自动报警，大兴的“24 小时书房监控中心”模式提供了成熟参考[10]；配置紧急求助装置，求助信号直达远程值守端[10]；烟感等消防设备按规范接入并联动。</w:t>
      </w:r>
    </w:p>
    <w:p>
      <w:pPr>
        <w:pStyle w:val="BulletItem"/>
        <w:numPr>
          <w:ilvl w:val="0"/>
          <w:numId w:val="1"/>
        </w:numPr>
      </w:pPr>
      <w:r>
        <w:t xml:space="preserve">R11 环境与设备管理。灯光按读者位置与人数自动调节，温度随人流联动控制，无人在馆时自动进入节能状态[13]；空调、照明、网络、自助终端等设备运行状态集中监测，故障自动上报，能耗数据可统计。</w:t>
      </w:r>
    </w:p>
    <w:p>
      <w:pPr>
        <w:pStyle w:val="BulletItem"/>
        <w:numPr>
          <w:ilvl w:val="0"/>
          <w:numId w:val="1"/>
        </w:numPr>
      </w:pPr>
      <w:r>
        <w:t xml:space="preserve">R12 后台管理与数据决策。需求上提供借还量、流通率、热门图书、在馆人数、设备在线率、故障记录等运行报表；数据反哺业务，用于选址评估、配书调整与开放时段优化，大兴以实时统计数据“及时调整服务措施或补充、更新馆藏配备”的做法即属此类[10]；数据字段与接口遵循统一标准，回应行业“缺乏标准统一的数据格式、技术接口、业务流程”的问题[8]。</w:t>
      </w:r>
    </w:p>
    <w:p>
      <w:pPr>
        <w:pStyle w:val="BulletItem"/>
        <w:numPr>
          <w:ilvl w:val="0"/>
          <w:numId w:val="1"/>
        </w:numPr>
      </w:pPr>
      <w:r>
        <w:t xml:space="preserve">R13 系统集成与接口。需求上完成与馆内业务系统的对接（书目数据、流通系统、读者库），实现统一检索与通借通还；预留与城市侧平台的接口（文旅数据、客流监测、应急指挥）；支持信用借还等扩展应用，台州“和合 e 书吧”已将信用借还、码上办证等纳入服务[11]。</w:t>
      </w:r>
    </w:p>
    <w:p>
      <w:pPr>
        <w:pStyle w:val="Heading2"/>
      </w:pPr>
      <w:r>
        <w:t xml:space="preserve">（三）空间与布点需求</w:t>
      </w:r>
    </w:p>
    <w:p>
      <w:pPr>
        <w:pStyle w:val="BulletItem"/>
        <w:numPr>
          <w:ilvl w:val="0"/>
          <w:numId w:val="1"/>
        </w:numPr>
      </w:pPr>
      <w:r>
        <w:t xml:space="preserve">R14 选址与覆盖。布点应优先嵌入人口密集、使用频度高的场景。浙江省地方标准《城市书房服务规范》（DB33/T 2181-2019）提出选址参考值，服务半径不大于 1.5 公里、或服务人口不少于 5000 人[7]；台州的布点规划综合考虑人口密度、与中心馆及分馆距离、日均人流量、环境设施、用户特征与交通便利等因素[11]；启东采用“书房＋公园”的组合，把点位放进滨河公园入口[18]。</w:t>
      </w:r>
    </w:p>
    <w:p>
      <w:pPr>
        <w:pStyle w:val="BulletItem"/>
        <w:numPr>
          <w:ilvl w:val="0"/>
          <w:numId w:val="1"/>
        </w:numPr>
      </w:pPr>
      <w:r>
        <w:t xml:space="preserve">R15 空间规模与功能分区。参考浙江省标准，城市书房总建筑面积不少于 100 平方米、阅览座席不少于 15 座，藏书量按 3000 册、10000 册、15000 册分档配置[7]。功能上至少划分自助服务区与阅览自习区，有条件的增设少儿区、活动区；落实适老与无障碍要求，条例明确全民阅读设施应当“考虑老年人阅读需求和特点”，并“支持全民阅读无障碍设施建设”[1]。</w:t>
      </w:r>
    </w:p>
    <w:p>
      <w:pPr>
        <w:pStyle w:val="BulletItem"/>
        <w:numPr>
          <w:ilvl w:val="0"/>
          <w:numId w:val="1"/>
        </w:numPr>
      </w:pPr>
      <w:r>
        <w:t xml:space="preserve">R16 开放时间与空间秩序。开放时间结合客群特征确定 7×24 小时或延时方案，并按条例要求公示[1]；夜间人流较少时，可参考“不必整个图书馆都开，划出部分空间 24 小时开放就可以”的成本效益思路控制开放范围[9]；配套在馆人数监测与秩序管理机制。</w:t>
      </w:r>
    </w:p>
    <w:p>
      <w:pPr>
        <w:pStyle w:val="Heading2"/>
      </w:pPr>
      <w:r>
        <w:t xml:space="preserve">（四）非功能需求</w:t>
      </w:r>
    </w:p>
    <w:p>
      <w:pPr>
        <w:pStyle w:val="BulletItem"/>
        <w:numPr>
          <w:ilvl w:val="0"/>
          <w:numId w:val="1"/>
        </w:numPr>
      </w:pPr>
      <w:r>
        <w:t xml:space="preserve">R17 安全与应急。落实安全管理制度与安全保护设备、人员的配备要求[1]；覆盖消防、治安、设备安全三类风险，制定应急预案并定期演练；视频资料按规定留存，突发事件支持远程喊话与联动处置。</w:t>
      </w:r>
    </w:p>
    <w:p>
      <w:pPr>
        <w:pStyle w:val="BulletItem"/>
        <w:numPr>
          <w:ilvl w:val="0"/>
          <w:numId w:val="1"/>
        </w:numPr>
      </w:pPr>
      <w:r>
        <w:t xml:space="preserve">R18 可靠性与远程运维。设备与系统需全年可用，出现故障能第一时间被发现并处置；建立远程优先、现场兜底的响应机制，现场响应时限可参考台州“24 小时内故障设备派员现场维修应急机制”[11]；断网等异常工况下，自助终端具备本地缓存与事后补传能力，不影响读者当天使用。</w:t>
      </w:r>
    </w:p>
    <w:p>
      <w:pPr>
        <w:pStyle w:val="BulletItem"/>
        <w:numPr>
          <w:ilvl w:val="0"/>
          <w:numId w:val="1"/>
        </w:numPr>
      </w:pPr>
      <w:r>
        <w:t xml:space="preserve">R19 数据与隐私合规。人脸等个人生物识别信息的采集须单独告知并取得同意，遵循最小必要范围；视频、借阅与行为数据分级管理，访问留痕；明确各类数据的留存期限与超期删除机制。相关处理遵循《中华人民共和国个人信息保护法》等法律法规要求。</w:t>
      </w:r>
    </w:p>
    <w:p>
      <w:pPr>
        <w:pStyle w:val="BulletItem"/>
        <w:numPr>
          <w:ilvl w:val="0"/>
          <w:numId w:val="1"/>
        </w:numPr>
      </w:pPr>
      <w:r>
        <w:t xml:space="preserve">R20 可扩展性。系统采用模块化设计，功能与设备接入以标准接口方式扩展；预留座位预约、活动管理、多馆协同等后续功能，以及向城市级文化平台汇聚数据的通道。</w:t>
      </w:r>
    </w:p>
    <w:p>
      <w:pPr>
        <w:pStyle w:val="Heading2"/>
      </w:pPr>
      <w:r>
        <w:t xml:space="preserve">（五）需求优先级</w:t>
      </w:r>
    </w:p>
    <w:p>
      <w:pPr>
        <w:pStyle w:val="LeftBody"/>
      </w:pPr>
      <w:r>
        <w:t xml:space="preserve">二十条需求按实施节奏分为两层。基础层覆盖“能开门、能借还、保安全、可运维”的底线能力，包括 R1、R2、R3、R4、R6、R7、R9、R10、R12、R14、R15、R17、R18、R19，建议在项目一期完成。提升层用于提高服务品质与运营效率，包括 R5、R8、R11、R13、R16、R20；其中自动分拣（R8）宜在还书量达到一定规模后部署，环境联动（R11）与信用借还等集成功能（R13）可结合预算分步实施。</w:t>
      </w:r>
    </w:p>
    <w:p>
      <w:pPr>
        <w:pStyle w:val="Heading1"/>
      </w:pPr>
      <w:r>
        <w:t xml:space="preserve">四、需求汇总与建设目标</w:t>
      </w:r>
    </w:p>
    <w:p>
      <w:pPr>
        <w:pStyle w:val="Heading2"/>
      </w:pPr>
      <w:r>
        <w:t xml:space="preserve">（一）需求矩阵</w:t>
      </w:r>
    </w:p>
    <w:p>
      <w:r>
        <w:t xml:space="preserve">前述二十条需求与六类缺口的对应关系汇总如下，作为后续方案设计、任务分解与验收检查的索引。</w:t>
      </w:r>
    </w:p>
    <w:tbl>
      <w:tblPr>
        <w:tblW w:w="9070" w:type="dxa"/>
        <w:tblInd w:w="0" w:type="dxa"/>
        <w:tblBorders>
          <w:top w:val="single" w:color="000000" w:sz="12"/>
          <w:left w:val="nil"/>
          <w:bottom w:val="single" w:color="000000" w:sz="12"/>
          <w:right w:val="nil"/>
          <w:insideH w:val="nil"/>
          <w:insideV w:val="nil"/>
        </w:tblBorders>
        <w:tblLayout w:type="fixed"/>
        <w:tblCellMar>
          <w:top w:w="60" w:type="dxa"/>
          <w:left w:w="100" w:type="dxa"/>
          <w:bottom w:w="60" w:type="dxa"/>
          <w:right w:w="100" w:type="dxa"/>
        </w:tblCellMar>
      </w:tblPr>
      <w:tblGrid>
        <w:gridCol w:w="1000"/>
        <w:gridCol w:w="3000"/>
        <w:gridCol w:w="1600"/>
        <w:gridCol w:w="1300"/>
        <w:gridCol w:w="2170"/>
      </w:tblGrid>
      <w:tr>
        <w:trPr>
          <w:tblHeader/>
        </w:trPr>
        <w:tc>
          <w:tcPr>
            <w:tcW w:w="1000" w:type="dxa"/>
            <w:tcBorders>
              <w:bottom w:val="single" w:color="000000" w:sz="6"/>
            </w:tcBorders>
            <w:vAlign w:val="center"/>
          </w:tcPr>
          <w:p>
            <w:pPr>
              <w:spacing w:before="20" w:after="20" w:line="280" w:lineRule="auto"/>
              <w:ind w:firstLine="0" w:firstLineChars="0"/>
              <w:jc w:val="center"/>
            </w:pPr>
            <w:r>
              <w:rPr>
                <w:rFonts w:ascii="Times New Roman" w:hAnsi="Times New Roman" w:eastAsia="SimSun"/>
                <w:b/>
                <w:sz w:val="21"/>
                <w:szCs w:val="21"/>
              </w:rPr>
              <w:t xml:space="preserve">编号</w:t>
            </w:r>
          </w:p>
        </w:tc>
        <w:tc>
          <w:tcPr>
            <w:tcW w:w="3000" w:type="dxa"/>
            <w:tcBorders>
              <w:bottom w:val="single" w:color="000000" w:sz="6"/>
            </w:tcBorders>
            <w:vAlign w:val="center"/>
          </w:tcPr>
          <w:p>
            <w:pPr>
              <w:spacing w:before="20" w:after="20" w:line="280" w:lineRule="auto"/>
              <w:ind w:firstLine="0" w:firstLineChars="0"/>
              <w:jc w:val="center"/>
            </w:pPr>
            <w:r>
              <w:rPr>
                <w:rFonts w:ascii="Times New Roman" w:hAnsi="Times New Roman" w:eastAsia="SimSun"/>
                <w:b/>
                <w:sz w:val="21"/>
                <w:szCs w:val="21"/>
              </w:rPr>
              <w:t xml:space="preserve">需求项</w:t>
            </w:r>
          </w:p>
        </w:tc>
        <w:tc>
          <w:tcPr>
            <w:tcW w:w="1600" w:type="dxa"/>
            <w:tcBorders>
              <w:bottom w:val="single" w:color="000000" w:sz="6"/>
            </w:tcBorders>
            <w:vAlign w:val="center"/>
          </w:tcPr>
          <w:p>
            <w:pPr>
              <w:spacing w:before="20" w:after="20" w:line="280" w:lineRule="auto"/>
              <w:ind w:firstLine="0" w:firstLineChars="0"/>
              <w:jc w:val="center"/>
            </w:pPr>
            <w:r>
              <w:rPr>
                <w:rFonts w:ascii="Times New Roman" w:hAnsi="Times New Roman" w:eastAsia="SimSun"/>
                <w:b/>
                <w:sz w:val="21"/>
                <w:szCs w:val="21"/>
              </w:rPr>
              <w:t xml:space="preserve">来源缺口</w:t>
            </w:r>
          </w:p>
        </w:tc>
        <w:tc>
          <w:tcPr>
            <w:tcW w:w="1300" w:type="dxa"/>
            <w:tcBorders>
              <w:bottom w:val="single" w:color="000000" w:sz="6"/>
            </w:tcBorders>
            <w:vAlign w:val="center"/>
          </w:tcPr>
          <w:p>
            <w:pPr>
              <w:spacing w:before="20" w:after="20" w:line="280" w:lineRule="auto"/>
              <w:ind w:firstLine="0" w:firstLineChars="0"/>
              <w:jc w:val="center"/>
            </w:pPr>
            <w:r>
              <w:rPr>
                <w:rFonts w:ascii="Times New Roman" w:hAnsi="Times New Roman" w:eastAsia="SimSun"/>
                <w:b/>
                <w:sz w:val="21"/>
                <w:szCs w:val="21"/>
              </w:rPr>
              <w:t xml:space="preserve">类别</w:t>
            </w:r>
          </w:p>
        </w:tc>
        <w:tc>
          <w:tcPr>
            <w:tcW w:w="2170" w:type="dxa"/>
            <w:tcBorders>
              <w:bottom w:val="single" w:color="000000" w:sz="6"/>
            </w:tcBorders>
            <w:vAlign w:val="center"/>
          </w:tcPr>
          <w:p>
            <w:pPr>
              <w:spacing w:before="20" w:after="20" w:line="280" w:lineRule="auto"/>
              <w:ind w:firstLine="0" w:firstLineChars="0"/>
              <w:jc w:val="center"/>
            </w:pPr>
            <w:r>
              <w:rPr>
                <w:rFonts w:ascii="Times New Roman" w:hAnsi="Times New Roman" w:eastAsia="SimSun"/>
                <w:b/>
                <w:sz w:val="21"/>
                <w:szCs w:val="21"/>
              </w:rPr>
              <w:t xml:space="preserve">优先级</w:t>
            </w:r>
          </w:p>
        </w:tc>
      </w:tr>
      <w:tr>
        <w:trPr/>
        <w:tc>
          <w:tcPr>
            <w:tcW w:w="1000" w:type="dxa"/>
            <w:vAlign w:val="center"/>
          </w:tcPr>
          <w:p>
            <w:pPr>
              <w:spacing w:before="20" w:after="20" w:line="280" w:lineRule="auto"/>
              <w:ind w:firstLine="0" w:firstLineChars="0"/>
              <w:jc w:val="center"/>
            </w:pPr>
            <w:r>
              <w:rPr>
                <w:rFonts w:ascii="Times New Roman" w:hAnsi="Times New Roman" w:eastAsia="SimSun"/>
                <w:sz w:val="21"/>
                <w:szCs w:val="21"/>
              </w:rPr>
              <w:t xml:space="preserve">R1</w:t>
            </w:r>
          </w:p>
        </w:tc>
        <w:tc>
          <w:tcPr>
            <w:tcW w:w="3000" w:type="dxa"/>
            <w:vAlign w:val="center"/>
          </w:tcPr>
          <w:p>
            <w:pPr>
              <w:spacing w:before="20" w:after="20" w:line="280" w:lineRule="auto"/>
              <w:ind w:firstLine="0" w:firstLineChars="0"/>
              <w:jc w:val="left"/>
            </w:pPr>
            <w:r>
              <w:rPr>
                <w:rFonts w:ascii="Times New Roman" w:hAnsi="Times New Roman" w:eastAsia="SimSun"/>
                <w:sz w:val="21"/>
                <w:szCs w:val="21"/>
              </w:rPr>
              <w:t xml:space="preserve">馆藏调配与物流配送</w:t>
            </w:r>
          </w:p>
        </w:tc>
        <w:tc>
          <w:tcPr>
            <w:tcW w:w="1600" w:type="dxa"/>
            <w:vAlign w:val="center"/>
          </w:tcPr>
          <w:p>
            <w:pPr>
              <w:spacing w:before="20" w:after="20" w:line="280" w:lineRule="auto"/>
              <w:ind w:firstLine="0" w:firstLineChars="0"/>
              <w:jc w:val="left"/>
            </w:pPr>
            <w:r>
              <w:rPr>
                <w:rFonts w:ascii="Times New Roman" w:hAnsi="Times New Roman" w:eastAsia="SimSun"/>
                <w:sz w:val="21"/>
                <w:szCs w:val="21"/>
              </w:rPr>
              <w:t xml:space="preserve">G2、G3</w:t>
            </w:r>
          </w:p>
        </w:tc>
        <w:tc>
          <w:tcPr>
            <w:tcW w:w="1300" w:type="dxa"/>
            <w:vAlign w:val="center"/>
          </w:tcPr>
          <w:p>
            <w:pPr>
              <w:spacing w:before="20" w:after="20" w:line="280" w:lineRule="auto"/>
              <w:ind w:firstLine="0" w:firstLineChars="0"/>
              <w:jc w:val="left"/>
            </w:pPr>
            <w:r>
              <w:rPr>
                <w:rFonts w:ascii="Times New Roman" w:hAnsi="Times New Roman" w:eastAsia="SimSun"/>
                <w:sz w:val="21"/>
                <w:szCs w:val="21"/>
              </w:rPr>
              <w:t xml:space="preserve">运营</w:t>
            </w:r>
          </w:p>
        </w:tc>
        <w:tc>
          <w:tcPr>
            <w:tcW w:w="2170" w:type="dxa"/>
            <w:vAlign w:val="center"/>
          </w:tcPr>
          <w:p>
            <w:pPr>
              <w:spacing w:before="20" w:after="20" w:line="280" w:lineRule="auto"/>
              <w:ind w:firstLine="0" w:firstLineChars="0"/>
              <w:jc w:val="left"/>
            </w:pPr>
            <w:r>
              <w:rPr>
                <w:rFonts w:ascii="Times New Roman" w:hAnsi="Times New Roman" w:eastAsia="SimSun"/>
                <w:sz w:val="21"/>
                <w:szCs w:val="21"/>
              </w:rPr>
              <w:t xml:space="preserve">基础层</w:t>
            </w:r>
          </w:p>
        </w:tc>
      </w:tr>
      <w:tr>
        <w:trPr/>
        <w:tc>
          <w:tcPr>
            <w:tcW w:w="1000" w:type="dxa"/>
            <w:vAlign w:val="center"/>
          </w:tcPr>
          <w:p>
            <w:pPr>
              <w:spacing w:before="20" w:after="20" w:line="280" w:lineRule="auto"/>
              <w:ind w:firstLine="0" w:firstLineChars="0"/>
              <w:jc w:val="center"/>
            </w:pPr>
            <w:r>
              <w:rPr>
                <w:rFonts w:ascii="Times New Roman" w:hAnsi="Times New Roman" w:eastAsia="SimSun"/>
                <w:sz w:val="21"/>
                <w:szCs w:val="21"/>
              </w:rPr>
              <w:t xml:space="preserve">R2</w:t>
            </w:r>
          </w:p>
        </w:tc>
        <w:tc>
          <w:tcPr>
            <w:tcW w:w="3000" w:type="dxa"/>
            <w:vAlign w:val="center"/>
          </w:tcPr>
          <w:p>
            <w:pPr>
              <w:spacing w:before="20" w:after="20" w:line="280" w:lineRule="auto"/>
              <w:ind w:firstLine="0" w:firstLineChars="0"/>
              <w:jc w:val="left"/>
            </w:pPr>
            <w:r>
              <w:rPr>
                <w:rFonts w:ascii="Times New Roman" w:hAnsi="Times New Roman" w:eastAsia="SimSun"/>
                <w:sz w:val="21"/>
                <w:szCs w:val="21"/>
              </w:rPr>
              <w:t xml:space="preserve">图书消毒与上架整理</w:t>
            </w:r>
          </w:p>
        </w:tc>
        <w:tc>
          <w:tcPr>
            <w:tcW w:w="1600" w:type="dxa"/>
            <w:vAlign w:val="center"/>
          </w:tcPr>
          <w:p>
            <w:pPr>
              <w:spacing w:before="20" w:after="20" w:line="280" w:lineRule="auto"/>
              <w:ind w:firstLine="0" w:firstLineChars="0"/>
              <w:jc w:val="left"/>
            </w:pPr>
            <w:r>
              <w:rPr>
                <w:rFonts w:ascii="Times New Roman" w:hAnsi="Times New Roman" w:eastAsia="SimSun"/>
                <w:sz w:val="21"/>
                <w:szCs w:val="21"/>
              </w:rPr>
              <w:t xml:space="preserve">G2、G3</w:t>
            </w:r>
          </w:p>
        </w:tc>
        <w:tc>
          <w:tcPr>
            <w:tcW w:w="1300" w:type="dxa"/>
            <w:vAlign w:val="center"/>
          </w:tcPr>
          <w:p>
            <w:pPr>
              <w:spacing w:before="20" w:after="20" w:line="280" w:lineRule="auto"/>
              <w:ind w:firstLine="0" w:firstLineChars="0"/>
              <w:jc w:val="left"/>
            </w:pPr>
            <w:r>
              <w:rPr>
                <w:rFonts w:ascii="Times New Roman" w:hAnsi="Times New Roman" w:eastAsia="SimSun"/>
                <w:sz w:val="21"/>
                <w:szCs w:val="21"/>
              </w:rPr>
              <w:t xml:space="preserve">运营</w:t>
            </w:r>
          </w:p>
        </w:tc>
        <w:tc>
          <w:tcPr>
            <w:tcW w:w="2170" w:type="dxa"/>
            <w:vAlign w:val="center"/>
          </w:tcPr>
          <w:p>
            <w:pPr>
              <w:spacing w:before="20" w:after="20" w:line="280" w:lineRule="auto"/>
              <w:ind w:firstLine="0" w:firstLineChars="0"/>
              <w:jc w:val="left"/>
            </w:pPr>
            <w:r>
              <w:rPr>
                <w:rFonts w:ascii="Times New Roman" w:hAnsi="Times New Roman" w:eastAsia="SimSun"/>
                <w:sz w:val="21"/>
                <w:szCs w:val="21"/>
              </w:rPr>
              <w:t xml:space="preserve">基础层</w:t>
            </w:r>
          </w:p>
        </w:tc>
      </w:tr>
      <w:tr>
        <w:trPr/>
        <w:tc>
          <w:tcPr>
            <w:tcW w:w="1000" w:type="dxa"/>
            <w:vAlign w:val="center"/>
          </w:tcPr>
          <w:p>
            <w:pPr>
              <w:spacing w:before="20" w:after="20" w:line="280" w:lineRule="auto"/>
              <w:ind w:firstLine="0" w:firstLineChars="0"/>
              <w:jc w:val="center"/>
            </w:pPr>
            <w:r>
              <w:rPr>
                <w:rFonts w:ascii="Times New Roman" w:hAnsi="Times New Roman" w:eastAsia="SimSun"/>
                <w:sz w:val="21"/>
                <w:szCs w:val="21"/>
              </w:rPr>
              <w:t xml:space="preserve">R3</w:t>
            </w:r>
          </w:p>
        </w:tc>
        <w:tc>
          <w:tcPr>
            <w:tcW w:w="3000" w:type="dxa"/>
            <w:vAlign w:val="center"/>
          </w:tcPr>
          <w:p>
            <w:pPr>
              <w:spacing w:before="20" w:after="20" w:line="280" w:lineRule="auto"/>
              <w:ind w:firstLine="0" w:firstLineChars="0"/>
              <w:jc w:val="left"/>
            </w:pPr>
            <w:r>
              <w:rPr>
                <w:rFonts w:ascii="Times New Roman" w:hAnsi="Times New Roman" w:eastAsia="SimSun"/>
                <w:sz w:val="21"/>
                <w:szCs w:val="21"/>
              </w:rPr>
              <w:t xml:space="preserve">人力配置与成本核算</w:t>
            </w:r>
          </w:p>
        </w:tc>
        <w:tc>
          <w:tcPr>
            <w:tcW w:w="1600" w:type="dxa"/>
            <w:vAlign w:val="center"/>
          </w:tcPr>
          <w:p>
            <w:pPr>
              <w:spacing w:before="20" w:after="20" w:line="280" w:lineRule="auto"/>
              <w:ind w:firstLine="0" w:firstLineChars="0"/>
              <w:jc w:val="left"/>
            </w:pPr>
            <w:r>
              <w:rPr>
                <w:rFonts w:ascii="Times New Roman" w:hAnsi="Times New Roman" w:eastAsia="SimSun"/>
                <w:sz w:val="21"/>
                <w:szCs w:val="21"/>
              </w:rPr>
              <w:t xml:space="preserve">G2、G5</w:t>
            </w:r>
          </w:p>
        </w:tc>
        <w:tc>
          <w:tcPr>
            <w:tcW w:w="1300" w:type="dxa"/>
            <w:vAlign w:val="center"/>
          </w:tcPr>
          <w:p>
            <w:pPr>
              <w:spacing w:before="20" w:after="20" w:line="280" w:lineRule="auto"/>
              <w:ind w:firstLine="0" w:firstLineChars="0"/>
              <w:jc w:val="left"/>
            </w:pPr>
            <w:r>
              <w:rPr>
                <w:rFonts w:ascii="Times New Roman" w:hAnsi="Times New Roman" w:eastAsia="SimSun"/>
                <w:sz w:val="21"/>
                <w:szCs w:val="21"/>
              </w:rPr>
              <w:t xml:space="preserve">运营</w:t>
            </w:r>
          </w:p>
        </w:tc>
        <w:tc>
          <w:tcPr>
            <w:tcW w:w="2170" w:type="dxa"/>
            <w:vAlign w:val="center"/>
          </w:tcPr>
          <w:p>
            <w:pPr>
              <w:spacing w:before="20" w:after="20" w:line="280" w:lineRule="auto"/>
              <w:ind w:firstLine="0" w:firstLineChars="0"/>
              <w:jc w:val="left"/>
            </w:pPr>
            <w:r>
              <w:rPr>
                <w:rFonts w:ascii="Times New Roman" w:hAnsi="Times New Roman" w:eastAsia="SimSun"/>
                <w:sz w:val="21"/>
                <w:szCs w:val="21"/>
              </w:rPr>
              <w:t xml:space="preserve">基础层</w:t>
            </w:r>
          </w:p>
        </w:tc>
      </w:tr>
      <w:tr>
        <w:trPr/>
        <w:tc>
          <w:tcPr>
            <w:tcW w:w="1000" w:type="dxa"/>
            <w:vAlign w:val="center"/>
          </w:tcPr>
          <w:p>
            <w:pPr>
              <w:spacing w:before="20" w:after="20" w:line="280" w:lineRule="auto"/>
              <w:ind w:firstLine="0" w:firstLineChars="0"/>
              <w:jc w:val="center"/>
            </w:pPr>
            <w:r>
              <w:rPr>
                <w:rFonts w:ascii="Times New Roman" w:hAnsi="Times New Roman" w:eastAsia="SimSun"/>
                <w:sz w:val="21"/>
                <w:szCs w:val="21"/>
              </w:rPr>
              <w:t xml:space="preserve">R4</w:t>
            </w:r>
          </w:p>
        </w:tc>
        <w:tc>
          <w:tcPr>
            <w:tcW w:w="3000" w:type="dxa"/>
            <w:vAlign w:val="center"/>
          </w:tcPr>
          <w:p>
            <w:pPr>
              <w:spacing w:before="20" w:after="20" w:line="280" w:lineRule="auto"/>
              <w:ind w:firstLine="0" w:firstLineChars="0"/>
              <w:jc w:val="left"/>
            </w:pPr>
            <w:r>
              <w:rPr>
                <w:rFonts w:ascii="Times New Roman" w:hAnsi="Times New Roman" w:eastAsia="SimSun"/>
                <w:sz w:val="21"/>
                <w:szCs w:val="21"/>
              </w:rPr>
              <w:t xml:space="preserve">运营协同与考核</w:t>
            </w:r>
          </w:p>
        </w:tc>
        <w:tc>
          <w:tcPr>
            <w:tcW w:w="1600" w:type="dxa"/>
            <w:vAlign w:val="center"/>
          </w:tcPr>
          <w:p>
            <w:pPr>
              <w:spacing w:before="20" w:after="20" w:line="280" w:lineRule="auto"/>
              <w:ind w:firstLine="0" w:firstLineChars="0"/>
              <w:jc w:val="left"/>
            </w:pPr>
            <w:r>
              <w:rPr>
                <w:rFonts w:ascii="Times New Roman" w:hAnsi="Times New Roman" w:eastAsia="SimSun"/>
                <w:sz w:val="21"/>
                <w:szCs w:val="21"/>
              </w:rPr>
              <w:t xml:space="preserve">G2、G5</w:t>
            </w:r>
          </w:p>
        </w:tc>
        <w:tc>
          <w:tcPr>
            <w:tcW w:w="1300" w:type="dxa"/>
            <w:vAlign w:val="center"/>
          </w:tcPr>
          <w:p>
            <w:pPr>
              <w:spacing w:before="20" w:after="20" w:line="280" w:lineRule="auto"/>
              <w:ind w:firstLine="0" w:firstLineChars="0"/>
              <w:jc w:val="left"/>
            </w:pPr>
            <w:r>
              <w:rPr>
                <w:rFonts w:ascii="Times New Roman" w:hAnsi="Times New Roman" w:eastAsia="SimSun"/>
                <w:sz w:val="21"/>
                <w:szCs w:val="21"/>
              </w:rPr>
              <w:t xml:space="preserve">运营</w:t>
            </w:r>
          </w:p>
        </w:tc>
        <w:tc>
          <w:tcPr>
            <w:tcW w:w="2170" w:type="dxa"/>
            <w:vAlign w:val="center"/>
          </w:tcPr>
          <w:p>
            <w:pPr>
              <w:spacing w:before="20" w:after="20" w:line="280" w:lineRule="auto"/>
              <w:ind w:firstLine="0" w:firstLineChars="0"/>
              <w:jc w:val="left"/>
            </w:pPr>
            <w:r>
              <w:rPr>
                <w:rFonts w:ascii="Times New Roman" w:hAnsi="Times New Roman" w:eastAsia="SimSun"/>
                <w:sz w:val="21"/>
                <w:szCs w:val="21"/>
              </w:rPr>
              <w:t xml:space="preserve">基础层</w:t>
            </w:r>
          </w:p>
        </w:tc>
      </w:tr>
      <w:tr>
        <w:trPr/>
        <w:tc>
          <w:tcPr>
            <w:tcW w:w="1000" w:type="dxa"/>
            <w:vAlign w:val="center"/>
          </w:tcPr>
          <w:p>
            <w:pPr>
              <w:spacing w:before="20" w:after="20" w:line="280" w:lineRule="auto"/>
              <w:ind w:firstLine="0" w:firstLineChars="0"/>
              <w:jc w:val="center"/>
            </w:pPr>
            <w:r>
              <w:rPr>
                <w:rFonts w:ascii="Times New Roman" w:hAnsi="Times New Roman" w:eastAsia="SimSun"/>
                <w:sz w:val="21"/>
                <w:szCs w:val="21"/>
              </w:rPr>
              <w:t xml:space="preserve">R5</w:t>
            </w:r>
          </w:p>
        </w:tc>
        <w:tc>
          <w:tcPr>
            <w:tcW w:w="3000" w:type="dxa"/>
            <w:vAlign w:val="center"/>
          </w:tcPr>
          <w:p>
            <w:pPr>
              <w:spacing w:before="20" w:after="20" w:line="280" w:lineRule="auto"/>
              <w:ind w:firstLine="0" w:firstLineChars="0"/>
              <w:jc w:val="left"/>
            </w:pPr>
            <w:r>
              <w:rPr>
                <w:rFonts w:ascii="Times New Roman" w:hAnsi="Times New Roman" w:eastAsia="SimSun"/>
                <w:sz w:val="21"/>
                <w:szCs w:val="21"/>
              </w:rPr>
              <w:t xml:space="preserve">阅读活动与读者服务</w:t>
            </w:r>
          </w:p>
        </w:tc>
        <w:tc>
          <w:tcPr>
            <w:tcW w:w="1600" w:type="dxa"/>
            <w:vAlign w:val="center"/>
          </w:tcPr>
          <w:p>
            <w:pPr>
              <w:spacing w:before="20" w:after="20" w:line="280" w:lineRule="auto"/>
              <w:ind w:firstLine="0" w:firstLineChars="0"/>
              <w:jc w:val="left"/>
            </w:pPr>
            <w:r>
              <w:rPr>
                <w:rFonts w:ascii="Times New Roman" w:hAnsi="Times New Roman" w:eastAsia="SimSun"/>
                <w:sz w:val="21"/>
                <w:szCs w:val="21"/>
              </w:rPr>
              <w:t xml:space="preserve">G6</w:t>
            </w:r>
          </w:p>
        </w:tc>
        <w:tc>
          <w:tcPr>
            <w:tcW w:w="1300" w:type="dxa"/>
            <w:vAlign w:val="center"/>
          </w:tcPr>
          <w:p>
            <w:pPr>
              <w:spacing w:before="20" w:after="20" w:line="280" w:lineRule="auto"/>
              <w:ind w:firstLine="0" w:firstLineChars="0"/>
              <w:jc w:val="left"/>
            </w:pPr>
            <w:r>
              <w:rPr>
                <w:rFonts w:ascii="Times New Roman" w:hAnsi="Times New Roman" w:eastAsia="SimSun"/>
                <w:sz w:val="21"/>
                <w:szCs w:val="21"/>
              </w:rPr>
              <w:t xml:space="preserve">运营</w:t>
            </w:r>
          </w:p>
        </w:tc>
        <w:tc>
          <w:tcPr>
            <w:tcW w:w="2170" w:type="dxa"/>
            <w:vAlign w:val="center"/>
          </w:tcPr>
          <w:p>
            <w:pPr>
              <w:spacing w:before="20" w:after="20" w:line="280" w:lineRule="auto"/>
              <w:ind w:firstLine="0" w:firstLineChars="0"/>
              <w:jc w:val="left"/>
            </w:pPr>
            <w:r>
              <w:rPr>
                <w:rFonts w:ascii="Times New Roman" w:hAnsi="Times New Roman" w:eastAsia="SimSun"/>
                <w:sz w:val="21"/>
                <w:szCs w:val="21"/>
              </w:rPr>
              <w:t xml:space="preserve">提升层</w:t>
            </w:r>
          </w:p>
        </w:tc>
      </w:tr>
      <w:tr>
        <w:trPr/>
        <w:tc>
          <w:tcPr>
            <w:tcW w:w="1000" w:type="dxa"/>
            <w:vAlign w:val="center"/>
          </w:tcPr>
          <w:p>
            <w:pPr>
              <w:spacing w:before="20" w:after="20" w:line="280" w:lineRule="auto"/>
              <w:ind w:firstLine="0" w:firstLineChars="0"/>
              <w:jc w:val="center"/>
            </w:pPr>
            <w:r>
              <w:rPr>
                <w:rFonts w:ascii="Times New Roman" w:hAnsi="Times New Roman" w:eastAsia="SimSun"/>
                <w:sz w:val="21"/>
                <w:szCs w:val="21"/>
              </w:rPr>
              <w:t xml:space="preserve">R6</w:t>
            </w:r>
          </w:p>
        </w:tc>
        <w:tc>
          <w:tcPr>
            <w:tcW w:w="3000" w:type="dxa"/>
            <w:vAlign w:val="center"/>
          </w:tcPr>
          <w:p>
            <w:pPr>
              <w:spacing w:before="20" w:after="20" w:line="280" w:lineRule="auto"/>
              <w:ind w:firstLine="0" w:firstLineChars="0"/>
              <w:jc w:val="left"/>
            </w:pPr>
            <w:r>
              <w:rPr>
                <w:rFonts w:ascii="Times New Roman" w:hAnsi="Times New Roman" w:eastAsia="SimSun"/>
                <w:sz w:val="21"/>
                <w:szCs w:val="21"/>
              </w:rPr>
              <w:t xml:space="preserve">身份核验与门禁管理</w:t>
            </w:r>
          </w:p>
        </w:tc>
        <w:tc>
          <w:tcPr>
            <w:tcW w:w="1600" w:type="dxa"/>
            <w:vAlign w:val="center"/>
          </w:tcPr>
          <w:p>
            <w:pPr>
              <w:spacing w:before="20" w:after="20" w:line="280" w:lineRule="auto"/>
              <w:ind w:firstLine="0" w:firstLineChars="0"/>
              <w:jc w:val="left"/>
            </w:pPr>
            <w:r>
              <w:rPr>
                <w:rFonts w:ascii="Times New Roman" w:hAnsi="Times New Roman" w:eastAsia="SimSun"/>
                <w:sz w:val="21"/>
                <w:szCs w:val="21"/>
              </w:rPr>
              <w:t xml:space="preserve">G1、G4</w:t>
            </w:r>
          </w:p>
        </w:tc>
        <w:tc>
          <w:tcPr>
            <w:tcW w:w="1300" w:type="dxa"/>
            <w:vAlign w:val="center"/>
          </w:tcPr>
          <w:p>
            <w:pPr>
              <w:spacing w:before="20" w:after="20" w:line="280" w:lineRule="auto"/>
              <w:ind w:firstLine="0" w:firstLineChars="0"/>
              <w:jc w:val="left"/>
            </w:pPr>
            <w:r>
              <w:rPr>
                <w:rFonts w:ascii="Times New Roman" w:hAnsi="Times New Roman" w:eastAsia="SimSun"/>
                <w:sz w:val="21"/>
                <w:szCs w:val="21"/>
              </w:rPr>
              <w:t xml:space="preserve">系统</w:t>
            </w:r>
          </w:p>
        </w:tc>
        <w:tc>
          <w:tcPr>
            <w:tcW w:w="2170" w:type="dxa"/>
            <w:vAlign w:val="center"/>
          </w:tcPr>
          <w:p>
            <w:pPr>
              <w:spacing w:before="20" w:after="20" w:line="280" w:lineRule="auto"/>
              <w:ind w:firstLine="0" w:firstLineChars="0"/>
              <w:jc w:val="left"/>
            </w:pPr>
            <w:r>
              <w:rPr>
                <w:rFonts w:ascii="Times New Roman" w:hAnsi="Times New Roman" w:eastAsia="SimSun"/>
                <w:sz w:val="21"/>
                <w:szCs w:val="21"/>
              </w:rPr>
              <w:t xml:space="preserve">基础层</w:t>
            </w:r>
          </w:p>
        </w:tc>
      </w:tr>
      <w:tr>
        <w:trPr/>
        <w:tc>
          <w:tcPr>
            <w:tcW w:w="1000" w:type="dxa"/>
            <w:vAlign w:val="center"/>
          </w:tcPr>
          <w:p>
            <w:pPr>
              <w:spacing w:before="20" w:after="20" w:line="280" w:lineRule="auto"/>
              <w:ind w:firstLine="0" w:firstLineChars="0"/>
              <w:jc w:val="center"/>
            </w:pPr>
            <w:r>
              <w:rPr>
                <w:rFonts w:ascii="Times New Roman" w:hAnsi="Times New Roman" w:eastAsia="SimSun"/>
                <w:sz w:val="21"/>
                <w:szCs w:val="21"/>
              </w:rPr>
              <w:t xml:space="preserve">R7</w:t>
            </w:r>
          </w:p>
        </w:tc>
        <w:tc>
          <w:tcPr>
            <w:tcW w:w="3000" w:type="dxa"/>
            <w:vAlign w:val="center"/>
          </w:tcPr>
          <w:p>
            <w:pPr>
              <w:spacing w:before="20" w:after="20" w:line="280" w:lineRule="auto"/>
              <w:ind w:firstLine="0" w:firstLineChars="0"/>
              <w:jc w:val="left"/>
            </w:pPr>
            <w:r>
              <w:rPr>
                <w:rFonts w:ascii="Times New Roman" w:hAnsi="Times New Roman" w:eastAsia="SimSun"/>
                <w:sz w:val="21"/>
                <w:szCs w:val="21"/>
              </w:rPr>
              <w:t xml:space="preserve">自助借还与电子办证</w:t>
            </w:r>
          </w:p>
        </w:tc>
        <w:tc>
          <w:tcPr>
            <w:tcW w:w="1600" w:type="dxa"/>
            <w:vAlign w:val="center"/>
          </w:tcPr>
          <w:p>
            <w:pPr>
              <w:spacing w:before="20" w:after="20" w:line="280" w:lineRule="auto"/>
              <w:ind w:firstLine="0" w:firstLineChars="0"/>
              <w:jc w:val="left"/>
            </w:pPr>
            <w:r>
              <w:rPr>
                <w:rFonts w:ascii="Times New Roman" w:hAnsi="Times New Roman" w:eastAsia="SimSun"/>
                <w:sz w:val="21"/>
                <w:szCs w:val="21"/>
              </w:rPr>
              <w:t xml:space="preserve">G1、G2</w:t>
            </w:r>
          </w:p>
        </w:tc>
        <w:tc>
          <w:tcPr>
            <w:tcW w:w="1300" w:type="dxa"/>
            <w:vAlign w:val="center"/>
          </w:tcPr>
          <w:p>
            <w:pPr>
              <w:spacing w:before="20" w:after="20" w:line="280" w:lineRule="auto"/>
              <w:ind w:firstLine="0" w:firstLineChars="0"/>
              <w:jc w:val="left"/>
            </w:pPr>
            <w:r>
              <w:rPr>
                <w:rFonts w:ascii="Times New Roman" w:hAnsi="Times New Roman" w:eastAsia="SimSun"/>
                <w:sz w:val="21"/>
                <w:szCs w:val="21"/>
              </w:rPr>
              <w:t xml:space="preserve">系统</w:t>
            </w:r>
          </w:p>
        </w:tc>
        <w:tc>
          <w:tcPr>
            <w:tcW w:w="2170" w:type="dxa"/>
            <w:vAlign w:val="center"/>
          </w:tcPr>
          <w:p>
            <w:pPr>
              <w:spacing w:before="20" w:after="20" w:line="280" w:lineRule="auto"/>
              <w:ind w:firstLine="0" w:firstLineChars="0"/>
              <w:jc w:val="left"/>
            </w:pPr>
            <w:r>
              <w:rPr>
                <w:rFonts w:ascii="Times New Roman" w:hAnsi="Times New Roman" w:eastAsia="SimSun"/>
                <w:sz w:val="21"/>
                <w:szCs w:val="21"/>
              </w:rPr>
              <w:t xml:space="preserve">基础层</w:t>
            </w:r>
          </w:p>
        </w:tc>
      </w:tr>
      <w:tr>
        <w:trPr/>
        <w:tc>
          <w:tcPr>
            <w:tcW w:w="1000" w:type="dxa"/>
            <w:vAlign w:val="center"/>
          </w:tcPr>
          <w:p>
            <w:pPr>
              <w:spacing w:before="20" w:after="20" w:line="280" w:lineRule="auto"/>
              <w:ind w:firstLine="0" w:firstLineChars="0"/>
              <w:jc w:val="center"/>
            </w:pPr>
            <w:r>
              <w:rPr>
                <w:rFonts w:ascii="Times New Roman" w:hAnsi="Times New Roman" w:eastAsia="SimSun"/>
                <w:sz w:val="21"/>
                <w:szCs w:val="21"/>
              </w:rPr>
              <w:t xml:space="preserve">R8</w:t>
            </w:r>
          </w:p>
        </w:tc>
        <w:tc>
          <w:tcPr>
            <w:tcW w:w="3000" w:type="dxa"/>
            <w:vAlign w:val="center"/>
          </w:tcPr>
          <w:p>
            <w:pPr>
              <w:spacing w:before="20" w:after="20" w:line="280" w:lineRule="auto"/>
              <w:ind w:firstLine="0" w:firstLineChars="0"/>
              <w:jc w:val="left"/>
            </w:pPr>
            <w:r>
              <w:rPr>
                <w:rFonts w:ascii="Times New Roman" w:hAnsi="Times New Roman" w:eastAsia="SimSun"/>
                <w:sz w:val="21"/>
                <w:szCs w:val="21"/>
              </w:rPr>
              <w:t xml:space="preserve">还书自动分拣与传输</w:t>
            </w:r>
          </w:p>
        </w:tc>
        <w:tc>
          <w:tcPr>
            <w:tcW w:w="1600" w:type="dxa"/>
            <w:vAlign w:val="center"/>
          </w:tcPr>
          <w:p>
            <w:pPr>
              <w:spacing w:before="20" w:after="20" w:line="280" w:lineRule="auto"/>
              <w:ind w:firstLine="0" w:firstLineChars="0"/>
              <w:jc w:val="left"/>
            </w:pPr>
            <w:r>
              <w:rPr>
                <w:rFonts w:ascii="Times New Roman" w:hAnsi="Times New Roman" w:eastAsia="SimSun"/>
                <w:sz w:val="21"/>
                <w:szCs w:val="21"/>
              </w:rPr>
              <w:t xml:space="preserve">G3</w:t>
            </w:r>
          </w:p>
        </w:tc>
        <w:tc>
          <w:tcPr>
            <w:tcW w:w="1300" w:type="dxa"/>
            <w:vAlign w:val="center"/>
          </w:tcPr>
          <w:p>
            <w:pPr>
              <w:spacing w:before="20" w:after="20" w:line="280" w:lineRule="auto"/>
              <w:ind w:firstLine="0" w:firstLineChars="0"/>
              <w:jc w:val="left"/>
            </w:pPr>
            <w:r>
              <w:rPr>
                <w:rFonts w:ascii="Times New Roman" w:hAnsi="Times New Roman" w:eastAsia="SimSun"/>
                <w:sz w:val="21"/>
                <w:szCs w:val="21"/>
              </w:rPr>
              <w:t xml:space="preserve">系统</w:t>
            </w:r>
          </w:p>
        </w:tc>
        <w:tc>
          <w:tcPr>
            <w:tcW w:w="2170" w:type="dxa"/>
            <w:vAlign w:val="center"/>
          </w:tcPr>
          <w:p>
            <w:pPr>
              <w:spacing w:before="20" w:after="20" w:line="280" w:lineRule="auto"/>
              <w:ind w:firstLine="0" w:firstLineChars="0"/>
              <w:jc w:val="left"/>
            </w:pPr>
            <w:r>
              <w:rPr>
                <w:rFonts w:ascii="Times New Roman" w:hAnsi="Times New Roman" w:eastAsia="SimSun"/>
                <w:sz w:val="21"/>
                <w:szCs w:val="21"/>
              </w:rPr>
              <w:t xml:space="preserve">提升层</w:t>
            </w:r>
          </w:p>
        </w:tc>
      </w:tr>
      <w:tr>
        <w:trPr/>
        <w:tc>
          <w:tcPr>
            <w:tcW w:w="1000" w:type="dxa"/>
            <w:vAlign w:val="center"/>
          </w:tcPr>
          <w:p>
            <w:pPr>
              <w:spacing w:before="20" w:after="20" w:line="280" w:lineRule="auto"/>
              <w:ind w:firstLine="0" w:firstLineChars="0"/>
              <w:jc w:val="center"/>
            </w:pPr>
            <w:r>
              <w:rPr>
                <w:rFonts w:ascii="Times New Roman" w:hAnsi="Times New Roman" w:eastAsia="SimSun"/>
                <w:sz w:val="21"/>
                <w:szCs w:val="21"/>
              </w:rPr>
              <w:t xml:space="preserve">R9</w:t>
            </w:r>
          </w:p>
        </w:tc>
        <w:tc>
          <w:tcPr>
            <w:tcW w:w="3000" w:type="dxa"/>
            <w:vAlign w:val="center"/>
          </w:tcPr>
          <w:p>
            <w:pPr>
              <w:spacing w:before="20" w:after="20" w:line="280" w:lineRule="auto"/>
              <w:ind w:firstLine="0" w:firstLineChars="0"/>
              <w:jc w:val="left"/>
            </w:pPr>
            <w:r>
              <w:rPr>
                <w:rFonts w:ascii="Times New Roman" w:hAnsi="Times New Roman" w:eastAsia="SimSun"/>
                <w:sz w:val="21"/>
                <w:szCs w:val="21"/>
              </w:rPr>
              <w:t xml:space="preserve">图书定位盘点与防盗</w:t>
            </w:r>
          </w:p>
        </w:tc>
        <w:tc>
          <w:tcPr>
            <w:tcW w:w="1600" w:type="dxa"/>
            <w:vAlign w:val="center"/>
          </w:tcPr>
          <w:p>
            <w:pPr>
              <w:spacing w:before="20" w:after="20" w:line="280" w:lineRule="auto"/>
              <w:ind w:firstLine="0" w:firstLineChars="0"/>
              <w:jc w:val="left"/>
            </w:pPr>
            <w:r>
              <w:rPr>
                <w:rFonts w:ascii="Times New Roman" w:hAnsi="Times New Roman" w:eastAsia="SimSun"/>
                <w:sz w:val="21"/>
                <w:szCs w:val="21"/>
              </w:rPr>
              <w:t xml:space="preserve">G3、G4</w:t>
            </w:r>
          </w:p>
        </w:tc>
        <w:tc>
          <w:tcPr>
            <w:tcW w:w="1300" w:type="dxa"/>
            <w:vAlign w:val="center"/>
          </w:tcPr>
          <w:p>
            <w:pPr>
              <w:spacing w:before="20" w:after="20" w:line="280" w:lineRule="auto"/>
              <w:ind w:firstLine="0" w:firstLineChars="0"/>
              <w:jc w:val="left"/>
            </w:pPr>
            <w:r>
              <w:rPr>
                <w:rFonts w:ascii="Times New Roman" w:hAnsi="Times New Roman" w:eastAsia="SimSun"/>
                <w:sz w:val="21"/>
                <w:szCs w:val="21"/>
              </w:rPr>
              <w:t xml:space="preserve">系统</w:t>
            </w:r>
          </w:p>
        </w:tc>
        <w:tc>
          <w:tcPr>
            <w:tcW w:w="2170" w:type="dxa"/>
            <w:vAlign w:val="center"/>
          </w:tcPr>
          <w:p>
            <w:pPr>
              <w:spacing w:before="20" w:after="20" w:line="280" w:lineRule="auto"/>
              <w:ind w:firstLine="0" w:firstLineChars="0"/>
              <w:jc w:val="left"/>
            </w:pPr>
            <w:r>
              <w:rPr>
                <w:rFonts w:ascii="Times New Roman" w:hAnsi="Times New Roman" w:eastAsia="SimSun"/>
                <w:sz w:val="21"/>
                <w:szCs w:val="21"/>
              </w:rPr>
              <w:t xml:space="preserve">基础层</w:t>
            </w:r>
          </w:p>
        </w:tc>
      </w:tr>
      <w:tr>
        <w:trPr/>
        <w:tc>
          <w:tcPr>
            <w:tcW w:w="1000" w:type="dxa"/>
            <w:vAlign w:val="center"/>
          </w:tcPr>
          <w:p>
            <w:pPr>
              <w:spacing w:before="20" w:after="20" w:line="280" w:lineRule="auto"/>
              <w:ind w:firstLine="0" w:firstLineChars="0"/>
              <w:jc w:val="center"/>
            </w:pPr>
            <w:r>
              <w:rPr>
                <w:rFonts w:ascii="Times New Roman" w:hAnsi="Times New Roman" w:eastAsia="SimSun"/>
                <w:sz w:val="21"/>
                <w:szCs w:val="21"/>
              </w:rPr>
              <w:t xml:space="preserve">R10</w:t>
            </w:r>
          </w:p>
        </w:tc>
        <w:tc>
          <w:tcPr>
            <w:tcW w:w="3000" w:type="dxa"/>
            <w:vAlign w:val="center"/>
          </w:tcPr>
          <w:p>
            <w:pPr>
              <w:spacing w:before="20" w:after="20" w:line="280" w:lineRule="auto"/>
              <w:ind w:firstLine="0" w:firstLineChars="0"/>
              <w:jc w:val="left"/>
            </w:pPr>
            <w:r>
              <w:rPr>
                <w:rFonts w:ascii="Times New Roman" w:hAnsi="Times New Roman" w:eastAsia="SimSun"/>
                <w:sz w:val="21"/>
                <w:szCs w:val="21"/>
              </w:rPr>
              <w:t xml:space="preserve">安防监控与智能预警</w:t>
            </w:r>
          </w:p>
        </w:tc>
        <w:tc>
          <w:tcPr>
            <w:tcW w:w="1600" w:type="dxa"/>
            <w:vAlign w:val="center"/>
          </w:tcPr>
          <w:p>
            <w:pPr>
              <w:spacing w:before="20" w:after="20" w:line="280" w:lineRule="auto"/>
              <w:ind w:firstLine="0" w:firstLineChars="0"/>
              <w:jc w:val="left"/>
            </w:pPr>
            <w:r>
              <w:rPr>
                <w:rFonts w:ascii="Times New Roman" w:hAnsi="Times New Roman" w:eastAsia="SimSun"/>
                <w:sz w:val="21"/>
                <w:szCs w:val="21"/>
              </w:rPr>
              <w:t xml:space="preserve">G4</w:t>
            </w:r>
          </w:p>
        </w:tc>
        <w:tc>
          <w:tcPr>
            <w:tcW w:w="1300" w:type="dxa"/>
            <w:vAlign w:val="center"/>
          </w:tcPr>
          <w:p>
            <w:pPr>
              <w:spacing w:before="20" w:after="20" w:line="280" w:lineRule="auto"/>
              <w:ind w:firstLine="0" w:firstLineChars="0"/>
              <w:jc w:val="left"/>
            </w:pPr>
            <w:r>
              <w:rPr>
                <w:rFonts w:ascii="Times New Roman" w:hAnsi="Times New Roman" w:eastAsia="SimSun"/>
                <w:sz w:val="21"/>
                <w:szCs w:val="21"/>
              </w:rPr>
              <w:t xml:space="preserve">系统</w:t>
            </w:r>
          </w:p>
        </w:tc>
        <w:tc>
          <w:tcPr>
            <w:tcW w:w="2170" w:type="dxa"/>
            <w:vAlign w:val="center"/>
          </w:tcPr>
          <w:p>
            <w:pPr>
              <w:spacing w:before="20" w:after="20" w:line="280" w:lineRule="auto"/>
              <w:ind w:firstLine="0" w:firstLineChars="0"/>
              <w:jc w:val="left"/>
            </w:pPr>
            <w:r>
              <w:rPr>
                <w:rFonts w:ascii="Times New Roman" w:hAnsi="Times New Roman" w:eastAsia="SimSun"/>
                <w:sz w:val="21"/>
                <w:szCs w:val="21"/>
              </w:rPr>
              <w:t xml:space="preserve">基础层</w:t>
            </w:r>
          </w:p>
        </w:tc>
      </w:tr>
      <w:tr>
        <w:trPr/>
        <w:tc>
          <w:tcPr>
            <w:tcW w:w="1000" w:type="dxa"/>
            <w:vAlign w:val="center"/>
          </w:tcPr>
          <w:p>
            <w:pPr>
              <w:spacing w:before="20" w:after="20" w:line="280" w:lineRule="auto"/>
              <w:ind w:firstLine="0" w:firstLineChars="0"/>
              <w:jc w:val="center"/>
            </w:pPr>
            <w:r>
              <w:rPr>
                <w:rFonts w:ascii="Times New Roman" w:hAnsi="Times New Roman" w:eastAsia="SimSun"/>
                <w:sz w:val="21"/>
                <w:szCs w:val="21"/>
              </w:rPr>
              <w:t xml:space="preserve">R11</w:t>
            </w:r>
          </w:p>
        </w:tc>
        <w:tc>
          <w:tcPr>
            <w:tcW w:w="3000" w:type="dxa"/>
            <w:vAlign w:val="center"/>
          </w:tcPr>
          <w:p>
            <w:pPr>
              <w:spacing w:before="20" w:after="20" w:line="280" w:lineRule="auto"/>
              <w:ind w:firstLine="0" w:firstLineChars="0"/>
              <w:jc w:val="left"/>
            </w:pPr>
            <w:r>
              <w:rPr>
                <w:rFonts w:ascii="Times New Roman" w:hAnsi="Times New Roman" w:eastAsia="SimSun"/>
                <w:sz w:val="21"/>
                <w:szCs w:val="21"/>
              </w:rPr>
              <w:t xml:space="preserve">环境与设备管理</w:t>
            </w:r>
          </w:p>
        </w:tc>
        <w:tc>
          <w:tcPr>
            <w:tcW w:w="1600" w:type="dxa"/>
            <w:vAlign w:val="center"/>
          </w:tcPr>
          <w:p>
            <w:pPr>
              <w:spacing w:before="20" w:after="20" w:line="280" w:lineRule="auto"/>
              <w:ind w:firstLine="0" w:firstLineChars="0"/>
              <w:jc w:val="left"/>
            </w:pPr>
            <w:r>
              <w:rPr>
                <w:rFonts w:ascii="Times New Roman" w:hAnsi="Times New Roman" w:eastAsia="SimSun"/>
                <w:sz w:val="21"/>
                <w:szCs w:val="21"/>
              </w:rPr>
              <w:t xml:space="preserve">G5</w:t>
            </w:r>
          </w:p>
        </w:tc>
        <w:tc>
          <w:tcPr>
            <w:tcW w:w="1300" w:type="dxa"/>
            <w:vAlign w:val="center"/>
          </w:tcPr>
          <w:p>
            <w:pPr>
              <w:spacing w:before="20" w:after="20" w:line="280" w:lineRule="auto"/>
              <w:ind w:firstLine="0" w:firstLineChars="0"/>
              <w:jc w:val="left"/>
            </w:pPr>
            <w:r>
              <w:rPr>
                <w:rFonts w:ascii="Times New Roman" w:hAnsi="Times New Roman" w:eastAsia="SimSun"/>
                <w:sz w:val="21"/>
                <w:szCs w:val="21"/>
              </w:rPr>
              <w:t xml:space="preserve">系统</w:t>
            </w:r>
          </w:p>
        </w:tc>
        <w:tc>
          <w:tcPr>
            <w:tcW w:w="2170" w:type="dxa"/>
            <w:vAlign w:val="center"/>
          </w:tcPr>
          <w:p>
            <w:pPr>
              <w:spacing w:before="20" w:after="20" w:line="280" w:lineRule="auto"/>
              <w:ind w:firstLine="0" w:firstLineChars="0"/>
              <w:jc w:val="left"/>
            </w:pPr>
            <w:r>
              <w:rPr>
                <w:rFonts w:ascii="Times New Roman" w:hAnsi="Times New Roman" w:eastAsia="SimSun"/>
                <w:sz w:val="21"/>
                <w:szCs w:val="21"/>
              </w:rPr>
              <w:t xml:space="preserve">提升层</w:t>
            </w:r>
          </w:p>
        </w:tc>
      </w:tr>
      <w:tr>
        <w:trPr/>
        <w:tc>
          <w:tcPr>
            <w:tcW w:w="1000" w:type="dxa"/>
            <w:vAlign w:val="center"/>
          </w:tcPr>
          <w:p>
            <w:pPr>
              <w:spacing w:before="20" w:after="20" w:line="280" w:lineRule="auto"/>
              <w:ind w:firstLine="0" w:firstLineChars="0"/>
              <w:jc w:val="center"/>
            </w:pPr>
            <w:r>
              <w:rPr>
                <w:rFonts w:ascii="Times New Roman" w:hAnsi="Times New Roman" w:eastAsia="SimSun"/>
                <w:sz w:val="21"/>
                <w:szCs w:val="21"/>
              </w:rPr>
              <w:t xml:space="preserve">R12</w:t>
            </w:r>
          </w:p>
        </w:tc>
        <w:tc>
          <w:tcPr>
            <w:tcW w:w="3000" w:type="dxa"/>
            <w:vAlign w:val="center"/>
          </w:tcPr>
          <w:p>
            <w:pPr>
              <w:spacing w:before="20" w:after="20" w:line="280" w:lineRule="auto"/>
              <w:ind w:firstLine="0" w:firstLineChars="0"/>
              <w:jc w:val="left"/>
            </w:pPr>
            <w:r>
              <w:rPr>
                <w:rFonts w:ascii="Times New Roman" w:hAnsi="Times New Roman" w:eastAsia="SimSun"/>
                <w:sz w:val="21"/>
                <w:szCs w:val="21"/>
              </w:rPr>
              <w:t xml:space="preserve">后台管理与数据决策</w:t>
            </w:r>
          </w:p>
        </w:tc>
        <w:tc>
          <w:tcPr>
            <w:tcW w:w="1600" w:type="dxa"/>
            <w:vAlign w:val="center"/>
          </w:tcPr>
          <w:p>
            <w:pPr>
              <w:spacing w:before="20" w:after="20" w:line="280" w:lineRule="auto"/>
              <w:ind w:firstLine="0" w:firstLineChars="0"/>
              <w:jc w:val="left"/>
            </w:pPr>
            <w:r>
              <w:rPr>
                <w:rFonts w:ascii="Times New Roman" w:hAnsi="Times New Roman" w:eastAsia="SimSun"/>
                <w:sz w:val="21"/>
                <w:szCs w:val="21"/>
              </w:rPr>
              <w:t xml:space="preserve">G3、G6</w:t>
            </w:r>
          </w:p>
        </w:tc>
        <w:tc>
          <w:tcPr>
            <w:tcW w:w="1300" w:type="dxa"/>
            <w:vAlign w:val="center"/>
          </w:tcPr>
          <w:p>
            <w:pPr>
              <w:spacing w:before="20" w:after="20" w:line="280" w:lineRule="auto"/>
              <w:ind w:firstLine="0" w:firstLineChars="0"/>
              <w:jc w:val="left"/>
            </w:pPr>
            <w:r>
              <w:rPr>
                <w:rFonts w:ascii="Times New Roman" w:hAnsi="Times New Roman" w:eastAsia="SimSun"/>
                <w:sz w:val="21"/>
                <w:szCs w:val="21"/>
              </w:rPr>
              <w:t xml:space="preserve">系统</w:t>
            </w:r>
          </w:p>
        </w:tc>
        <w:tc>
          <w:tcPr>
            <w:tcW w:w="2170" w:type="dxa"/>
            <w:vAlign w:val="center"/>
          </w:tcPr>
          <w:p>
            <w:pPr>
              <w:spacing w:before="20" w:after="20" w:line="280" w:lineRule="auto"/>
              <w:ind w:firstLine="0" w:firstLineChars="0"/>
              <w:jc w:val="left"/>
            </w:pPr>
            <w:r>
              <w:rPr>
                <w:rFonts w:ascii="Times New Roman" w:hAnsi="Times New Roman" w:eastAsia="SimSun"/>
                <w:sz w:val="21"/>
                <w:szCs w:val="21"/>
              </w:rPr>
              <w:t xml:space="preserve">基础层</w:t>
            </w:r>
          </w:p>
        </w:tc>
      </w:tr>
      <w:tr>
        <w:trPr/>
        <w:tc>
          <w:tcPr>
            <w:tcW w:w="1000" w:type="dxa"/>
            <w:vAlign w:val="center"/>
          </w:tcPr>
          <w:p>
            <w:pPr>
              <w:spacing w:before="20" w:after="20" w:line="280" w:lineRule="auto"/>
              <w:ind w:firstLine="0" w:firstLineChars="0"/>
              <w:jc w:val="center"/>
            </w:pPr>
            <w:r>
              <w:rPr>
                <w:rFonts w:ascii="Times New Roman" w:hAnsi="Times New Roman" w:eastAsia="SimSun"/>
                <w:sz w:val="21"/>
                <w:szCs w:val="21"/>
              </w:rPr>
              <w:t xml:space="preserve">R13</w:t>
            </w:r>
          </w:p>
        </w:tc>
        <w:tc>
          <w:tcPr>
            <w:tcW w:w="3000" w:type="dxa"/>
            <w:vAlign w:val="center"/>
          </w:tcPr>
          <w:p>
            <w:pPr>
              <w:spacing w:before="20" w:after="20" w:line="280" w:lineRule="auto"/>
              <w:ind w:firstLine="0" w:firstLineChars="0"/>
              <w:jc w:val="left"/>
            </w:pPr>
            <w:r>
              <w:rPr>
                <w:rFonts w:ascii="Times New Roman" w:hAnsi="Times New Roman" w:eastAsia="SimSun"/>
                <w:sz w:val="21"/>
                <w:szCs w:val="21"/>
              </w:rPr>
              <w:t xml:space="preserve">系统集成与接口</w:t>
            </w:r>
          </w:p>
        </w:tc>
        <w:tc>
          <w:tcPr>
            <w:tcW w:w="1600" w:type="dxa"/>
            <w:vAlign w:val="center"/>
          </w:tcPr>
          <w:p>
            <w:pPr>
              <w:spacing w:before="20" w:after="20" w:line="280" w:lineRule="auto"/>
              <w:ind w:firstLine="0" w:firstLineChars="0"/>
              <w:jc w:val="left"/>
            </w:pPr>
            <w:r>
              <w:rPr>
                <w:rFonts w:ascii="Times New Roman" w:hAnsi="Times New Roman" w:eastAsia="SimSun"/>
                <w:sz w:val="21"/>
                <w:szCs w:val="21"/>
              </w:rPr>
              <w:t xml:space="preserve">G3、G4</w:t>
            </w:r>
          </w:p>
        </w:tc>
        <w:tc>
          <w:tcPr>
            <w:tcW w:w="1300" w:type="dxa"/>
            <w:vAlign w:val="center"/>
          </w:tcPr>
          <w:p>
            <w:pPr>
              <w:spacing w:before="20" w:after="20" w:line="280" w:lineRule="auto"/>
              <w:ind w:firstLine="0" w:firstLineChars="0"/>
              <w:jc w:val="left"/>
            </w:pPr>
            <w:r>
              <w:rPr>
                <w:rFonts w:ascii="Times New Roman" w:hAnsi="Times New Roman" w:eastAsia="SimSun"/>
                <w:sz w:val="21"/>
                <w:szCs w:val="21"/>
              </w:rPr>
              <w:t xml:space="preserve">系统</w:t>
            </w:r>
          </w:p>
        </w:tc>
        <w:tc>
          <w:tcPr>
            <w:tcW w:w="2170" w:type="dxa"/>
            <w:vAlign w:val="center"/>
          </w:tcPr>
          <w:p>
            <w:pPr>
              <w:spacing w:before="20" w:after="20" w:line="280" w:lineRule="auto"/>
              <w:ind w:firstLine="0" w:firstLineChars="0"/>
              <w:jc w:val="left"/>
            </w:pPr>
            <w:r>
              <w:rPr>
                <w:rFonts w:ascii="Times New Roman" w:hAnsi="Times New Roman" w:eastAsia="SimSun"/>
                <w:sz w:val="21"/>
                <w:szCs w:val="21"/>
              </w:rPr>
              <w:t xml:space="preserve">提升层</w:t>
            </w:r>
          </w:p>
        </w:tc>
      </w:tr>
      <w:tr>
        <w:trPr/>
        <w:tc>
          <w:tcPr>
            <w:tcW w:w="1000" w:type="dxa"/>
            <w:vAlign w:val="center"/>
          </w:tcPr>
          <w:p>
            <w:pPr>
              <w:spacing w:before="20" w:after="20" w:line="280" w:lineRule="auto"/>
              <w:ind w:firstLine="0" w:firstLineChars="0"/>
              <w:jc w:val="center"/>
            </w:pPr>
            <w:r>
              <w:rPr>
                <w:rFonts w:ascii="Times New Roman" w:hAnsi="Times New Roman" w:eastAsia="SimSun"/>
                <w:sz w:val="21"/>
                <w:szCs w:val="21"/>
              </w:rPr>
              <w:t xml:space="preserve">R14</w:t>
            </w:r>
          </w:p>
        </w:tc>
        <w:tc>
          <w:tcPr>
            <w:tcW w:w="3000" w:type="dxa"/>
            <w:vAlign w:val="center"/>
          </w:tcPr>
          <w:p>
            <w:pPr>
              <w:spacing w:before="20" w:after="20" w:line="280" w:lineRule="auto"/>
              <w:ind w:firstLine="0" w:firstLineChars="0"/>
              <w:jc w:val="left"/>
            </w:pPr>
            <w:r>
              <w:rPr>
                <w:rFonts w:ascii="Times New Roman" w:hAnsi="Times New Roman" w:eastAsia="SimSun"/>
                <w:sz w:val="21"/>
                <w:szCs w:val="21"/>
              </w:rPr>
              <w:t xml:space="preserve">选址与覆盖</w:t>
            </w:r>
          </w:p>
        </w:tc>
        <w:tc>
          <w:tcPr>
            <w:tcW w:w="1600" w:type="dxa"/>
            <w:vAlign w:val="center"/>
          </w:tcPr>
          <w:p>
            <w:pPr>
              <w:spacing w:before="20" w:after="20" w:line="280" w:lineRule="auto"/>
              <w:ind w:firstLine="0" w:firstLineChars="0"/>
              <w:jc w:val="left"/>
            </w:pPr>
            <w:r>
              <w:rPr>
                <w:rFonts w:ascii="Times New Roman" w:hAnsi="Times New Roman" w:eastAsia="SimSun"/>
                <w:sz w:val="21"/>
                <w:szCs w:val="21"/>
              </w:rPr>
              <w:t xml:space="preserve">G6</w:t>
            </w:r>
          </w:p>
        </w:tc>
        <w:tc>
          <w:tcPr>
            <w:tcW w:w="1300" w:type="dxa"/>
            <w:vAlign w:val="center"/>
          </w:tcPr>
          <w:p>
            <w:pPr>
              <w:spacing w:before="20" w:after="20" w:line="280" w:lineRule="auto"/>
              <w:ind w:firstLine="0" w:firstLineChars="0"/>
              <w:jc w:val="left"/>
            </w:pPr>
            <w:r>
              <w:rPr>
                <w:rFonts w:ascii="Times New Roman" w:hAnsi="Times New Roman" w:eastAsia="SimSun"/>
                <w:sz w:val="21"/>
                <w:szCs w:val="21"/>
              </w:rPr>
              <w:t xml:space="preserve">空间</w:t>
            </w:r>
          </w:p>
        </w:tc>
        <w:tc>
          <w:tcPr>
            <w:tcW w:w="2170" w:type="dxa"/>
            <w:vAlign w:val="center"/>
          </w:tcPr>
          <w:p>
            <w:pPr>
              <w:spacing w:before="20" w:after="20" w:line="280" w:lineRule="auto"/>
              <w:ind w:firstLine="0" w:firstLineChars="0"/>
              <w:jc w:val="left"/>
            </w:pPr>
            <w:r>
              <w:rPr>
                <w:rFonts w:ascii="Times New Roman" w:hAnsi="Times New Roman" w:eastAsia="SimSun"/>
                <w:sz w:val="21"/>
                <w:szCs w:val="21"/>
              </w:rPr>
              <w:t xml:space="preserve">基础层</w:t>
            </w:r>
          </w:p>
        </w:tc>
      </w:tr>
      <w:tr>
        <w:trPr/>
        <w:tc>
          <w:tcPr>
            <w:tcW w:w="1000" w:type="dxa"/>
            <w:vAlign w:val="center"/>
          </w:tcPr>
          <w:p>
            <w:pPr>
              <w:spacing w:before="20" w:after="20" w:line="280" w:lineRule="auto"/>
              <w:ind w:firstLine="0" w:firstLineChars="0"/>
              <w:jc w:val="center"/>
            </w:pPr>
            <w:r>
              <w:rPr>
                <w:rFonts w:ascii="Times New Roman" w:hAnsi="Times New Roman" w:eastAsia="SimSun"/>
                <w:sz w:val="21"/>
                <w:szCs w:val="21"/>
              </w:rPr>
              <w:t xml:space="preserve">R15</w:t>
            </w:r>
          </w:p>
        </w:tc>
        <w:tc>
          <w:tcPr>
            <w:tcW w:w="3000" w:type="dxa"/>
            <w:vAlign w:val="center"/>
          </w:tcPr>
          <w:p>
            <w:pPr>
              <w:spacing w:before="20" w:after="20" w:line="280" w:lineRule="auto"/>
              <w:ind w:firstLine="0" w:firstLineChars="0"/>
              <w:jc w:val="left"/>
            </w:pPr>
            <w:r>
              <w:rPr>
                <w:rFonts w:ascii="Times New Roman" w:hAnsi="Times New Roman" w:eastAsia="SimSun"/>
                <w:sz w:val="21"/>
                <w:szCs w:val="21"/>
              </w:rPr>
              <w:t xml:space="preserve">空间规模与功能分区</w:t>
            </w:r>
          </w:p>
        </w:tc>
        <w:tc>
          <w:tcPr>
            <w:tcW w:w="1600" w:type="dxa"/>
            <w:vAlign w:val="center"/>
          </w:tcPr>
          <w:p>
            <w:pPr>
              <w:spacing w:before="20" w:after="20" w:line="280" w:lineRule="auto"/>
              <w:ind w:firstLine="0" w:firstLineChars="0"/>
              <w:jc w:val="left"/>
            </w:pPr>
            <w:r>
              <w:rPr>
                <w:rFonts w:ascii="Times New Roman" w:hAnsi="Times New Roman" w:eastAsia="SimSun"/>
                <w:sz w:val="21"/>
                <w:szCs w:val="21"/>
              </w:rPr>
              <w:t xml:space="preserve">G6</w:t>
            </w:r>
          </w:p>
        </w:tc>
        <w:tc>
          <w:tcPr>
            <w:tcW w:w="1300" w:type="dxa"/>
            <w:vAlign w:val="center"/>
          </w:tcPr>
          <w:p>
            <w:pPr>
              <w:spacing w:before="20" w:after="20" w:line="280" w:lineRule="auto"/>
              <w:ind w:firstLine="0" w:firstLineChars="0"/>
              <w:jc w:val="left"/>
            </w:pPr>
            <w:r>
              <w:rPr>
                <w:rFonts w:ascii="Times New Roman" w:hAnsi="Times New Roman" w:eastAsia="SimSun"/>
                <w:sz w:val="21"/>
                <w:szCs w:val="21"/>
              </w:rPr>
              <w:t xml:space="preserve">空间</w:t>
            </w:r>
          </w:p>
        </w:tc>
        <w:tc>
          <w:tcPr>
            <w:tcW w:w="2170" w:type="dxa"/>
            <w:vAlign w:val="center"/>
          </w:tcPr>
          <w:p>
            <w:pPr>
              <w:spacing w:before="20" w:after="20" w:line="280" w:lineRule="auto"/>
              <w:ind w:firstLine="0" w:firstLineChars="0"/>
              <w:jc w:val="left"/>
            </w:pPr>
            <w:r>
              <w:rPr>
                <w:rFonts w:ascii="Times New Roman" w:hAnsi="Times New Roman" w:eastAsia="SimSun"/>
                <w:sz w:val="21"/>
                <w:szCs w:val="21"/>
              </w:rPr>
              <w:t xml:space="preserve">基础层</w:t>
            </w:r>
          </w:p>
        </w:tc>
      </w:tr>
      <w:tr>
        <w:trPr/>
        <w:tc>
          <w:tcPr>
            <w:tcW w:w="1000" w:type="dxa"/>
            <w:vAlign w:val="center"/>
          </w:tcPr>
          <w:p>
            <w:pPr>
              <w:spacing w:before="20" w:after="20" w:line="280" w:lineRule="auto"/>
              <w:ind w:firstLine="0" w:firstLineChars="0"/>
              <w:jc w:val="center"/>
            </w:pPr>
            <w:r>
              <w:rPr>
                <w:rFonts w:ascii="Times New Roman" w:hAnsi="Times New Roman" w:eastAsia="SimSun"/>
                <w:sz w:val="21"/>
                <w:szCs w:val="21"/>
              </w:rPr>
              <w:t xml:space="preserve">R16</w:t>
            </w:r>
          </w:p>
        </w:tc>
        <w:tc>
          <w:tcPr>
            <w:tcW w:w="3000" w:type="dxa"/>
            <w:vAlign w:val="center"/>
          </w:tcPr>
          <w:p>
            <w:pPr>
              <w:spacing w:before="20" w:after="20" w:line="280" w:lineRule="auto"/>
              <w:ind w:firstLine="0" w:firstLineChars="0"/>
              <w:jc w:val="left"/>
            </w:pPr>
            <w:r>
              <w:rPr>
                <w:rFonts w:ascii="Times New Roman" w:hAnsi="Times New Roman" w:eastAsia="SimSun"/>
                <w:sz w:val="21"/>
                <w:szCs w:val="21"/>
              </w:rPr>
              <w:t xml:space="preserve">开放时间与空间秩序</w:t>
            </w:r>
          </w:p>
        </w:tc>
        <w:tc>
          <w:tcPr>
            <w:tcW w:w="1600" w:type="dxa"/>
            <w:vAlign w:val="center"/>
          </w:tcPr>
          <w:p>
            <w:pPr>
              <w:spacing w:before="20" w:after="20" w:line="280" w:lineRule="auto"/>
              <w:ind w:firstLine="0" w:firstLineChars="0"/>
              <w:jc w:val="left"/>
            </w:pPr>
            <w:r>
              <w:rPr>
                <w:rFonts w:ascii="Times New Roman" w:hAnsi="Times New Roman" w:eastAsia="SimSun"/>
                <w:sz w:val="21"/>
                <w:szCs w:val="21"/>
              </w:rPr>
              <w:t xml:space="preserve">G1、G6</w:t>
            </w:r>
          </w:p>
        </w:tc>
        <w:tc>
          <w:tcPr>
            <w:tcW w:w="1300" w:type="dxa"/>
            <w:vAlign w:val="center"/>
          </w:tcPr>
          <w:p>
            <w:pPr>
              <w:spacing w:before="20" w:after="20" w:line="280" w:lineRule="auto"/>
              <w:ind w:firstLine="0" w:firstLineChars="0"/>
              <w:jc w:val="left"/>
            </w:pPr>
            <w:r>
              <w:rPr>
                <w:rFonts w:ascii="Times New Roman" w:hAnsi="Times New Roman" w:eastAsia="SimSun"/>
                <w:sz w:val="21"/>
                <w:szCs w:val="21"/>
              </w:rPr>
              <w:t xml:space="preserve">空间</w:t>
            </w:r>
          </w:p>
        </w:tc>
        <w:tc>
          <w:tcPr>
            <w:tcW w:w="2170" w:type="dxa"/>
            <w:vAlign w:val="center"/>
          </w:tcPr>
          <w:p>
            <w:pPr>
              <w:spacing w:before="20" w:after="20" w:line="280" w:lineRule="auto"/>
              <w:ind w:firstLine="0" w:firstLineChars="0"/>
              <w:jc w:val="left"/>
            </w:pPr>
            <w:r>
              <w:rPr>
                <w:rFonts w:ascii="Times New Roman" w:hAnsi="Times New Roman" w:eastAsia="SimSun"/>
                <w:sz w:val="21"/>
                <w:szCs w:val="21"/>
              </w:rPr>
              <w:t xml:space="preserve">提升层</w:t>
            </w:r>
          </w:p>
        </w:tc>
      </w:tr>
      <w:tr>
        <w:trPr/>
        <w:tc>
          <w:tcPr>
            <w:tcW w:w="1000" w:type="dxa"/>
            <w:vAlign w:val="center"/>
          </w:tcPr>
          <w:p>
            <w:pPr>
              <w:spacing w:before="20" w:after="20" w:line="280" w:lineRule="auto"/>
              <w:ind w:firstLine="0" w:firstLineChars="0"/>
              <w:jc w:val="center"/>
            </w:pPr>
            <w:r>
              <w:rPr>
                <w:rFonts w:ascii="Times New Roman" w:hAnsi="Times New Roman" w:eastAsia="SimSun"/>
                <w:sz w:val="21"/>
                <w:szCs w:val="21"/>
              </w:rPr>
              <w:t xml:space="preserve">R17</w:t>
            </w:r>
          </w:p>
        </w:tc>
        <w:tc>
          <w:tcPr>
            <w:tcW w:w="3000" w:type="dxa"/>
            <w:vAlign w:val="center"/>
          </w:tcPr>
          <w:p>
            <w:pPr>
              <w:spacing w:before="20" w:after="20" w:line="280" w:lineRule="auto"/>
              <w:ind w:firstLine="0" w:firstLineChars="0"/>
              <w:jc w:val="left"/>
            </w:pPr>
            <w:r>
              <w:rPr>
                <w:rFonts w:ascii="Times New Roman" w:hAnsi="Times New Roman" w:eastAsia="SimSun"/>
                <w:sz w:val="21"/>
                <w:szCs w:val="21"/>
              </w:rPr>
              <w:t xml:space="preserve">安全与应急</w:t>
            </w:r>
          </w:p>
        </w:tc>
        <w:tc>
          <w:tcPr>
            <w:tcW w:w="1600" w:type="dxa"/>
            <w:vAlign w:val="center"/>
          </w:tcPr>
          <w:p>
            <w:pPr>
              <w:spacing w:before="20" w:after="20" w:line="280" w:lineRule="auto"/>
              <w:ind w:firstLine="0" w:firstLineChars="0"/>
              <w:jc w:val="left"/>
            </w:pPr>
            <w:r>
              <w:rPr>
                <w:rFonts w:ascii="Times New Roman" w:hAnsi="Times New Roman" w:eastAsia="SimSun"/>
                <w:sz w:val="21"/>
                <w:szCs w:val="21"/>
              </w:rPr>
              <w:t xml:space="preserve">G4</w:t>
            </w:r>
          </w:p>
        </w:tc>
        <w:tc>
          <w:tcPr>
            <w:tcW w:w="1300" w:type="dxa"/>
            <w:vAlign w:val="center"/>
          </w:tcPr>
          <w:p>
            <w:pPr>
              <w:spacing w:before="20" w:after="20" w:line="280" w:lineRule="auto"/>
              <w:ind w:firstLine="0" w:firstLineChars="0"/>
              <w:jc w:val="left"/>
            </w:pPr>
            <w:r>
              <w:rPr>
                <w:rFonts w:ascii="Times New Roman" w:hAnsi="Times New Roman" w:eastAsia="SimSun"/>
                <w:sz w:val="21"/>
                <w:szCs w:val="21"/>
              </w:rPr>
              <w:t xml:space="preserve">非功能</w:t>
            </w:r>
          </w:p>
        </w:tc>
        <w:tc>
          <w:tcPr>
            <w:tcW w:w="2170" w:type="dxa"/>
            <w:vAlign w:val="center"/>
          </w:tcPr>
          <w:p>
            <w:pPr>
              <w:spacing w:before="20" w:after="20" w:line="280" w:lineRule="auto"/>
              <w:ind w:firstLine="0" w:firstLineChars="0"/>
              <w:jc w:val="left"/>
            </w:pPr>
            <w:r>
              <w:rPr>
                <w:rFonts w:ascii="Times New Roman" w:hAnsi="Times New Roman" w:eastAsia="SimSun"/>
                <w:sz w:val="21"/>
                <w:szCs w:val="21"/>
              </w:rPr>
              <w:t xml:space="preserve">基础层</w:t>
            </w:r>
          </w:p>
        </w:tc>
      </w:tr>
      <w:tr>
        <w:trPr/>
        <w:tc>
          <w:tcPr>
            <w:tcW w:w="1000" w:type="dxa"/>
            <w:vAlign w:val="center"/>
          </w:tcPr>
          <w:p>
            <w:pPr>
              <w:spacing w:before="20" w:after="20" w:line="280" w:lineRule="auto"/>
              <w:ind w:firstLine="0" w:firstLineChars="0"/>
              <w:jc w:val="center"/>
            </w:pPr>
            <w:r>
              <w:rPr>
                <w:rFonts w:ascii="Times New Roman" w:hAnsi="Times New Roman" w:eastAsia="SimSun"/>
                <w:sz w:val="21"/>
                <w:szCs w:val="21"/>
              </w:rPr>
              <w:t xml:space="preserve">R18</w:t>
            </w:r>
          </w:p>
        </w:tc>
        <w:tc>
          <w:tcPr>
            <w:tcW w:w="3000" w:type="dxa"/>
            <w:vAlign w:val="center"/>
          </w:tcPr>
          <w:p>
            <w:pPr>
              <w:spacing w:before="20" w:after="20" w:line="280" w:lineRule="auto"/>
              <w:ind w:firstLine="0" w:firstLineChars="0"/>
              <w:jc w:val="left"/>
            </w:pPr>
            <w:r>
              <w:rPr>
                <w:rFonts w:ascii="Times New Roman" w:hAnsi="Times New Roman" w:eastAsia="SimSun"/>
                <w:sz w:val="21"/>
                <w:szCs w:val="21"/>
              </w:rPr>
              <w:t xml:space="preserve">可靠性与远程运维</w:t>
            </w:r>
          </w:p>
        </w:tc>
        <w:tc>
          <w:tcPr>
            <w:tcW w:w="1600" w:type="dxa"/>
            <w:vAlign w:val="center"/>
          </w:tcPr>
          <w:p>
            <w:pPr>
              <w:spacing w:before="20" w:after="20" w:line="280" w:lineRule="auto"/>
              <w:ind w:firstLine="0" w:firstLineChars="0"/>
              <w:jc w:val="left"/>
            </w:pPr>
            <w:r>
              <w:rPr>
                <w:rFonts w:ascii="Times New Roman" w:hAnsi="Times New Roman" w:eastAsia="SimSun"/>
                <w:sz w:val="21"/>
                <w:szCs w:val="21"/>
              </w:rPr>
              <w:t xml:space="preserve">G2、G4</w:t>
            </w:r>
          </w:p>
        </w:tc>
        <w:tc>
          <w:tcPr>
            <w:tcW w:w="1300" w:type="dxa"/>
            <w:vAlign w:val="center"/>
          </w:tcPr>
          <w:p>
            <w:pPr>
              <w:spacing w:before="20" w:after="20" w:line="280" w:lineRule="auto"/>
              <w:ind w:firstLine="0" w:firstLineChars="0"/>
              <w:jc w:val="left"/>
            </w:pPr>
            <w:r>
              <w:rPr>
                <w:rFonts w:ascii="Times New Roman" w:hAnsi="Times New Roman" w:eastAsia="SimSun"/>
                <w:sz w:val="21"/>
                <w:szCs w:val="21"/>
              </w:rPr>
              <w:t xml:space="preserve">非功能</w:t>
            </w:r>
          </w:p>
        </w:tc>
        <w:tc>
          <w:tcPr>
            <w:tcW w:w="2170" w:type="dxa"/>
            <w:vAlign w:val="center"/>
          </w:tcPr>
          <w:p>
            <w:pPr>
              <w:spacing w:before="20" w:after="20" w:line="280" w:lineRule="auto"/>
              <w:ind w:firstLine="0" w:firstLineChars="0"/>
              <w:jc w:val="left"/>
            </w:pPr>
            <w:r>
              <w:rPr>
                <w:rFonts w:ascii="Times New Roman" w:hAnsi="Times New Roman" w:eastAsia="SimSun"/>
                <w:sz w:val="21"/>
                <w:szCs w:val="21"/>
              </w:rPr>
              <w:t xml:space="preserve">基础层</w:t>
            </w:r>
          </w:p>
        </w:tc>
      </w:tr>
      <w:tr>
        <w:trPr/>
        <w:tc>
          <w:tcPr>
            <w:tcW w:w="1000" w:type="dxa"/>
            <w:vAlign w:val="center"/>
          </w:tcPr>
          <w:p>
            <w:pPr>
              <w:spacing w:before="20" w:after="20" w:line="280" w:lineRule="auto"/>
              <w:ind w:firstLine="0" w:firstLineChars="0"/>
              <w:jc w:val="center"/>
            </w:pPr>
            <w:r>
              <w:rPr>
                <w:rFonts w:ascii="Times New Roman" w:hAnsi="Times New Roman" w:eastAsia="SimSun"/>
                <w:sz w:val="21"/>
                <w:szCs w:val="21"/>
              </w:rPr>
              <w:t xml:space="preserve">R19</w:t>
            </w:r>
          </w:p>
        </w:tc>
        <w:tc>
          <w:tcPr>
            <w:tcW w:w="3000" w:type="dxa"/>
            <w:vAlign w:val="center"/>
          </w:tcPr>
          <w:p>
            <w:pPr>
              <w:spacing w:before="20" w:after="20" w:line="280" w:lineRule="auto"/>
              <w:ind w:firstLine="0" w:firstLineChars="0"/>
              <w:jc w:val="left"/>
            </w:pPr>
            <w:r>
              <w:rPr>
                <w:rFonts w:ascii="Times New Roman" w:hAnsi="Times New Roman" w:eastAsia="SimSun"/>
                <w:sz w:val="21"/>
                <w:szCs w:val="21"/>
              </w:rPr>
              <w:t xml:space="preserve">数据与隐私合规</w:t>
            </w:r>
          </w:p>
        </w:tc>
        <w:tc>
          <w:tcPr>
            <w:tcW w:w="1600" w:type="dxa"/>
            <w:vAlign w:val="center"/>
          </w:tcPr>
          <w:p>
            <w:pPr>
              <w:spacing w:before="20" w:after="20" w:line="280" w:lineRule="auto"/>
              <w:ind w:firstLine="0" w:firstLineChars="0"/>
              <w:jc w:val="left"/>
            </w:pPr>
            <w:r>
              <w:rPr>
                <w:rFonts w:ascii="Times New Roman" w:hAnsi="Times New Roman" w:eastAsia="SimSun"/>
                <w:sz w:val="21"/>
                <w:szCs w:val="21"/>
              </w:rPr>
              <w:t xml:space="preserve">G4</w:t>
            </w:r>
          </w:p>
        </w:tc>
        <w:tc>
          <w:tcPr>
            <w:tcW w:w="1300" w:type="dxa"/>
            <w:vAlign w:val="center"/>
          </w:tcPr>
          <w:p>
            <w:pPr>
              <w:spacing w:before="20" w:after="20" w:line="280" w:lineRule="auto"/>
              <w:ind w:firstLine="0" w:firstLineChars="0"/>
              <w:jc w:val="left"/>
            </w:pPr>
            <w:r>
              <w:rPr>
                <w:rFonts w:ascii="Times New Roman" w:hAnsi="Times New Roman" w:eastAsia="SimSun"/>
                <w:sz w:val="21"/>
                <w:szCs w:val="21"/>
              </w:rPr>
              <w:t xml:space="preserve">非功能</w:t>
            </w:r>
          </w:p>
        </w:tc>
        <w:tc>
          <w:tcPr>
            <w:tcW w:w="2170" w:type="dxa"/>
            <w:vAlign w:val="center"/>
          </w:tcPr>
          <w:p>
            <w:pPr>
              <w:spacing w:before="20" w:after="20" w:line="280" w:lineRule="auto"/>
              <w:ind w:firstLine="0" w:firstLineChars="0"/>
              <w:jc w:val="left"/>
            </w:pPr>
            <w:r>
              <w:rPr>
                <w:rFonts w:ascii="Times New Roman" w:hAnsi="Times New Roman" w:eastAsia="SimSun"/>
                <w:sz w:val="21"/>
                <w:szCs w:val="21"/>
              </w:rPr>
              <w:t xml:space="preserve">基础层</w:t>
            </w:r>
          </w:p>
        </w:tc>
      </w:tr>
      <w:tr>
        <w:trPr/>
        <w:tc>
          <w:tcPr>
            <w:tcW w:w="1000" w:type="dxa"/>
            <w:vAlign w:val="center"/>
          </w:tcPr>
          <w:p>
            <w:pPr>
              <w:spacing w:before="20" w:after="20" w:line="280" w:lineRule="auto"/>
              <w:ind w:firstLine="0" w:firstLineChars="0"/>
              <w:jc w:val="center"/>
            </w:pPr>
            <w:r>
              <w:rPr>
                <w:rFonts w:ascii="Times New Roman" w:hAnsi="Times New Roman" w:eastAsia="SimSun"/>
                <w:sz w:val="21"/>
                <w:szCs w:val="21"/>
              </w:rPr>
              <w:t xml:space="preserve">R20</w:t>
            </w:r>
          </w:p>
        </w:tc>
        <w:tc>
          <w:tcPr>
            <w:tcW w:w="3000" w:type="dxa"/>
            <w:vAlign w:val="center"/>
          </w:tcPr>
          <w:p>
            <w:pPr>
              <w:spacing w:before="20" w:after="20" w:line="280" w:lineRule="auto"/>
              <w:ind w:firstLine="0" w:firstLineChars="0"/>
              <w:jc w:val="left"/>
            </w:pPr>
            <w:r>
              <w:rPr>
                <w:rFonts w:ascii="Times New Roman" w:hAnsi="Times New Roman" w:eastAsia="SimSun"/>
                <w:sz w:val="21"/>
                <w:szCs w:val="21"/>
              </w:rPr>
              <w:t xml:space="preserve">可扩展性</w:t>
            </w:r>
          </w:p>
        </w:tc>
        <w:tc>
          <w:tcPr>
            <w:tcW w:w="1600" w:type="dxa"/>
            <w:vAlign w:val="center"/>
          </w:tcPr>
          <w:p>
            <w:pPr>
              <w:spacing w:before="20" w:after="20" w:line="280" w:lineRule="auto"/>
              <w:ind w:firstLine="0" w:firstLineChars="0"/>
              <w:jc w:val="left"/>
            </w:pPr>
            <w:r>
              <w:rPr>
                <w:rFonts w:ascii="Times New Roman" w:hAnsi="Times New Roman" w:eastAsia="SimSun"/>
                <w:sz w:val="21"/>
                <w:szCs w:val="21"/>
              </w:rPr>
              <w:t xml:space="preserve">G3</w:t>
            </w:r>
          </w:p>
        </w:tc>
        <w:tc>
          <w:tcPr>
            <w:tcW w:w="1300" w:type="dxa"/>
            <w:vAlign w:val="center"/>
          </w:tcPr>
          <w:p>
            <w:pPr>
              <w:spacing w:before="20" w:after="20" w:line="280" w:lineRule="auto"/>
              <w:ind w:firstLine="0" w:firstLineChars="0"/>
              <w:jc w:val="left"/>
            </w:pPr>
            <w:r>
              <w:rPr>
                <w:rFonts w:ascii="Times New Roman" w:hAnsi="Times New Roman" w:eastAsia="SimSun"/>
                <w:sz w:val="21"/>
                <w:szCs w:val="21"/>
              </w:rPr>
              <w:t xml:space="preserve">非功能</w:t>
            </w:r>
          </w:p>
        </w:tc>
        <w:tc>
          <w:tcPr>
            <w:tcW w:w="2170" w:type="dxa"/>
            <w:vAlign w:val="center"/>
          </w:tcPr>
          <w:p>
            <w:pPr>
              <w:spacing w:before="20" w:after="20" w:line="280" w:lineRule="auto"/>
              <w:ind w:firstLine="0" w:firstLineChars="0"/>
              <w:jc w:val="left"/>
            </w:pPr>
            <w:r>
              <w:rPr>
                <w:rFonts w:ascii="Times New Roman" w:hAnsi="Times New Roman" w:eastAsia="SimSun"/>
                <w:sz w:val="21"/>
                <w:szCs w:val="21"/>
              </w:rPr>
              <w:t xml:space="preserve">提升层</w:t>
            </w:r>
          </w:p>
        </w:tc>
      </w:tr>
    </w:tbl>
    <w:p>
      <w:pPr>
        <w:pStyle w:val="Heading2"/>
      </w:pPr>
      <w:r>
        <w:t xml:space="preserve">（二）建设目标</w:t>
      </w:r>
    </w:p>
    <w:p>
      <w:r>
        <w:t xml:space="preserve">项目建成后的目标可以从三个层面检验。服务层面，至少一处设施实现 7×24 小时开放，开放时间按条例要求公示，夜间、周末与节假日服务不间断；借还、办证、查询、续借等高频业务全部可自助完成，行业调研显示，这类业务占 24 小时自助服务量的 90% 以上[13]。效率层面，图书上架时效、盘点周期、借还差错率、设备在线率等指标做到可统计、可考核，行业公开案例提供了参照：广州图书馆应用自动分拣系统后，每天流通的 3 万册图书上架时间由 2 至 3 天缩短到 1 至 3 个小时[8]。运营层面，形成稳定的巡检与维修机制，人力配置与成本模型可核算，运行数据持续积累并为选址、配书、开放时段调整提供依据。</w:t>
      </w:r>
    </w:p>
    <w:p>
      <w:r>
        <w:t xml:space="preserve">上述目标中的具体数值需要结合项目单位的实际条件核定。建议在申报阶段明确以下指标：拟建设施数量与单点面积、投资总额与资金来源、可调配馆藏规模、服务人口或目标读者规模、现有借阅量基数、拟配置的运营人员数量与年度运营预算。指标确定后，可对目标值作进一步量化，并据此细化设备选型与分年度实施安排。</w:t>
      </w:r>
    </w:p>
    <w:p>
      <w:pPr>
        <w:pStyle w:val="Heading2"/>
      </w:pPr>
      <w:r>
        <w:t xml:space="preserve">（三）条件与风险</w:t>
      </w:r>
    </w:p>
    <w:p>
      <w:r>
        <w:t xml:space="preserve">预算与方案设计中需要预留三方面应对。全天候开放意味着照明、空调、安保等设备常年运行，叠加图书配送、维护与第三方服务费用，运营投入具有刚性；大兴的经验显示，书房数量增加后财政压力存在加重趋势，需要以绩效考核约束成本，并在设备选型阶段控制单位造价[10]。射频方案的推广还曾受到“电子标签造价过大，成本太高”的约束[14]，行业层面数据格式、技术接口、业务流程不统一的问题也可能影响设备协同[8]，建议在采购环节明确接口标准与兼容性要求。使用习惯的培育同样重要：台州部分点位的借阅量差异说明，布点位置与内容配置对使用率影响明显[11]，可通过活动运营（R5）与读者引导缓解。</w:t>
      </w:r>
    </w:p>
    <w:p>
      <w:pPr>
        <w:pStyle w:val="Heading1"/>
      </w:pPr>
      <w:r>
        <w:t xml:space="preserve">五、结论</w:t>
      </w:r>
    </w:p>
    <w:p>
      <w:r>
        <w:t xml:space="preserve">需求侧的判断是明确的：本项目的建设条件与时机已经具备。政策上，《全民阅读促进条例》与“十五五”规划纲要对延长开放时间、智慧化服务和社会力量参与均提出了明确要求或鼓励方向[1][2]；实践上，无人值守图书馆经过二十年发展，身份核验、自助借还、安全监控等系统要件已经定型[8]，场馆型、嵌入式等多种形态都有成熟案例可供参照[9][11][18]；需求上，时段、人力、效率、安全、成本与体验六类缺口客观存在，并随服务规模扩大而加深。项目实施后，可将上述要求转化为一套可运行、可维护、可扩展的无人值守服务体系，为读者提供全天候的阅读空间。建设节奏上，建议先完成第四部分所列的基础层需求，提升层需求结合运行数据和预算情况分步实施。</w:t>
      </w:r>
    </w:p>
    <w:p>
      <w:pPr>
        <w:pStyle w:val="Heading1"/>
      </w:pPr>
      <w:r>
        <w:t xml:space="preserve">参考资料</w:t>
      </w:r>
    </w:p>
    <w:p>
      <w:pPr>
        <w:pStyle w:val="RefGroup"/>
      </w:pPr>
      <w:r>
        <w:t xml:space="preserve">（一）政策文件与标准</w:t>
      </w:r>
    </w:p>
    <w:p>
      <w:pPr>
        <w:pStyle w:val="RefItem"/>
      </w:pPr>
      <w:r>
        <w:t xml:space="preserve">[1] 《全民阅读促进条例》（中华人民共和国国务院令第 823 号），中国政府网，2025 年 12 月 16 日发布，2026 年 2 月 1 日起施行。</w:t>
      </w:r>
      <w:hyperlink r:id="Rd7a5bc1c456f432b">
        <w:r>
          <w:rPr>
            <w:rStyle w:val="Hyperlink"/>
          </w:rPr>
          <w:t xml:space="preserve">https://www.gov.cn/zhengce/zhengceku/202512/content%5F7051859.htm</w:t>
        </w:r>
      </w:hyperlink>
    </w:p>
    <w:p>
      <w:pPr>
        <w:pStyle w:val="RefItem"/>
      </w:pPr>
      <w:r>
        <w:t xml:space="preserve">[2] 《中华人民共和国国民经济和社会发展第十五个五年规划纲要》，新华社 2026 年 3 月 13 日受权全文播发。</w:t>
      </w:r>
      <w:hyperlink r:id="R67d8a90facc646a4">
        <w:r>
          <w:rPr>
            <w:rStyle w:val="Hyperlink"/>
          </w:rPr>
          <w:t xml:space="preserve">https://www.news.cn/politics/20260313/085af5de5a4b4268aa7d87d90817df2f/c.html</w:t>
        </w:r>
      </w:hyperlink>
    </w:p>
    <w:p>
      <w:pPr>
        <w:pStyle w:val="RefItem"/>
      </w:pPr>
      <w:r>
        <w:t xml:space="preserve">[3] 新华社：《学习规划建议每日问答｜实施公共文化服务提质增效行动需要把握哪些重点》，2026 年 1 月 10 日。</w:t>
      </w:r>
      <w:hyperlink r:id="R69d764f0720f4fbf">
        <w:r>
          <w:rPr>
            <w:rStyle w:val="Hyperlink"/>
          </w:rPr>
          <w:t xml:space="preserve">https://www.gov.cn/zhengce/202601/content%5F7054436.htm</w:t>
        </w:r>
      </w:hyperlink>
    </w:p>
    <w:p>
      <w:pPr>
        <w:pStyle w:val="RefItem"/>
      </w:pPr>
      <w:r>
        <w:t xml:space="preserve">[4] 文化和旅游部：《关于政协十四届全国委员会第三次会议第 04362 号（文体宣传类 399 号）提案答复的函》（文旅公共函〔2025〕377 号），2025 年 12 月 17 日。</w:t>
      </w:r>
      <w:hyperlink r:id="Rb99c254a5d1c4b19">
        <w:r>
          <w:rPr>
            <w:rStyle w:val="Hyperlink"/>
          </w:rPr>
          <w:t xml:space="preserve">https://zwgk.mct.gov.cn/zfxxgkml/zhgl/jytadf/202512/t20251217%5F963753.html</w:t>
        </w:r>
      </w:hyperlink>
    </w:p>
    <w:p>
      <w:pPr>
        <w:pStyle w:val="RefItem"/>
      </w:pPr>
      <w:r>
        <w:t xml:space="preserve">[5] 《光明日报》：《面向“十五五”：公共文化服务如何提质增效》（圆桌对话），转载于林州市人民政府网站，2025 年 11 月 7 日。</w:t>
      </w:r>
      <w:hyperlink r:id="R8afdc2d7b5414b59">
        <w:r>
          <w:rPr>
            <w:rStyle w:val="Hyperlink"/>
          </w:rPr>
          <w:t xml:space="preserve">http://www.linzhou.gov.cn/2025/11-07/3615985.html</w:t>
        </w:r>
      </w:hyperlink>
    </w:p>
    <w:p>
      <w:pPr>
        <w:pStyle w:val="RefItem"/>
      </w:pPr>
      <w:r>
        <w:t xml:space="preserve">[6] 李媛媛：《健全公共文化服务体系》，《学习时报》2026 年 8 月 12 日。</w:t>
      </w:r>
      <w:hyperlink r:id="R040ffd857f71440d">
        <w:r>
          <w:rPr>
            <w:rStyle w:val="Hyperlink"/>
          </w:rPr>
          <w:t xml:space="preserve">http://www.qstheory.cn/20260812/eb53a5271e4d44eaa1824c7a827bb08d/c.html</w:t>
        </w:r>
      </w:hyperlink>
    </w:p>
    <w:p>
      <w:pPr>
        <w:pStyle w:val="RefItem"/>
      </w:pPr>
      <w:r>
        <w:t xml:space="preserve">[7] 浙江省市场监督管理局：《城市书房服务规范》（DB33/T 2181-2019），2019 年发布。</w:t>
      </w:r>
      <w:hyperlink r:id="Rd93e9f98454d453f">
        <w:r>
          <w:rPr>
            <w:rStyle w:val="Hyperlink"/>
          </w:rPr>
          <w:t xml:space="preserve">https://dbba.sacinfo.org.cn/portal/download/d198d459073adbfa043b01bab9e53b44bb1a5a833bfa0569fef3507d7e43dbd5</w:t>
        </w:r>
      </w:hyperlink>
    </w:p>
    <w:p>
      <w:pPr>
        <w:pStyle w:val="RefGroup"/>
      </w:pPr>
      <w:r>
        <w:t xml:space="preserve">（二）研究文献</w:t>
      </w:r>
    </w:p>
    <w:p>
      <w:pPr>
        <w:pStyle w:val="RefItem"/>
      </w:pPr>
      <w:r>
        <w:t xml:space="preserve">[8] 李沅洁、邵波：《智慧图书馆十年实践研究：进展、困境与出路》，《图书情报工作》2023，67（24）：135-148。</w:t>
      </w:r>
    </w:p>
    <w:p>
      <w:pPr>
        <w:pStyle w:val="RefItem"/>
      </w:pPr>
      <w:r>
        <w:t xml:space="preserve">[9] 李东来：《24 小时全民阅读服务 20 年》，《图书馆研究》2025（6）：1-3。</w:t>
      </w:r>
    </w:p>
    <w:p>
      <w:pPr>
        <w:pStyle w:val="RefItem"/>
      </w:pPr>
      <w:r>
        <w:t xml:space="preserve">[10] 王东：《无人值守城市书房建设经验与思考：以北京市大兴区 24 小时城市书房为例》，《文化产业》2023（1）：153-155。</w:t>
      </w:r>
    </w:p>
    <w:p>
      <w:pPr>
        <w:pStyle w:val="RefItem"/>
      </w:pPr>
      <w:r>
        <w:t xml:space="preserve">[11] 王婷婷：《智慧图书馆体系下公共图书馆 24 小时自助服务研究：以浙江台州“和合书吧”与“和合 e 书吧”为例》，《河北科技图苑》2023，36（5）：21-26。</w:t>
      </w:r>
    </w:p>
    <w:p>
      <w:pPr>
        <w:pStyle w:val="RefItem"/>
      </w:pPr>
      <w:r>
        <w:t xml:space="preserve">[12] 朱恒：《浅议无人值守图书馆》，《湖南财经高等专科学校学报》2008（3）：159-160。</w:t>
      </w:r>
    </w:p>
    <w:p>
      <w:pPr>
        <w:pStyle w:val="RefItem"/>
      </w:pPr>
      <w:r>
        <w:t xml:space="preserve">[13] 陈望舒：《基于人工智能的 24 h 自助图书馆服务模式构建研究》，《江苏科技信息》2021（6）：17-19。</w:t>
      </w:r>
    </w:p>
    <w:p>
      <w:pPr>
        <w:pStyle w:val="RefItem"/>
      </w:pPr>
      <w:r>
        <w:t xml:space="preserve">[14] 冯银花：《基于人工智能的无人图书馆》，《大学图书情报学刊》2019，37（4）：89-93。</w:t>
      </w:r>
    </w:p>
    <w:p>
      <w:pPr>
        <w:pStyle w:val="RefItem"/>
      </w:pPr>
      <w:r>
        <w:t xml:space="preserve">[15] 刘惠：《基于 RFID 技术的无人图书馆还书自动分拣方法》，《电子设计工程》2023，31（3）：96-99、104。</w:t>
      </w:r>
    </w:p>
    <w:p>
      <w:pPr>
        <w:pStyle w:val="RefGroup"/>
      </w:pPr>
      <w:r>
        <w:t xml:space="preserve">（三）案例与公开数据</w:t>
      </w:r>
    </w:p>
    <w:p>
      <w:pPr>
        <w:pStyle w:val="RefItem"/>
      </w:pPr>
      <w:r>
        <w:t xml:space="preserve">[16] 温州市文化广电旅游局（转载）：《再添 12 家！城市书房扩容升级，温州打造城乡文化新空间》，2025 年 12 月 11 日。</w:t>
      </w:r>
      <w:hyperlink r:id="Re61908b19c764f5c">
        <w:r>
          <w:rPr>
            <w:rStyle w:val="Hyperlink"/>
          </w:rPr>
          <w:t xml:space="preserve">https://wl.wenzhou.gov.cn/col/col1642045/art/2025/art%5F8e8eb0cf960f4cf6a49c72fd312f6fd4.html</w:t>
        </w:r>
      </w:hyperlink>
    </w:p>
    <w:p>
      <w:pPr>
        <w:pStyle w:val="RefItem"/>
      </w:pPr>
      <w:r>
        <w:t xml:space="preserve">[17] 启东市统计局：《2025 年启东市国民经济和社会发展统计公报》，2026 年发布。</w:t>
      </w:r>
      <w:hyperlink r:id="R562aeb77390d4a2c">
        <w:r>
          <w:rPr>
            <w:rStyle w:val="Hyperlink"/>
          </w:rPr>
          <w:t xml:space="preserve">http://www.qidong.gov.cn/qdstjj/tjgb/content/437240e7-bc30-4199-a21f-4e6f2a7703f0.html</w:t>
        </w:r>
      </w:hyperlink>
    </w:p>
    <w:p>
      <w:pPr>
        <w:pStyle w:val="RefItem"/>
      </w:pPr>
      <w:r>
        <w:t xml:space="preserve">[18] 南通市人民政府网站（来源：启东市）：《打造全天候便民阅读阵地》，2026 年 9 月 9 日。</w:t>
      </w:r>
      <w:hyperlink r:id="R1df20358063d4829">
        <w:r>
          <w:rPr>
            <w:rStyle w:val="Hyperlink"/>
          </w:rPr>
          <w:t xml:space="preserve">https://www.nantong.gov.cn/ntsrmzf/sxcz/content/5e4f58a9-ed37-4896-be0c-06a0a2e39845.html</w:t>
        </w:r>
      </w:hyperlink>
    </w:p>
    <w:p>
      <w:pPr>
        <w:pStyle w:val="RefItem"/>
      </w:pPr>
      <w:r>
        <w:t xml:space="preserve">[19] 台州市公共文化服务“一法一条例”实施情况新闻发布会（中国台州网实录），2024 年 12 月 30 日。</w:t>
      </w:r>
      <w:hyperlink r:id="R21091a5557ac4b0c">
        <w:r>
          <w:rPr>
            <w:rStyle w:val="Hyperlink"/>
          </w:rPr>
          <w:t xml:space="preserve">http://www.taizhou.com.cn/xwfbt/col/2024-12/30/content%5F6963350.htm</w:t>
        </w:r>
      </w:hyperlink>
    </w:p>
    <w:p>
      <w:pPr>
        <w:pStyle w:val="RefItem"/>
      </w:pPr>
      <w:r>
        <w:t xml:space="preserve">[20] 台州市文化和广电旅游体育局：《和合书吧德润馆获评“城市书房智慧化建设主题创新案例”》，2025 年 11 月 3 日。</w:t>
      </w:r>
      <w:hyperlink r:id="R7305e3f4ae38459c">
        <w:r>
          <w:rPr>
            <w:rStyle w:val="Hyperlink"/>
          </w:rPr>
          <w:t xml:space="preserve">https://wgltj.zjtz.gov.cn/art/2025/11/3/art%5F1229052967%5F58911546.html</w:t>
        </w:r>
      </w:hyperlink>
    </w:p>
    <w:p>
      <w:pPr>
        <w:pStyle w:val="RefItem"/>
      </w:pPr>
      <w:r>
        <w:t xml:space="preserve">[21] 东莞市人民政府办公室：《@东莞，你是当之无愧的阅读之城》，2023 年 8 月 14 日。</w:t>
      </w:r>
      <w:hyperlink r:id="R87c13c57dfbe4a47">
        <w:r>
          <w:rPr>
            <w:rStyle w:val="Hyperlink"/>
          </w:rPr>
          <w:t xml:space="preserve">https://www.dg.gov.cn/gkmlpt/content/4/4055/mpost%5F4055037.html</w:t>
        </w:r>
      </w:hyperlink>
    </w:p>
    <w:p>
      <w:pPr>
        <w:pStyle w:val="RefItem"/>
      </w:pPr>
      <w:r>
        <w:t xml:space="preserve">[22] 政协北京市大兴区委员会：《175 号提案及办理报告》（承办单位：大兴区文化和旅游局），2025 年 9 月 23 日。</w:t>
      </w:r>
      <w:hyperlink r:id="R38d6c1056f8641be">
        <w:r>
          <w:rPr>
            <w:rStyle w:val="Hyperlink"/>
          </w:rPr>
          <w:t xml:space="preserve">https://zhengxie.bjdx.gov.cn/dxzx/tagk/2266252/index.html</w:t>
        </w:r>
      </w:hyperlink>
    </w:p>
    <w:p>
      <w:pPr>
        <w:pStyle w:val="RefItem"/>
      </w:pPr>
      <w:r>
        <w:t xml:space="preserve">[23] 三河市人民政府：《三河：24 小时城市书房点亮万家书香》，2026 年 4 月 9 日。</w:t>
      </w:r>
      <w:hyperlink r:id="Rcfe64b480fc54bb0">
        <w:r>
          <w:rPr>
            <w:rStyle w:val="Hyperlink"/>
          </w:rPr>
          <w:t xml:space="preserve">http://www.san-he.gov.cn/content/detail?id=51678</w:t>
        </w:r>
      </w:hyperlink>
    </w:p>
    <w:sectPr>
      <w:headerReference w:type="default" r:id="Rd3bb614038e94907"/>
      <w:footerReference w:type="default" r:id="R328079bc422442d4"/>
      <w:pgSz w:w="11906" w:h="16838"/>
      <w:pgMar w:top="1418" w:right="1418" w:bottom="1418" w:left="1418" w:header="720" w:footer="720" w:gutter="0"/>
    </w:sectPr>
  </w:body>
</w:document>
</file>

<file path=word/footer1.xml><?xml version="1.0" encoding="utf-8"?>
<w:ftr xmlns:w="http://schemas.openxmlformats.org/wordprocessingml/2006/main">
  <w:p>
    <w:pPr>
      <w:jc w:val="center"/>
    </w:pPr>
    <w:r>
      <w:rPr>
        <w:rFonts w:ascii="Times New Roman" w:hAnsi="Times New Roman" w:eastAsia="SimSun"/>
        <w:color w:val="808080"/>
        <w:sz w:val="18"/>
        <w:szCs w:val="18"/>
      </w:rPr>
      <w:t xml:space="preserve">第 </w:t>
    </w:r>
    <w:r>
      <w:fldChar w:fldCharType="begin"/>
      <w:instrText xml:space="preserve"> PAGE </w:instrText>
      <w:fldChar w:fldCharType="separate"/>
      <w:t>1</w:t>
      <w:fldChar w:fldCharType="end"/>
    </w:r>
    <w:r>
      <w:rPr>
        <w:rFonts w:ascii="Times New Roman" w:hAnsi="Times New Roman" w:eastAsia="SimSun"/>
        <w:color w:val="808080"/>
        <w:sz w:val="18"/>
        <w:szCs w:val="18"/>
      </w:rPr>
      <w:t xml:space="preserve"> 页 共 </w:t>
    </w:r>
    <w:r>
      <w:fldChar w:fldCharType="begin"/>
      <w:instrText xml:space="preserve"> NUMPAGES </w:instrText>
      <w:fldChar w:fldCharType="separate"/>
      <w:t>1</w:t>
      <w:fldChar w:fldCharType="end"/>
    </w:r>
    <w:r>
      <w:rPr>
        <w:rFonts w:ascii="Times New Roman" w:hAnsi="Times New Roman" w:eastAsia="SimSun"/>
        <w:color w:val="808080"/>
        <w:sz w:val="18"/>
        <w:szCs w:val="18"/>
      </w:rPr>
      <w:t xml:space="preserve"> 页</w:t>
    </w:r>
  </w:p>
</w:ftr>
</file>

<file path=word/header1.xml><?xml version="1.0" encoding="utf-8"?>
<w:hdr xmlns:w="http://schemas.openxmlformats.org/wordprocessingml/2006/main">
  <w:p>
    <w:pPr>
      <w:jc w:val="right"/>
    </w:pPr>
    <w:r>
      <w:rPr>
        <w:rFonts w:ascii="Times New Roman" w:hAnsi="Times New Roman" w:eastAsia="SimSun"/>
        <w:color w:val="808080"/>
        <w:sz w:val="18"/>
        <w:szCs w:val="18"/>
      </w:rPr>
      <w:t xml:space="preserve">无人值守图书馆系统需求分析文档</w:t>
    </w:r>
  </w:p>
</w:hdr>
</file>

<file path=word/numbering.xml><?xml version="1.0" encoding="utf-8"?>
<w:numbering xmlns:w="http://schemas.openxmlformats.org/wordprocessingml/2006/main">
  <w:abstractNum w:abstractNumId="1">
    <w:lvl w:ilvl="0">
      <w:start w:val="1"/>
      <w:numFmt w:val="bullet"/>
      <w:lvlText w:val="•"/>
      <w:lvlJc w:val="left"/>
      <w:pPr>
        <w:ind w:left="560" w:hanging="280"/>
      </w:pPr>
      <w:rPr>
        <w:rFonts w:hint="eastAsia" w:ascii="SimSun" w:hAnsi="SimSun"/>
      </w:r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before="0" w:after="0" w:line="360" w:lineRule="auto"/>
      <w:ind w:firstLine="480" w:firstLineChars="200"/>
      <w:jc w:val="both"/>
    </w:pPr>
    <w:rPr>
      <w:rFonts w:ascii="Times New Roman" w:hAnsi="Times New Roman" w:eastAsia="SimSun"/>
      <w:sz w:val="24"/>
      <w:szCs w:val="24"/>
    </w:rPr>
  </w:style>
  <w:style w:type="paragraph" w:styleId="Heading1">
    <w:name w:val="heading 1"/>
    <w:basedOn w:val="Normal"/>
    <w:pPr>
      <w:keepNext/>
      <w:keepLines/>
      <w:spacing w:before="480" w:after="320" w:line="300" w:lineRule="auto"/>
      <w:ind w:firstLine="0" w:firstLineChars="0"/>
      <w:jc w:val="center"/>
      <w:outlineLvl w:val="0"/>
    </w:pPr>
    <w:rPr>
      <w:rFonts w:ascii="SimHei" w:hAnsi="SimHei" w:eastAsia="SimHei"/>
      <w:b/>
      <w:sz w:val="32"/>
      <w:szCs w:val="32"/>
    </w:rPr>
  </w:style>
  <w:style w:type="paragraph" w:styleId="Heading2">
    <w:name w:val="heading 2"/>
    <w:basedOn w:val="Normal"/>
    <w:pPr>
      <w:keepNext/>
      <w:keepLines/>
      <w:spacing w:before="320" w:after="200" w:line="300" w:lineRule="auto"/>
      <w:ind w:firstLine="0" w:firstLineChars="0"/>
      <w:jc w:val="left"/>
      <w:outlineLvl w:val="1"/>
    </w:pPr>
    <w:rPr>
      <w:rFonts w:ascii="SimHei" w:hAnsi="SimHei" w:eastAsia="SimHei"/>
      <w:b/>
      <w:sz w:val="28"/>
      <w:szCs w:val="28"/>
    </w:rPr>
  </w:style>
  <w:style w:type="paragraph" w:styleId="Heading3">
    <w:name w:val="heading 3"/>
    <w:basedOn w:val="Normal"/>
    <w:pPr>
      <w:keepNext/>
      <w:keepLines/>
      <w:spacing w:before="240" w:after="120" w:line="300" w:lineRule="auto"/>
      <w:ind w:firstLine="0" w:firstLineChars="0"/>
      <w:jc w:val="left"/>
      <w:outlineLvl w:val="2"/>
    </w:pPr>
    <w:rPr>
      <w:rFonts w:ascii="SimHei" w:hAnsi="SimHei" w:eastAsia="SimHei"/>
      <w:b/>
      <w:sz w:val="24"/>
      <w:szCs w:val="24"/>
    </w:rPr>
  </w:style>
  <w:style w:type="paragraph" w:styleId="CoverTitle">
    <w:name w:val="CoverTitle"/>
    <w:basedOn w:val="Normal"/>
    <w:pPr>
      <w:spacing w:before="0" w:after="240" w:line="300" w:lineRule="auto"/>
      <w:ind w:firstLine="0" w:firstLineChars="0"/>
      <w:jc w:val="center"/>
    </w:pPr>
    <w:rPr>
      <w:rFonts w:ascii="SimHei" w:hAnsi="SimHei" w:eastAsia="SimHei"/>
      <w:b/>
      <w:sz w:val="72"/>
      <w:szCs w:val="72"/>
    </w:rPr>
  </w:style>
  <w:style w:type="paragraph" w:styleId="CoverSubtitle">
    <w:name w:val="CoverSubtitle"/>
    <w:basedOn w:val="Normal"/>
    <w:pPr>
      <w:spacing w:before="0" w:after="120" w:line="300" w:lineRule="auto"/>
      <w:ind w:firstLine="0" w:firstLineChars="0"/>
      <w:jc w:val="center"/>
    </w:pPr>
    <w:rPr>
      <w:rFonts w:ascii="SimHei" w:hAnsi="SimHei" w:eastAsia="SimHei"/>
      <w:color w:val="404040"/>
      <w:sz w:val="44"/>
      <w:szCs w:val="44"/>
    </w:rPr>
  </w:style>
  <w:style w:type="paragraph" w:styleId="CoverInfo">
    <w:name w:val="CoverInfo"/>
    <w:basedOn w:val="Normal"/>
    <w:pPr>
      <w:spacing w:before="0" w:after="80" w:line="360" w:lineRule="auto"/>
      <w:ind w:firstLine="0" w:firstLineChars="0"/>
      <w:jc w:val="center"/>
    </w:pPr>
    <w:rPr>
      <w:rFonts w:ascii="Times New Roman" w:hAnsi="Times New Roman" w:eastAsia="SimSun"/>
      <w:sz w:val="24"/>
      <w:szCs w:val="24"/>
    </w:rPr>
  </w:style>
  <w:style w:type="paragraph" w:styleId="TOCHeading">
    <w:name w:val="TOCHeading"/>
    <w:basedOn w:val="Normal"/>
    <w:pPr>
      <w:keepNext/>
      <w:spacing w:before="240" w:after="240" w:line="300" w:lineRule="auto"/>
      <w:ind w:firstLine="0" w:firstLineChars="0"/>
      <w:jc w:val="center"/>
    </w:pPr>
    <w:rPr>
      <w:rFonts w:ascii="SimHei" w:hAnsi="SimHei" w:eastAsia="SimHei"/>
      <w:b/>
      <w:sz w:val="32"/>
      <w:szCs w:val="32"/>
    </w:rPr>
  </w:style>
  <w:style w:type="paragraph" w:styleId="Hint">
    <w:name w:val="Hint"/>
    <w:basedOn w:val="Normal"/>
    <w:pPr>
      <w:spacing w:before="120" w:after="240" w:line="300" w:lineRule="auto"/>
      <w:ind w:firstLine="0" w:firstLineChars="0"/>
      <w:jc w:val="left"/>
    </w:pPr>
    <w:rPr>
      <w:rFonts w:ascii="Times New Roman" w:hAnsi="Times New Roman" w:eastAsia="SimSun"/>
      <w:color w:val="808080"/>
      <w:sz w:val="18"/>
      <w:szCs w:val="18"/>
    </w:rPr>
  </w:style>
  <w:style w:type="paragraph" w:styleId="RefGroup">
    <w:name w:val="RefGroup"/>
    <w:basedOn w:val="Normal"/>
    <w:pPr>
      <w:keepNext/>
      <w:spacing w:before="280" w:after="140" w:line="300" w:lineRule="auto"/>
      <w:ind w:firstLine="0" w:firstLineChars="0"/>
      <w:jc w:val="left"/>
    </w:pPr>
    <w:rPr>
      <w:rFonts w:ascii="SimHei" w:hAnsi="SimHei" w:eastAsia="SimHei"/>
      <w:b/>
      <w:sz w:val="24"/>
      <w:szCs w:val="24"/>
    </w:rPr>
  </w:style>
  <w:style w:type="paragraph" w:styleId="RefItem">
    <w:name w:val="RefItem"/>
    <w:basedOn w:val="Normal"/>
    <w:pPr>
      <w:spacing w:before="0" w:after="60" w:line="300" w:lineRule="auto"/>
      <w:ind w:left="0" w:firstLine="0" w:firstLineChars="0"/>
      <w:jc w:val="left"/>
    </w:pPr>
    <w:rPr>
      <w:rFonts w:ascii="Times New Roman" w:hAnsi="Times New Roman" w:eastAsia="SimSun"/>
      <w:sz w:val="21"/>
      <w:szCs w:val="21"/>
    </w:rPr>
  </w:style>
  <w:style w:type="paragraph" w:styleId="BulletItem">
    <w:name w:val="BulletItem"/>
    <w:basedOn w:val="Normal"/>
    <w:pPr>
      <w:spacing w:before="0" w:after="0" w:line="360" w:lineRule="auto"/>
      <w:ind w:left="560" w:hanging="280" w:firstLine="0" w:firstLineChars="0"/>
      <w:jc w:val="both"/>
    </w:pPr>
    <w:rPr>
      <w:rFonts w:ascii="Times New Roman" w:hAnsi="Times New Roman" w:eastAsia="SimSun"/>
      <w:sz w:val="24"/>
      <w:szCs w:val="24"/>
    </w:rPr>
  </w:style>
  <w:style w:type="paragraph" w:styleId="LeftBody">
    <w:name w:val="LeftBody"/>
    <w:basedOn w:val="Normal"/>
    <w:pPr>
      <w:ind w:firstLine="480" w:firstLineChars="200"/>
      <w:jc w:val="left"/>
    </w:pPr>
    <w:rPr>
      <w:rFonts w:ascii="Times New Roman" w:hAnsi="Times New Roman" w:eastAsia="SimSun"/>
      <w:sz w:val="24"/>
      <w:szCs w:val="24"/>
    </w:rPr>
  </w:style>
  <w:style w:type="paragraph" w:styleId="TOCEntry1">
    <w:name w:val="TOCEntry1"/>
    <w:basedOn w:val="Normal"/>
    <w:pPr>
      <w:spacing w:before="0" w:after="70" w:line="300" w:lineRule="auto"/>
      <w:ind w:firstLine="0" w:firstLineChars="0"/>
      <w:jc w:val="left"/>
    </w:pPr>
    <w:rPr>
      <w:rFonts w:ascii="SimHei" w:hAnsi="SimHei" w:eastAsia="SimHei"/>
      <w:sz w:val="24"/>
      <w:szCs w:val="24"/>
    </w:rPr>
  </w:style>
  <w:style w:type="paragraph" w:styleId="TOCEntry2">
    <w:name w:val="TOCEntry2"/>
    <w:basedOn w:val="Normal"/>
    <w:pPr>
      <w:spacing w:before="0" w:after="50" w:line="300" w:lineRule="auto"/>
      <w:ind w:left="480" w:firstLine="0" w:firstLineChars="0"/>
      <w:jc w:val="left"/>
    </w:pPr>
    <w:rPr>
      <w:rFonts w:ascii="Times New Roman" w:hAnsi="Times New Roman" w:eastAsia="SimSun"/>
      <w:sz w:val="24"/>
      <w:szCs w:val="24"/>
    </w:rPr>
  </w:style>
  <w:style w:type="character" w:styleId="Hyperlink">
    <w:name w:val="Hyperlink"/>
    <w:rPr>
      <w:rFonts w:ascii="Times New Roman" w:hAnsi="Times New Roman" w:eastAsia="SimSun"/>
      <w:color w:val="0563C1"/>
      <w:u w:val="single"/>
    </w:rPr>
  </w:style>
</w:styles>
</file>

<file path=word/_rels/document.xml.rels>&#65279;<?xml version="1.0" encoding="utf-8"?><Relationships xmlns="http://schemas.openxmlformats.org/package/2006/relationships"><Relationship Type="http://schemas.openxmlformats.org/officeDocument/2006/relationships/styles" Target="/word/styles.xml" Id="Rc5cb32f75a30441c" /><Relationship Type="http://schemas.openxmlformats.org/officeDocument/2006/relationships/numbering" Target="/word/numbering.xml" Id="Rdb279a06daba4632" /><Relationship Type="http://schemas.openxmlformats.org/officeDocument/2006/relationships/header" Target="/word/header1.xml" Id="Rd3bb614038e94907" /><Relationship Type="http://schemas.openxmlformats.org/officeDocument/2006/relationships/footer" Target="/word/footer1.xml" Id="R328079bc422442d4" /><Relationship Type="http://schemas.openxmlformats.org/officeDocument/2006/relationships/hyperlink" Target="https://www.gov.cn/zhengce/zhengceku/202512/content%5F7051859.htm" TargetMode="External" Id="Rd7a5bc1c456f432b" /><Relationship Type="http://schemas.openxmlformats.org/officeDocument/2006/relationships/hyperlink" Target="https://www.news.cn/politics/20260313/085af5de5a4b4268aa7d87d90817df2f/c.html" TargetMode="External" Id="R67d8a90facc646a4" /><Relationship Type="http://schemas.openxmlformats.org/officeDocument/2006/relationships/hyperlink" Target="https://www.gov.cn/zhengce/202601/content%5F7054436.htm" TargetMode="External" Id="R69d764f0720f4fbf" /><Relationship Type="http://schemas.openxmlformats.org/officeDocument/2006/relationships/hyperlink" Target="https://zwgk.mct.gov.cn/zfxxgkml/zhgl/jytadf/202512/t20251217%5F963753.html" TargetMode="External" Id="Rb99c254a5d1c4b19" /><Relationship Type="http://schemas.openxmlformats.org/officeDocument/2006/relationships/hyperlink" Target="http://www.linzhou.gov.cn/2025/11-07/3615985.html" TargetMode="External" Id="R8afdc2d7b5414b59" /><Relationship Type="http://schemas.openxmlformats.org/officeDocument/2006/relationships/hyperlink" Target="http://www.qstheory.cn/20260812/eb53a5271e4d44eaa1824c7a827bb08d/c.html" TargetMode="External" Id="R040ffd857f71440d" /><Relationship Type="http://schemas.openxmlformats.org/officeDocument/2006/relationships/hyperlink" Target="https://dbba.sacinfo.org.cn/portal/download/d198d459073adbfa043b01bab9e53b44bb1a5a833bfa0569fef3507d7e43dbd5" TargetMode="External" Id="Rd93e9f98454d453f" /><Relationship Type="http://schemas.openxmlformats.org/officeDocument/2006/relationships/hyperlink" Target="https://wl.wenzhou.gov.cn/col/col1642045/art/2025/art%5F8e8eb0cf960f4cf6a49c72fd312f6fd4.html" TargetMode="External" Id="Re61908b19c764f5c" /><Relationship Type="http://schemas.openxmlformats.org/officeDocument/2006/relationships/hyperlink" Target="http://www.qidong.gov.cn/qdstjj/tjgb/content/437240e7-bc30-4199-a21f-4e6f2a7703f0.html" TargetMode="External" Id="R562aeb77390d4a2c" /><Relationship Type="http://schemas.openxmlformats.org/officeDocument/2006/relationships/hyperlink" Target="https://www.nantong.gov.cn/ntsrmzf/sxcz/content/5e4f58a9-ed37-4896-be0c-06a0a2e39845.html" TargetMode="External" Id="R1df20358063d4829" /><Relationship Type="http://schemas.openxmlformats.org/officeDocument/2006/relationships/hyperlink" Target="http://www.taizhou.com.cn/xwfbt/col/2024-12/30/content%5F6963350.htm" TargetMode="External" Id="R21091a5557ac4b0c" /><Relationship Type="http://schemas.openxmlformats.org/officeDocument/2006/relationships/hyperlink" Target="https://wgltj.zjtz.gov.cn/art/2025/11/3/art%5F1229052967%5F58911546.html" TargetMode="External" Id="R7305e3f4ae38459c" /><Relationship Type="http://schemas.openxmlformats.org/officeDocument/2006/relationships/hyperlink" Target="https://www.dg.gov.cn/gkmlpt/content/4/4055/mpost%5F4055037.html" TargetMode="External" Id="R87c13c57dfbe4a47" /><Relationship Type="http://schemas.openxmlformats.org/officeDocument/2006/relationships/hyperlink" Target="https://zhengxie.bjdx.gov.cn/dxzx/tagk/2266252/index.html" TargetMode="External" Id="R38d6c1056f8641be" /><Relationship Type="http://schemas.openxmlformats.org/officeDocument/2006/relationships/hyperlink" Target="http://www.san-he.gov.cn/content/detail?id=51678" TargetMode="External" Id="Rcfe64b480fc54bb0" /><Relationship Type="http://schemas.openxmlformats.org/officeDocument/2006/relationships/settings" Target="/word/settings.xml" Id="Rfb243914038e4024" /></Relationships>
</file>