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before="0" w:after="0"/>
      </w:pPr>
      <w:r>
        <w:t>2024년 ARI팀 전력분석 보고서</w:t>
      </w:r>
    </w:p>
    <w:p>
      <w:pPr>
        <w:spacing w:before="120" w:after="80"/>
      </w:pPr>
      <w:r>
        <w:rPr>
          <w:rFonts w:ascii="Malgun Gothic" w:hAnsi="Malgun Gothic" w:eastAsia="Malgun Gothic"/>
          <w:b/>
          <w:sz w:val="28"/>
        </w:rPr>
        <w:t>0. 요약</w:t>
      </w:r>
    </w:p>
    <w:p>
      <w:r>
        <w:t>2024년 ARI팀은 시즌 종합 성적에서 8위를 기록하며 총 162경기 중 89승 73패, 승률 0.549를 달성했습니다. 경기당 평균 5.47득점과 4.86실점을 기록하며 득실 마진에서 긍정적인 모습을 보였습니다. 직전년도인 2023년과 비교했을 때, 2023년 12위, 승률 0.52, 경기당 평균 4.60득점, 4.70실점이었던 점을 감안하면 2024년에는 순위가 4계단 상승하고 승률 및 득점력이 크게 향상된 것을 확인할 수 있습니다. 특히 경기당 득점이 0.87점 증가한 반면 실점은 소폭 증가에 그쳐 전반적인 경기 운영 능력이 개선되었습니다. 팀 경기력 분석 결과, 투수 능력은 대체선수 대비 승리 기여도(pWAR) 12.4로 리그 19위에 머물러 상대적으로 약점을 보였습니다. 반면 타자 능력은 대체선수 대비 승리 기여도(bWAR) 34.1로 리그 2위라는 매우 뛰어난 성적을 기록하며 팀의 공격력을 이끌었습니다. 수비 능력은 수비로 막아낸 득점(DRS) 13으로 리그 17위를 기록하여 평균 수준의 수비력을 보여주었습니다. 종합적으로 볼 때, 2024년 ARI팀은 강력한 타선을 바탕으로 전년 대비 크게 향상된 시즌을 보냈으나, 투수력과 수비력의 보강이 이루어진다면 더욱 높은 성적을 기대할 수 있을 것으로 판단됩니다.</w:t>
      </w:r>
    </w:p>
    <w:tbl>
      <w:tblPr>
        <w:tblW w:type="auto" w:w="0"/>
        <w:tblLook w:firstColumn="1" w:firstRow="1" w:lastColumn="0" w:lastRow="0" w:noHBand="0" w:noVBand="1" w:val="04A0"/>
      </w:tblPr>
      <w:tblGrid>
        <w:gridCol w:w="10466"/>
      </w:tblGrid>
      <w:tr>
        <w:tc>
          <w:tcPr>
            <w:tcW w:type="dxa" w:w="10466"/>
          </w:tcPr>
          <w:p/>
          <w:p>
            <w:pPr>
              <w:spacing w:before="120" w:after="80"/>
            </w:pPr>
            <w:r>
              <w:rPr>
                <w:rFonts w:ascii="Malgun Gothic" w:hAnsi="Malgun Gothic" w:eastAsia="Malgun Gothic"/>
                <w:b/>
                <w:sz w:val="28"/>
              </w:rPr>
              <w:t>1. 시즌 팀 종합 성적</w:t>
            </w:r>
          </w:p>
          <w:tbl>
            <w:tblPr>
              <w:tblStyle w:val="TableGrid"/>
              <w:tblW w:type="auto" w:w="0"/>
              <w:tblLook w:firstColumn="1" w:firstRow="1" w:lastColumn="0" w:lastRow="0" w:noHBand="0" w:noVBand="1" w:val="04A0"/>
            </w:tblPr>
            <w:tblGrid>
              <w:gridCol w:w="1163"/>
              <w:gridCol w:w="1163"/>
              <w:gridCol w:w="1163"/>
              <w:gridCol w:w="1163"/>
              <w:gridCol w:w="1163"/>
              <w:gridCol w:w="1163"/>
              <w:gridCol w:w="1163"/>
              <w:gridCol w:w="1163"/>
              <w:gridCol w:w="1163"/>
            </w:tblGrid>
            <w:tr>
              <w:tc>
                <w:tcPr>
                  <w:tcW w:type="dxa" w:w="1163"/>
                  <w:shd w:fill="D9D9D9"/>
                  <w:vAlign w:val="center"/>
                </w:tcPr>
                <w:p>
                  <w:pPr>
                    <w:jc w:val="center"/>
                  </w:pPr>
                  <w:r>
                    <w:rPr>
                      <w:b/>
                    </w:rPr>
                    <w:t>Rank</w:t>
                  </w:r>
                </w:p>
              </w:tc>
              <w:tc>
                <w:tcPr>
                  <w:tcW w:type="dxa" w:w="1163"/>
                  <w:shd w:fill="D9D9D9"/>
                  <w:vAlign w:val="center"/>
                </w:tcPr>
                <w:p>
                  <w:pPr>
                    <w:jc w:val="center"/>
                  </w:pPr>
                  <w:r>
                    <w:rPr>
                      <w:b/>
                    </w:rPr>
                    <w:t>G</w:t>
                  </w:r>
                </w:p>
              </w:tc>
              <w:tc>
                <w:tcPr>
                  <w:tcW w:type="dxa" w:w="1163"/>
                  <w:shd w:fill="D9D9D9"/>
                  <w:vAlign w:val="center"/>
                </w:tcPr>
                <w:p>
                  <w:pPr>
                    <w:jc w:val="center"/>
                  </w:pPr>
                  <w:r>
                    <w:rPr>
                      <w:b/>
                    </w:rPr>
                    <w:t>W</w:t>
                  </w:r>
                </w:p>
              </w:tc>
              <w:tc>
                <w:tcPr>
                  <w:tcW w:type="dxa" w:w="1163"/>
                  <w:shd w:fill="D9D9D9"/>
                  <w:vAlign w:val="center"/>
                </w:tcPr>
                <w:p>
                  <w:pPr>
                    <w:jc w:val="center"/>
                  </w:pPr>
                  <w:r>
                    <w:rPr>
                      <w:b/>
                    </w:rPr>
                    <w:t>L</w:t>
                  </w:r>
                </w:p>
              </w:tc>
              <w:tc>
                <w:tcPr>
                  <w:tcW w:type="dxa" w:w="1163"/>
                  <w:shd w:fill="D9D9D9"/>
                  <w:vAlign w:val="center"/>
                </w:tcPr>
                <w:p>
                  <w:pPr>
                    <w:jc w:val="center"/>
                  </w:pPr>
                  <w:r>
                    <w:rPr>
                      <w:b/>
                    </w:rPr>
                    <w:t>W-L</w:t>
                  </w:r>
                </w:p>
              </w:tc>
              <w:tc>
                <w:tcPr>
                  <w:tcW w:type="dxa" w:w="1163"/>
                  <w:shd w:fill="D9D9D9"/>
                  <w:vAlign w:val="center"/>
                </w:tcPr>
                <w:p>
                  <w:pPr>
                    <w:jc w:val="center"/>
                  </w:pPr>
                  <w:r>
                    <w:rPr>
                      <w:b/>
                    </w:rPr>
                    <w:t>R</w:t>
                  </w:r>
                </w:p>
              </w:tc>
              <w:tc>
                <w:tcPr>
                  <w:tcW w:type="dxa" w:w="1163"/>
                  <w:shd w:fill="D9D9D9"/>
                  <w:vAlign w:val="center"/>
                </w:tcPr>
                <w:p>
                  <w:pPr>
                    <w:jc w:val="center"/>
                  </w:pPr>
                  <w:r>
                    <w:rPr>
                      <w:b/>
                    </w:rPr>
                    <w:t>RA</w:t>
                  </w:r>
                </w:p>
              </w:tc>
              <w:tc>
                <w:tcPr>
                  <w:tcW w:type="dxa" w:w="1163"/>
                  <w:shd w:fill="D9D9D9"/>
                  <w:vAlign w:val="center"/>
                </w:tcPr>
                <w:p>
                  <w:pPr>
                    <w:jc w:val="center"/>
                  </w:pPr>
                  <w:r>
                    <w:rPr>
                      <w:b/>
                    </w:rPr>
                    <w:t>GR</w:t>
                  </w:r>
                </w:p>
              </w:tc>
              <w:tc>
                <w:tcPr>
                  <w:tcW w:type="dxa" w:w="1163"/>
                  <w:shd w:fill="D9D9D9"/>
                  <w:vAlign w:val="center"/>
                </w:tcPr>
                <w:p>
                  <w:pPr>
                    <w:jc w:val="center"/>
                  </w:pPr>
                  <w:r>
                    <w:rPr>
                      <w:b/>
                    </w:rPr>
                    <w:t>GRA</w:t>
                  </w:r>
                </w:p>
              </w:tc>
            </w:tr>
            <w:tr>
              <w:tc>
                <w:tcPr>
                  <w:tcW w:type="dxa" w:w="1163"/>
                </w:tcPr>
                <w:p>
                  <w:pPr>
                    <w:jc w:val="center"/>
                  </w:pPr>
                  <w:r>
                    <w:t>8</w:t>
                  </w:r>
                </w:p>
              </w:tc>
              <w:tc>
                <w:tcPr>
                  <w:tcW w:type="dxa" w:w="1163"/>
                </w:tcPr>
                <w:p>
                  <w:pPr>
                    <w:jc w:val="center"/>
                  </w:pPr>
                  <w:r>
                    <w:t>162</w:t>
                  </w:r>
                </w:p>
              </w:tc>
              <w:tc>
                <w:tcPr>
                  <w:tcW w:type="dxa" w:w="1163"/>
                </w:tcPr>
                <w:p>
                  <w:pPr>
                    <w:jc w:val="center"/>
                  </w:pPr>
                  <w:r>
                    <w:t>89</w:t>
                  </w:r>
                </w:p>
              </w:tc>
              <w:tc>
                <w:tcPr>
                  <w:tcW w:type="dxa" w:w="1163"/>
                </w:tcPr>
                <w:p>
                  <w:pPr>
                    <w:jc w:val="center"/>
                  </w:pPr>
                  <w:r>
                    <w:t>73</w:t>
                  </w:r>
                </w:p>
              </w:tc>
              <w:tc>
                <w:tcPr>
                  <w:tcW w:type="dxa" w:w="1163"/>
                </w:tcPr>
                <w:p>
                  <w:pPr>
                    <w:jc w:val="center"/>
                  </w:pPr>
                  <w:r>
                    <w:t>0.549383</w:t>
                  </w:r>
                </w:p>
              </w:tc>
              <w:tc>
                <w:tcPr>
                  <w:tcW w:type="dxa" w:w="1163"/>
                </w:tcPr>
                <w:p>
                  <w:pPr>
                    <w:jc w:val="center"/>
                  </w:pPr>
                  <w:r>
                    <w:t>886</w:t>
                  </w:r>
                </w:p>
              </w:tc>
              <w:tc>
                <w:tcPr>
                  <w:tcW w:type="dxa" w:w="1163"/>
                </w:tcPr>
                <w:p>
                  <w:pPr>
                    <w:jc w:val="center"/>
                  </w:pPr>
                  <w:r>
                    <w:t>788</w:t>
                  </w:r>
                </w:p>
              </w:tc>
              <w:tc>
                <w:tcPr>
                  <w:tcW w:type="dxa" w:w="1163"/>
                </w:tcPr>
                <w:p>
                  <w:pPr>
                    <w:jc w:val="center"/>
                  </w:pPr>
                  <w:r>
                    <w:t>5.47</w:t>
                  </w:r>
                </w:p>
              </w:tc>
              <w:tc>
                <w:tcPr>
                  <w:tcW w:type="dxa" w:w="1163"/>
                </w:tcPr>
                <w:p>
                  <w:pPr>
                    <w:jc w:val="center"/>
                  </w:pPr>
                  <w:r>
                    <w:t>4.86</w:t>
                  </w:r>
                </w:p>
              </w:tc>
            </w:tr>
          </w:tbl>
          <w:p/>
        </w:tc>
      </w:tr>
    </w:tbl>
    <w:tbl>
      <w:tblPr>
        <w:tblW w:type="auto" w:w="0"/>
        <w:tblLook w:firstColumn="1" w:firstRow="1" w:lastColumn="0" w:lastRow="0" w:noHBand="0" w:noVBand="1" w:val="04A0"/>
      </w:tblPr>
      <w:tblGrid>
        <w:gridCol w:w="10466"/>
      </w:tblGrid>
      <w:tr>
        <w:tc>
          <w:tcPr>
            <w:tcW w:type="dxa" w:w="10466"/>
          </w:tcPr>
          <w:p/>
          <w:p>
            <w:pPr>
              <w:spacing w:before="120" w:after="80"/>
            </w:pPr>
            <w:r>
              <w:rPr>
                <w:rFonts w:ascii="Malgun Gothic" w:hAnsi="Malgun Gothic" w:eastAsia="Malgun Gothic"/>
                <w:b/>
                <w:sz w:val="28"/>
              </w:rPr>
              <w:t>2. 시즌 팀 직전년도 성적과 비교</w:t>
            </w:r>
          </w:p>
          <w:p>
            <w:pPr>
              <w:jc w:val="center"/>
            </w:pPr>
            <w:r>
              <w:drawing>
                <wp:inline xmlns:a="http://schemas.openxmlformats.org/drawingml/2006/main" xmlns:pic="http://schemas.openxmlformats.org/drawingml/2006/picture">
                  <wp:extent cx="3738282" cy="32004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738282" cy="3200400"/>
                          </a:xfrm>
                          <a:prstGeom prst="rect"/>
                        </pic:spPr>
                      </pic:pic>
                    </a:graphicData>
                  </a:graphic>
                </wp:inline>
              </w:drawing>
            </w:r>
          </w:p>
        </w:tc>
      </w:tr>
    </w:tbl>
    <w:p>
      <w:pPr>
        <w:spacing w:before="120" w:after="80"/>
      </w:pPr>
      <w:r>
        <w:rPr>
          <w:rFonts w:ascii="Malgun Gothic" w:hAnsi="Malgun Gothic" w:eastAsia="Malgun Gothic"/>
          <w:b/>
          <w:sz w:val="28"/>
        </w:rPr>
        <w:t>3. 시즌 팀 경 기력 분석</w:t>
      </w:r>
    </w:p>
    <w:tbl>
      <w:tblPr>
        <w:tblStyle w:val="TableGrid"/>
        <w:tblW w:type="auto" w:w="0"/>
        <w:tblLook w:firstColumn="1" w:firstRow="1" w:lastColumn="0" w:lastRow="0" w:noHBand="0" w:noVBand="1" w:val="04A0"/>
      </w:tblPr>
      <w:tblGrid>
        <w:gridCol w:w="3489"/>
        <w:gridCol w:w="3489"/>
        <w:gridCol w:w="3489"/>
      </w:tblGrid>
      <w:tr>
        <w:tc>
          <w:tcPr>
            <w:tcW w:type="dxa" w:w="3489"/>
            <w:shd w:fill="D9D9D9"/>
          </w:tcPr>
          <w:p>
            <w:pPr>
              <w:jc w:val="center"/>
            </w:pPr>
            <w:r>
              <w:rPr>
                <w:b/>
              </w:rPr>
              <w:t>3.1. 투수 능력</w:t>
            </w:r>
          </w:p>
        </w:tc>
        <w:tc>
          <w:tcPr>
            <w:tcW w:type="dxa" w:w="3489"/>
            <w:shd w:fill="D9D9D9"/>
          </w:tcPr>
          <w:p>
            <w:pPr>
              <w:jc w:val="center"/>
            </w:pPr>
            <w:r>
              <w:rPr>
                <w:b/>
              </w:rPr>
              <w:t>3.2. 타자 능력</w:t>
            </w:r>
          </w:p>
        </w:tc>
        <w:tc>
          <w:tcPr>
            <w:tcW w:type="dxa" w:w="3489"/>
            <w:shd w:fill="D9D9D9"/>
          </w:tcPr>
          <w:p>
            <w:pPr>
              <w:jc w:val="center"/>
            </w:pPr>
            <w:r>
              <w:rPr>
                <w:b/>
              </w:rPr>
              <w:t>3.3. 수비 능력</w:t>
            </w:r>
          </w:p>
        </w:tc>
      </w:tr>
      <w:tr>
        <w:tc>
          <w:tcPr>
            <w:tcW w:type="dxa" w:w="3489"/>
          </w:tcPr>
          <w:p>
            <w:r>
              <w:t>p_WAR: 12.4</w:t>
              <w:br/>
              <w:t>p_WAR_Rank: 19.0</w:t>
            </w:r>
          </w:p>
        </w:tc>
        <w:tc>
          <w:tcPr>
            <w:tcW w:type="dxa" w:w="3489"/>
          </w:tcPr>
          <w:p>
            <w:r>
              <w:t>b_WAR: 34.1</w:t>
              <w:br/>
              <w:t>b_WAR_Rank: 2.0</w:t>
            </w:r>
          </w:p>
        </w:tc>
        <w:tc>
          <w:tcPr>
            <w:tcW w:type="dxa" w:w="3489"/>
          </w:tcPr>
          <w:p>
            <w:r>
              <w:t>DRS: 13</w:t>
              <w:br/>
              <w:t>DRS_Rank: 17.0</w:t>
            </w:r>
          </w:p>
        </w:tc>
      </w:tr>
    </w:tbl>
    <w:sectPr w:rsidR="00FC693F" w:rsidRPr="0006063C" w:rsidSect="0003461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240" w:lineRule="auto"/>
    </w:pPr>
    <w:rPr>
      <w:rFonts w:ascii="맑은 고딕" w:hAnsi="맑은 고딕" w:eastAsia="맑은 고딕"/>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