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C85F" w14:textId="77777777" w:rsidR="008352D3" w:rsidRPr="008352D3" w:rsidRDefault="008352D3" w:rsidP="008352D3">
      <w:pPr>
        <w:rPr>
          <w:b/>
          <w:bCs/>
        </w:rPr>
      </w:pPr>
      <w:r w:rsidRPr="008352D3">
        <w:rPr>
          <w:b/>
          <w:bCs/>
        </w:rPr>
        <w:t>The "Noise" Factor: Why Growth Hides the Bodies</w:t>
      </w:r>
    </w:p>
    <w:p w14:paraId="2F39C16D" w14:textId="77777777" w:rsidR="008352D3" w:rsidRPr="008352D3" w:rsidRDefault="008352D3" w:rsidP="008352D3">
      <w:r w:rsidRPr="008352D3">
        <w:t>When a company is scaling rapidly, spotting manipulation in public filings (10-Qs and 10-Ks) is incredibly difficult for three main reasons:</w:t>
      </w:r>
    </w:p>
    <w:p w14:paraId="55BE2F10" w14:textId="77777777" w:rsidR="008352D3" w:rsidRPr="008352D3" w:rsidRDefault="008352D3" w:rsidP="008352D3">
      <w:pPr>
        <w:numPr>
          <w:ilvl w:val="0"/>
          <w:numId w:val="1"/>
        </w:numPr>
      </w:pPr>
      <w:r w:rsidRPr="008352D3">
        <w:rPr>
          <w:b/>
          <w:bCs/>
        </w:rPr>
        <w:t>The Aggregation Shield:</w:t>
      </w:r>
      <w:r w:rsidRPr="008352D3">
        <w:t xml:space="preserve"> Public filings don't break down expenses by project. You won't see "Project Alpha (Capitalized)" vs. "Project Beta (Expensed)." You just see one massive "Total Intangible Assets" line item.</w:t>
      </w:r>
    </w:p>
    <w:p w14:paraId="7C20690D" w14:textId="77777777" w:rsidR="008352D3" w:rsidRPr="008352D3" w:rsidRDefault="008352D3" w:rsidP="008352D3">
      <w:pPr>
        <w:numPr>
          <w:ilvl w:val="0"/>
          <w:numId w:val="1"/>
        </w:numPr>
      </w:pPr>
      <w:r w:rsidRPr="008352D3">
        <w:rPr>
          <w:b/>
          <w:bCs/>
        </w:rPr>
        <w:t>The Denominator Effect:</w:t>
      </w:r>
      <w:r w:rsidRPr="008352D3">
        <w:t xml:space="preserve"> If a company's revenue is doubling, </w:t>
      </w:r>
      <w:r w:rsidRPr="008352D3">
        <w:rPr>
          <w:i/>
          <w:iCs/>
        </w:rPr>
        <w:t>everything</w:t>
      </w:r>
      <w:r w:rsidRPr="008352D3">
        <w:t xml:space="preserve"> is expanding. If they suddenly capitalize $50M of software, it might look like a tiny rounding error compared to their $1B in new revenue. Growth masks margin manipulation.</w:t>
      </w:r>
    </w:p>
    <w:p w14:paraId="026B1BAD" w14:textId="77777777" w:rsidR="008352D3" w:rsidRPr="008352D3" w:rsidRDefault="008352D3" w:rsidP="008352D3">
      <w:pPr>
        <w:numPr>
          <w:ilvl w:val="0"/>
          <w:numId w:val="1"/>
        </w:numPr>
      </w:pPr>
      <w:r w:rsidRPr="008352D3">
        <w:rPr>
          <w:b/>
          <w:bCs/>
        </w:rPr>
        <w:t>The M&amp;A Blender:</w:t>
      </w:r>
      <w:r w:rsidRPr="008352D3">
        <w:t xml:space="preserve"> Fast-growing companies acquire other companies. When you buy a company, you inherit their capitalized software, which completely pollutes the baseline data.</w:t>
      </w:r>
    </w:p>
    <w:p w14:paraId="62116A60" w14:textId="77777777" w:rsidR="008352D3" w:rsidRPr="008352D3" w:rsidRDefault="008352D3" w:rsidP="008352D3">
      <w:pPr>
        <w:rPr>
          <w:b/>
          <w:bCs/>
        </w:rPr>
      </w:pPr>
      <w:r w:rsidRPr="008352D3">
        <w:rPr>
          <w:b/>
          <w:bCs/>
        </w:rPr>
        <w:t>The Forensic Analyst's Toolkit</w:t>
      </w:r>
    </w:p>
    <w:p w14:paraId="512ADD5C" w14:textId="77777777" w:rsidR="008352D3" w:rsidRPr="008352D3" w:rsidRDefault="008352D3" w:rsidP="008352D3">
      <w:r w:rsidRPr="008352D3">
        <w:t>Because the income statement is too noisy, analysts have to look elsewhere. Here is how they hunt for this specific red flag:</w:t>
      </w:r>
    </w:p>
    <w:p w14:paraId="747B0642" w14:textId="77777777" w:rsidR="008352D3" w:rsidRPr="008352D3" w:rsidRDefault="008352D3" w:rsidP="008352D3">
      <w:pPr>
        <w:rPr>
          <w:b/>
          <w:bCs/>
        </w:rPr>
      </w:pPr>
      <w:r w:rsidRPr="008352D3">
        <w:rPr>
          <w:b/>
          <w:bCs/>
        </w:rPr>
        <w:t>1. Hunting in the Footnotes (The Roll-Forward Table)</w:t>
      </w:r>
    </w:p>
    <w:p w14:paraId="2EAC0B23" w14:textId="77777777" w:rsidR="008352D3" w:rsidRPr="008352D3" w:rsidRDefault="008352D3" w:rsidP="008352D3">
      <w:r w:rsidRPr="008352D3">
        <w:t>Analysts ignore the front pages of the 10-K and go straight to the footnotes—specifically the "Property, Plant, and Equipment" (PP&amp;E) or "Intangible Assets" sections.</w:t>
      </w:r>
    </w:p>
    <w:p w14:paraId="19340C9E" w14:textId="77777777" w:rsidR="008352D3" w:rsidRPr="008352D3" w:rsidRDefault="008352D3" w:rsidP="008352D3">
      <w:r w:rsidRPr="008352D3">
        <w:t xml:space="preserve">Companies are required to provide a "roll-forward" table showing the exact amount of </w:t>
      </w:r>
      <w:r w:rsidRPr="008352D3">
        <w:rPr>
          <w:i/>
          <w:iCs/>
        </w:rPr>
        <w:t>internally developed software additions</w:t>
      </w:r>
      <w:r w:rsidRPr="008352D3">
        <w:t xml:space="preserve"> for the year. This strips away acquisitions and isolates the exact amount of engineering salary that was capitalized.</w:t>
      </w:r>
    </w:p>
    <w:p w14:paraId="7CD4C723" w14:textId="77777777" w:rsidR="008352D3" w:rsidRPr="008352D3" w:rsidRDefault="008352D3" w:rsidP="008352D3">
      <w:pPr>
        <w:rPr>
          <w:b/>
          <w:bCs/>
        </w:rPr>
      </w:pPr>
      <w:r w:rsidRPr="008352D3">
        <w:rPr>
          <w:b/>
          <w:bCs/>
        </w:rPr>
        <w:t>2. Tracking the "Capitalization Ratio"</w:t>
      </w:r>
    </w:p>
    <w:p w14:paraId="09E87D55" w14:textId="77777777" w:rsidR="008352D3" w:rsidRPr="008352D3" w:rsidRDefault="008352D3" w:rsidP="008352D3">
      <w:r w:rsidRPr="008352D3">
        <w:t xml:space="preserve">Once an analyst finds that hidden number in the footnotes, they calculate a custom metric: </w:t>
      </w:r>
      <w:r w:rsidRPr="008352D3">
        <w:rPr>
          <w:b/>
          <w:bCs/>
        </w:rPr>
        <w:t>Capitalization Ratio = (Internally Developed Software Additions) / (Total R&amp;D Spend + Additions)</w:t>
      </w:r>
    </w:p>
    <w:p w14:paraId="371CE3D8" w14:textId="77777777" w:rsidR="008352D3" w:rsidRPr="008352D3" w:rsidRDefault="008352D3" w:rsidP="008352D3">
      <w:pPr>
        <w:numPr>
          <w:ilvl w:val="0"/>
          <w:numId w:val="2"/>
        </w:numPr>
      </w:pPr>
      <w:r w:rsidRPr="008352D3">
        <w:rPr>
          <w:b/>
          <w:bCs/>
        </w:rPr>
        <w:t>The Baseline:</w:t>
      </w:r>
      <w:r w:rsidRPr="008352D3">
        <w:t xml:space="preserve"> If a company historically capitalizes 5% of its engineering effort, that is the baseline.</w:t>
      </w:r>
    </w:p>
    <w:p w14:paraId="6A5DB79F" w14:textId="77777777" w:rsidR="008352D3" w:rsidRPr="008352D3" w:rsidRDefault="008352D3" w:rsidP="008352D3">
      <w:pPr>
        <w:numPr>
          <w:ilvl w:val="0"/>
          <w:numId w:val="2"/>
        </w:numPr>
      </w:pPr>
      <w:r w:rsidRPr="008352D3">
        <w:rPr>
          <w:b/>
          <w:bCs/>
        </w:rPr>
        <w:t>The Red Flag:</w:t>
      </w:r>
      <w:r w:rsidRPr="008352D3">
        <w:t xml:space="preserve"> If that ratio creeps up to 15% or 20% right as revenue growth begins to stall, the analyst knows the company is pulling the "feasibility" lever to artificially prop up their profit margins.</w:t>
      </w:r>
    </w:p>
    <w:p w14:paraId="285A4D05" w14:textId="77777777" w:rsidR="008352D3" w:rsidRPr="008352D3" w:rsidRDefault="008352D3" w:rsidP="008352D3">
      <w:pPr>
        <w:rPr>
          <w:b/>
          <w:bCs/>
        </w:rPr>
      </w:pPr>
      <w:r w:rsidRPr="008352D3">
        <w:rPr>
          <w:b/>
          <w:bCs/>
        </w:rPr>
        <w:lastRenderedPageBreak/>
        <w:t>3. Alternative Data: The Headcount Disconnect</w:t>
      </w:r>
    </w:p>
    <w:p w14:paraId="2B496EC4" w14:textId="77777777" w:rsidR="008352D3" w:rsidRPr="008352D3" w:rsidRDefault="008352D3" w:rsidP="008352D3">
      <w:r w:rsidRPr="008352D3">
        <w:t>Sophisticated funds will use alternative data (like scraping LinkedIn or using payroll data providers).</w:t>
      </w:r>
    </w:p>
    <w:p w14:paraId="3B2B26A7" w14:textId="77777777" w:rsidR="008352D3" w:rsidRPr="008352D3" w:rsidRDefault="008352D3" w:rsidP="008352D3">
      <w:r w:rsidRPr="008352D3">
        <w:t>If a company's public filings show that R&amp;D Expense grew by 5% this year, but LinkedIn data shows their software engineering headcount grew by 40%, the math doesn't add up. The only way you can double your engineers without doubling your R&amp;D expense is if you are hiding those new salaries on the balance sheet.</w:t>
      </w:r>
    </w:p>
    <w:p w14:paraId="573A3E5F" w14:textId="77777777" w:rsidR="00EF0473" w:rsidRDefault="00EF0473"/>
    <w:sectPr w:rsidR="00EF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44F"/>
    <w:multiLevelType w:val="multilevel"/>
    <w:tmpl w:val="E85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4456"/>
    <w:multiLevelType w:val="multilevel"/>
    <w:tmpl w:val="C520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955354">
    <w:abstractNumId w:val="1"/>
  </w:num>
  <w:num w:numId="2" w16cid:durableId="11405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D3"/>
    <w:rsid w:val="00086304"/>
    <w:rsid w:val="0063593E"/>
    <w:rsid w:val="008352D3"/>
    <w:rsid w:val="00850C08"/>
    <w:rsid w:val="00E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D111"/>
  <w15:chartTrackingRefBased/>
  <w15:docId w15:val="{C98442FA-1EC7-46BB-9745-8ED3C186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Beall</dc:creator>
  <cp:keywords/>
  <dc:description/>
  <cp:lastModifiedBy>James Beall</cp:lastModifiedBy>
  <cp:revision>1</cp:revision>
  <dcterms:created xsi:type="dcterms:W3CDTF">2026-06-24T21:38:00Z</dcterms:created>
  <dcterms:modified xsi:type="dcterms:W3CDTF">2026-06-24T21:39:00Z</dcterms:modified>
</cp:coreProperties>
</file>