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8679"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p>
    <w:p w14:paraId="56B6BAF4"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p>
    <w:p w14:paraId="3B2F0B2B"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p>
    <w:p w14:paraId="7298B271" w14:textId="77777777" w:rsidR="00B36FE5" w:rsidRDefault="00B36FE5" w:rsidP="00B36FE5">
      <w:pPr>
        <w:spacing w:after="0" w:line="480" w:lineRule="auto"/>
        <w:contextualSpacing/>
        <w:jc w:val="center"/>
        <w:rPr>
          <w:rFonts w:ascii="Calibri" w:eastAsia="Times New Roman" w:hAnsi="Calibri" w:cs="Calibri"/>
          <w:b/>
          <w:bCs/>
          <w:color w:val="000000" w:themeColor="text1"/>
          <w:sz w:val="24"/>
          <w:szCs w:val="24"/>
        </w:rPr>
      </w:pPr>
      <w:r w:rsidRPr="00B36FE5">
        <w:rPr>
          <w:rFonts w:ascii="Calibri" w:eastAsia="Times New Roman" w:hAnsi="Calibri" w:cs="Calibri"/>
          <w:b/>
          <w:bCs/>
          <w:color w:val="000000" w:themeColor="text1"/>
          <w:sz w:val="24"/>
          <w:szCs w:val="24"/>
        </w:rPr>
        <w:t>Comparative Backtesting of Value-at-Risk Methodologies</w:t>
      </w:r>
    </w:p>
    <w:p w14:paraId="32CDAB05"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p>
    <w:p w14:paraId="1726A9BF"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r w:rsidRPr="000961DF">
        <w:rPr>
          <w:rFonts w:ascii="Calibri" w:eastAsia="Times New Roman" w:hAnsi="Calibri" w:cs="Calibri"/>
          <w:color w:val="000000" w:themeColor="text1"/>
          <w:sz w:val="24"/>
          <w:szCs w:val="24"/>
        </w:rPr>
        <w:t>James Beall</w:t>
      </w:r>
    </w:p>
    <w:p w14:paraId="414AD070"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r w:rsidRPr="000961DF">
        <w:rPr>
          <w:rFonts w:ascii="Calibri" w:eastAsia="Times New Roman" w:hAnsi="Calibri" w:cs="Calibri"/>
          <w:color w:val="000000" w:themeColor="text1"/>
          <w:sz w:val="24"/>
          <w:szCs w:val="24"/>
        </w:rPr>
        <w:t>American Public University System</w:t>
      </w:r>
    </w:p>
    <w:p w14:paraId="6E2B4089"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r w:rsidRPr="000961DF">
        <w:rPr>
          <w:rFonts w:ascii="Calibri" w:eastAsia="Times New Roman" w:hAnsi="Calibri" w:cs="Calibri"/>
          <w:color w:val="000000" w:themeColor="text1"/>
          <w:sz w:val="24"/>
          <w:szCs w:val="24"/>
        </w:rPr>
        <w:t>ANLY699: Analytics Project</w:t>
      </w:r>
    </w:p>
    <w:p w14:paraId="0C57BE89"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r w:rsidRPr="000961DF">
        <w:rPr>
          <w:rFonts w:ascii="Calibri" w:eastAsia="Times New Roman" w:hAnsi="Calibri" w:cs="Calibri"/>
          <w:color w:val="000000" w:themeColor="text1"/>
          <w:sz w:val="24"/>
          <w:szCs w:val="24"/>
        </w:rPr>
        <w:t>Dr. Pomponio</w:t>
      </w:r>
    </w:p>
    <w:p w14:paraId="1D353D80" w14:textId="0B0F3561" w:rsidR="00DB1DA9" w:rsidRPr="000961DF" w:rsidRDefault="008D67C1" w:rsidP="00DB1DA9">
      <w:pPr>
        <w:spacing w:after="0" w:line="480" w:lineRule="auto"/>
        <w:contextualSpacing/>
        <w:jc w:val="center"/>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October</w:t>
      </w:r>
      <w:r w:rsidR="00817B9D">
        <w:rPr>
          <w:rFonts w:ascii="Calibri" w:eastAsia="Times New Roman" w:hAnsi="Calibri" w:cs="Calibri"/>
          <w:color w:val="000000" w:themeColor="text1"/>
          <w:sz w:val="24"/>
          <w:szCs w:val="24"/>
        </w:rPr>
        <w:t xml:space="preserve"> 18</w:t>
      </w:r>
      <w:r w:rsidR="00DB1DA9" w:rsidRPr="000961DF">
        <w:rPr>
          <w:rFonts w:ascii="Calibri" w:eastAsia="Times New Roman" w:hAnsi="Calibri" w:cs="Calibri"/>
          <w:color w:val="000000" w:themeColor="text1"/>
          <w:sz w:val="24"/>
          <w:szCs w:val="24"/>
        </w:rPr>
        <w:t>, 2026</w:t>
      </w:r>
    </w:p>
    <w:p w14:paraId="0727BC30" w14:textId="4D7A22CB" w:rsidR="00DB1DA9" w:rsidRPr="000961DF" w:rsidRDefault="00DB1DA9">
      <w:pPr>
        <w:spacing w:after="160" w:line="278" w:lineRule="auto"/>
        <w:rPr>
          <w:rFonts w:ascii="Calibri" w:hAnsi="Calibri" w:cs="Calibri"/>
        </w:rPr>
      </w:pPr>
      <w:r w:rsidRPr="000961DF">
        <w:rPr>
          <w:rFonts w:ascii="Calibri" w:hAnsi="Calibri" w:cs="Calibri"/>
        </w:rPr>
        <w:br w:type="page"/>
      </w:r>
    </w:p>
    <w:p w14:paraId="4BB9A782" w14:textId="77777777" w:rsidR="00B36FE5" w:rsidRDefault="00B36FE5" w:rsidP="00B36FE5">
      <w:pPr>
        <w:spacing w:after="0" w:line="480" w:lineRule="auto"/>
        <w:contextualSpacing/>
        <w:jc w:val="center"/>
        <w:rPr>
          <w:rFonts w:ascii="Calibri" w:eastAsia="Times New Roman" w:hAnsi="Calibri" w:cs="Calibri"/>
          <w:b/>
          <w:bCs/>
          <w:color w:val="000000" w:themeColor="text1"/>
          <w:sz w:val="24"/>
          <w:szCs w:val="24"/>
        </w:rPr>
      </w:pPr>
      <w:r w:rsidRPr="00B36FE5">
        <w:rPr>
          <w:rFonts w:ascii="Calibri" w:eastAsia="Times New Roman" w:hAnsi="Calibri" w:cs="Calibri"/>
          <w:b/>
          <w:bCs/>
          <w:color w:val="000000" w:themeColor="text1"/>
          <w:sz w:val="24"/>
          <w:szCs w:val="24"/>
        </w:rPr>
        <w:lastRenderedPageBreak/>
        <w:t>Comparative Backtesting of Value-at-Risk Methodologies</w:t>
      </w:r>
    </w:p>
    <w:p w14:paraId="264EC2B1" w14:textId="07C2801E" w:rsidR="00C656C2" w:rsidRDefault="00C656C2" w:rsidP="00C656C2">
      <w:pPr>
        <w:spacing w:after="0" w:line="480" w:lineRule="auto"/>
        <w:contextualSpacing/>
        <w:rPr>
          <w:rFonts w:ascii="Calibri" w:eastAsia="Times New Roman" w:hAnsi="Calibri" w:cs="Calibri"/>
          <w:b/>
          <w:bCs/>
          <w:sz w:val="24"/>
          <w:szCs w:val="24"/>
        </w:rPr>
      </w:pPr>
      <w:r w:rsidRPr="00C656C2">
        <w:rPr>
          <w:rFonts w:ascii="Calibri" w:eastAsia="Times New Roman" w:hAnsi="Calibri" w:cs="Calibri"/>
          <w:b/>
          <w:bCs/>
          <w:sz w:val="24"/>
          <w:szCs w:val="24"/>
        </w:rPr>
        <w:t xml:space="preserve">Introduction </w:t>
      </w:r>
    </w:p>
    <w:p w14:paraId="72473959" w14:textId="368FD425" w:rsidR="00C656C2" w:rsidRPr="00C656C2" w:rsidRDefault="00C656C2" w:rsidP="00C656C2">
      <w:pPr>
        <w:spacing w:after="0" w:line="480" w:lineRule="auto"/>
        <w:contextualSpacing/>
        <w:rPr>
          <w:rFonts w:ascii="Calibri" w:eastAsia="Times New Roman" w:hAnsi="Calibri" w:cs="Calibri"/>
          <w:b/>
          <w:bCs/>
          <w:i/>
          <w:iCs/>
          <w:color w:val="000000" w:themeColor="text1"/>
          <w:sz w:val="24"/>
          <w:szCs w:val="24"/>
        </w:rPr>
      </w:pPr>
      <w:r w:rsidRPr="00C656C2">
        <w:rPr>
          <w:rFonts w:ascii="Calibri" w:eastAsia="Times New Roman" w:hAnsi="Calibri" w:cs="Calibri"/>
          <w:b/>
          <w:bCs/>
          <w:i/>
          <w:iCs/>
          <w:sz w:val="24"/>
          <w:szCs w:val="24"/>
        </w:rPr>
        <w:t>The Rise of Value at Risk</w:t>
      </w:r>
    </w:p>
    <w:p w14:paraId="2D112912" w14:textId="28F338FA" w:rsidR="00C656C2" w:rsidRDefault="00C656C2" w:rsidP="00C656C2">
      <w:pPr>
        <w:spacing w:after="0" w:line="480" w:lineRule="auto"/>
        <w:ind w:firstLine="720"/>
        <w:contextualSpacing/>
        <w:rPr>
          <w:rFonts w:ascii="Calibri" w:eastAsia="Times New Roman" w:hAnsi="Calibri" w:cs="Calibri"/>
          <w:b/>
          <w:bCs/>
          <w:color w:val="000000" w:themeColor="text1"/>
          <w:sz w:val="24"/>
          <w:szCs w:val="24"/>
        </w:rPr>
      </w:pPr>
      <w:r w:rsidRPr="00C656C2">
        <w:rPr>
          <w:rFonts w:ascii="Calibri" w:eastAsia="Times New Roman" w:hAnsi="Calibri" w:cs="Calibri"/>
          <w:sz w:val="24"/>
          <w:szCs w:val="24"/>
        </w:rPr>
        <w:t xml:space="preserve">Value at Risk (VaR) </w:t>
      </w:r>
      <w:r w:rsidR="0090651E">
        <w:rPr>
          <w:rFonts w:ascii="Calibri" w:eastAsia="Times New Roman" w:hAnsi="Calibri" w:cs="Calibri"/>
          <w:sz w:val="24"/>
          <w:szCs w:val="24"/>
        </w:rPr>
        <w:t>became</w:t>
      </w:r>
      <w:r w:rsidRPr="00C656C2">
        <w:rPr>
          <w:rFonts w:ascii="Calibri" w:eastAsia="Times New Roman" w:hAnsi="Calibri" w:cs="Calibri"/>
          <w:sz w:val="24"/>
          <w:szCs w:val="24"/>
        </w:rPr>
        <w:t xml:space="preserve"> the industry </w:t>
      </w:r>
      <w:r w:rsidR="0090651E">
        <w:rPr>
          <w:rFonts w:ascii="Calibri" w:eastAsia="Times New Roman" w:hAnsi="Calibri" w:cs="Calibri"/>
          <w:sz w:val="24"/>
          <w:szCs w:val="24"/>
        </w:rPr>
        <w:t>standard</w:t>
      </w:r>
      <w:r w:rsidRPr="00C656C2">
        <w:rPr>
          <w:rFonts w:ascii="Calibri" w:eastAsia="Times New Roman" w:hAnsi="Calibri" w:cs="Calibri"/>
          <w:sz w:val="24"/>
          <w:szCs w:val="24"/>
        </w:rPr>
        <w:t xml:space="preserve"> for estimating the expected loss of a portfolio over a specific time horizon at a given confidence level (</w:t>
      </w:r>
      <w:proofErr w:type="spellStart"/>
      <w:r w:rsidRPr="00C656C2">
        <w:rPr>
          <w:rFonts w:ascii="Calibri" w:eastAsia="Times New Roman" w:hAnsi="Calibri" w:cs="Calibri"/>
          <w:sz w:val="24"/>
          <w:szCs w:val="24"/>
        </w:rPr>
        <w:t>Jorion</w:t>
      </w:r>
      <w:proofErr w:type="spellEnd"/>
      <w:r w:rsidRPr="00C656C2">
        <w:rPr>
          <w:rFonts w:ascii="Calibri" w:eastAsia="Times New Roman" w:hAnsi="Calibri" w:cs="Calibri"/>
          <w:sz w:val="24"/>
          <w:szCs w:val="24"/>
        </w:rPr>
        <w:t>, 2006; Linsmeier &amp; Pearson, 2000)</w:t>
      </w:r>
      <w:r w:rsidR="00483432">
        <w:rPr>
          <w:rFonts w:ascii="Calibri" w:eastAsia="Times New Roman" w:hAnsi="Calibri" w:cs="Calibri"/>
          <w:sz w:val="24"/>
          <w:szCs w:val="24"/>
        </w:rPr>
        <w:t xml:space="preserve"> in response to the inadequacy of </w:t>
      </w:r>
      <w:r w:rsidR="00563013">
        <w:rPr>
          <w:rFonts w:ascii="Calibri" w:eastAsia="Times New Roman" w:hAnsi="Calibri" w:cs="Calibri"/>
          <w:sz w:val="24"/>
          <w:szCs w:val="24"/>
        </w:rPr>
        <w:t xml:space="preserve">legacy risk metrics that failed </w:t>
      </w:r>
      <w:r w:rsidR="00CE5092">
        <w:rPr>
          <w:rFonts w:ascii="Calibri" w:eastAsia="Times New Roman" w:hAnsi="Calibri" w:cs="Calibri"/>
          <w:sz w:val="24"/>
          <w:szCs w:val="24"/>
        </w:rPr>
        <w:t xml:space="preserve">and resulted in </w:t>
      </w:r>
      <w:r w:rsidR="0056046F">
        <w:rPr>
          <w:rFonts w:ascii="Calibri" w:eastAsia="Times New Roman" w:hAnsi="Calibri" w:cs="Calibri"/>
          <w:sz w:val="24"/>
          <w:szCs w:val="24"/>
        </w:rPr>
        <w:t>institutional catastrophe</w:t>
      </w:r>
      <w:r w:rsidR="00CE5092">
        <w:rPr>
          <w:rFonts w:ascii="Calibri" w:eastAsia="Times New Roman" w:hAnsi="Calibri" w:cs="Calibri"/>
          <w:sz w:val="24"/>
          <w:szCs w:val="24"/>
        </w:rPr>
        <w:t xml:space="preserve"> </w:t>
      </w:r>
      <w:r w:rsidR="00563013">
        <w:rPr>
          <w:rFonts w:ascii="Calibri" w:eastAsia="Times New Roman" w:hAnsi="Calibri" w:cs="Calibri"/>
          <w:sz w:val="24"/>
          <w:szCs w:val="24"/>
        </w:rPr>
        <w:t xml:space="preserve">during </w:t>
      </w:r>
      <w:r w:rsidR="00CE5092">
        <w:rPr>
          <w:rFonts w:ascii="Calibri" w:eastAsia="Times New Roman" w:hAnsi="Calibri" w:cs="Calibri"/>
          <w:sz w:val="24"/>
          <w:szCs w:val="24"/>
        </w:rPr>
        <w:t>crises including Barings Bank, Orange County, and Metallgesellschaft</w:t>
      </w:r>
      <w:r w:rsidR="003B2641">
        <w:rPr>
          <w:rFonts w:ascii="Calibri" w:eastAsia="Times New Roman" w:hAnsi="Calibri" w:cs="Calibri"/>
          <w:sz w:val="24"/>
          <w:szCs w:val="24"/>
        </w:rPr>
        <w:t xml:space="preserve"> </w:t>
      </w:r>
      <w:r w:rsidR="003B2641" w:rsidRPr="003B2641">
        <w:rPr>
          <w:rFonts w:ascii="Calibri" w:eastAsia="Times New Roman" w:hAnsi="Calibri" w:cs="Calibri"/>
          <w:sz w:val="24"/>
          <w:szCs w:val="24"/>
        </w:rPr>
        <w:t>(</w:t>
      </w:r>
      <w:proofErr w:type="spellStart"/>
      <w:r w:rsidR="003B2641" w:rsidRPr="003B2641">
        <w:rPr>
          <w:rFonts w:ascii="Calibri" w:eastAsia="Times New Roman" w:hAnsi="Calibri" w:cs="Calibri"/>
          <w:sz w:val="24"/>
          <w:szCs w:val="24"/>
        </w:rPr>
        <w:t>Crouhy</w:t>
      </w:r>
      <w:proofErr w:type="spellEnd"/>
      <w:r w:rsidR="003B2641" w:rsidRPr="003B2641">
        <w:rPr>
          <w:rFonts w:ascii="Calibri" w:eastAsia="Times New Roman" w:hAnsi="Calibri" w:cs="Calibri"/>
          <w:sz w:val="24"/>
          <w:szCs w:val="24"/>
        </w:rPr>
        <w:t xml:space="preserve"> et al., 2014; </w:t>
      </w:r>
      <w:proofErr w:type="spellStart"/>
      <w:r w:rsidR="003B2641" w:rsidRPr="003B2641">
        <w:rPr>
          <w:rFonts w:ascii="Calibri" w:eastAsia="Times New Roman" w:hAnsi="Calibri" w:cs="Calibri"/>
          <w:sz w:val="24"/>
          <w:szCs w:val="24"/>
        </w:rPr>
        <w:t>Jorion</w:t>
      </w:r>
      <w:proofErr w:type="spellEnd"/>
      <w:r w:rsidR="003B2641" w:rsidRPr="003B2641">
        <w:rPr>
          <w:rFonts w:ascii="Calibri" w:eastAsia="Times New Roman" w:hAnsi="Calibri" w:cs="Calibri"/>
          <w:sz w:val="24"/>
          <w:szCs w:val="24"/>
        </w:rPr>
        <w:t>, 2006)</w:t>
      </w:r>
      <w:r w:rsidRPr="00C656C2">
        <w:rPr>
          <w:rFonts w:ascii="Calibri" w:eastAsia="Times New Roman" w:hAnsi="Calibri" w:cs="Calibri"/>
          <w:sz w:val="24"/>
          <w:szCs w:val="24"/>
        </w:rPr>
        <w:t xml:space="preserve">. Its ubiquity across institutional risk desks stems from its ability to condense complex portfolio risk </w:t>
      </w:r>
      <w:r w:rsidR="00365E63">
        <w:rPr>
          <w:rFonts w:ascii="Calibri" w:eastAsia="Times New Roman" w:hAnsi="Calibri" w:cs="Calibri"/>
          <w:sz w:val="24"/>
          <w:szCs w:val="24"/>
        </w:rPr>
        <w:t>portfolios</w:t>
      </w:r>
      <w:r w:rsidRPr="00C656C2">
        <w:rPr>
          <w:rFonts w:ascii="Calibri" w:eastAsia="Times New Roman" w:hAnsi="Calibri" w:cs="Calibri"/>
          <w:sz w:val="24"/>
          <w:szCs w:val="24"/>
        </w:rPr>
        <w:t xml:space="preserve"> into a single, intuitive summary statistic. </w:t>
      </w:r>
      <w:r w:rsidR="00665565">
        <w:rPr>
          <w:rFonts w:ascii="Calibri" w:eastAsia="Times New Roman" w:hAnsi="Calibri" w:cs="Calibri"/>
          <w:sz w:val="24"/>
          <w:szCs w:val="24"/>
        </w:rPr>
        <w:t xml:space="preserve">For example, “there is a 95% confidence level that a portfolio loss will not exceed the VaR threshold amount in a 30-day period </w:t>
      </w:r>
      <w:r w:rsidR="00D33AEF">
        <w:rPr>
          <w:rFonts w:ascii="Calibri" w:eastAsia="Times New Roman" w:hAnsi="Calibri" w:cs="Calibri"/>
          <w:sz w:val="24"/>
          <w:szCs w:val="24"/>
        </w:rPr>
        <w:t>(</w:t>
      </w:r>
      <w:r w:rsidR="00665565">
        <w:rPr>
          <w:rFonts w:ascii="Calibri" w:eastAsia="Times New Roman" w:hAnsi="Calibri" w:cs="Calibri"/>
          <w:sz w:val="24"/>
          <w:szCs w:val="24"/>
        </w:rPr>
        <w:t>or a 5% probability of exceeding the VaR threshold</w:t>
      </w:r>
      <w:r w:rsidR="00D33AEF">
        <w:rPr>
          <w:rFonts w:ascii="Calibri" w:eastAsia="Times New Roman" w:hAnsi="Calibri" w:cs="Calibri"/>
          <w:sz w:val="24"/>
          <w:szCs w:val="24"/>
        </w:rPr>
        <w:t>)</w:t>
      </w:r>
      <w:r w:rsidR="00665565">
        <w:rPr>
          <w:rFonts w:ascii="Calibri" w:eastAsia="Times New Roman" w:hAnsi="Calibri" w:cs="Calibri"/>
          <w:sz w:val="24"/>
          <w:szCs w:val="24"/>
        </w:rPr>
        <w:t xml:space="preserve">”. </w:t>
      </w:r>
      <w:r w:rsidR="005037CA">
        <w:rPr>
          <w:rFonts w:ascii="Calibri" w:eastAsia="Times New Roman" w:hAnsi="Calibri" w:cs="Calibri"/>
          <w:sz w:val="24"/>
          <w:szCs w:val="24"/>
        </w:rPr>
        <w:t>Historically</w:t>
      </w:r>
      <w:r w:rsidR="002C0E22">
        <w:rPr>
          <w:rFonts w:ascii="Calibri" w:eastAsia="Times New Roman" w:hAnsi="Calibri" w:cs="Calibri"/>
          <w:sz w:val="24"/>
          <w:szCs w:val="24"/>
        </w:rPr>
        <w:t xml:space="preserve">, </w:t>
      </w:r>
      <w:r w:rsidR="00731EC2">
        <w:rPr>
          <w:rFonts w:ascii="Calibri" w:eastAsia="Times New Roman" w:hAnsi="Calibri" w:cs="Calibri"/>
          <w:sz w:val="24"/>
          <w:szCs w:val="24"/>
        </w:rPr>
        <w:t xml:space="preserve">risk </w:t>
      </w:r>
      <w:r w:rsidRPr="00C656C2">
        <w:rPr>
          <w:rFonts w:ascii="Calibri" w:eastAsia="Times New Roman" w:hAnsi="Calibri" w:cs="Calibri"/>
          <w:sz w:val="24"/>
          <w:szCs w:val="24"/>
        </w:rPr>
        <w:t>management frameworks</w:t>
      </w:r>
      <w:r w:rsidR="0020757C">
        <w:rPr>
          <w:rFonts w:ascii="Calibri" w:eastAsia="Times New Roman" w:hAnsi="Calibri" w:cs="Calibri"/>
          <w:sz w:val="24"/>
          <w:szCs w:val="24"/>
        </w:rPr>
        <w:t>’</w:t>
      </w:r>
      <w:r w:rsidRPr="00C656C2">
        <w:rPr>
          <w:rFonts w:ascii="Calibri" w:eastAsia="Times New Roman" w:hAnsi="Calibri" w:cs="Calibri"/>
          <w:sz w:val="24"/>
          <w:szCs w:val="24"/>
        </w:rPr>
        <w:t xml:space="preserve"> </w:t>
      </w:r>
      <w:r w:rsidR="005037CA">
        <w:rPr>
          <w:rFonts w:ascii="Calibri" w:eastAsia="Times New Roman" w:hAnsi="Calibri" w:cs="Calibri"/>
          <w:sz w:val="24"/>
          <w:szCs w:val="24"/>
        </w:rPr>
        <w:t xml:space="preserve">underlying VaR </w:t>
      </w:r>
      <w:r w:rsidRPr="00C656C2">
        <w:rPr>
          <w:rFonts w:ascii="Calibri" w:eastAsia="Times New Roman" w:hAnsi="Calibri" w:cs="Calibri"/>
          <w:sz w:val="24"/>
          <w:szCs w:val="24"/>
        </w:rPr>
        <w:t>ha</w:t>
      </w:r>
      <w:r w:rsidR="005037CA">
        <w:rPr>
          <w:rFonts w:ascii="Calibri" w:eastAsia="Times New Roman" w:hAnsi="Calibri" w:cs="Calibri"/>
          <w:sz w:val="24"/>
          <w:szCs w:val="24"/>
        </w:rPr>
        <w:t>s</w:t>
      </w:r>
      <w:r w:rsidRPr="00C656C2">
        <w:rPr>
          <w:rFonts w:ascii="Calibri" w:eastAsia="Times New Roman" w:hAnsi="Calibri" w:cs="Calibri"/>
          <w:sz w:val="24"/>
          <w:szCs w:val="24"/>
        </w:rPr>
        <w:t xml:space="preserve"> relied on stochastic calculus, specifically Geometric Brownian Motion (GBM), which assumes that asset returns are normally distributed, memoryless, multiplicative, and governed by constant volatility (Peng &amp; Simon, 2024).</w:t>
      </w:r>
      <w:r w:rsidR="00FB56CE">
        <w:rPr>
          <w:rFonts w:ascii="Calibri" w:eastAsia="Times New Roman" w:hAnsi="Calibri" w:cs="Calibri"/>
          <w:sz w:val="24"/>
          <w:szCs w:val="24"/>
        </w:rPr>
        <w:t xml:space="preserve"> This paper explores how alternative VaR calculations </w:t>
      </w:r>
      <w:r w:rsidR="009305F5">
        <w:rPr>
          <w:rFonts w:ascii="Calibri" w:eastAsia="Times New Roman" w:hAnsi="Calibri" w:cs="Calibri"/>
          <w:sz w:val="24"/>
          <w:szCs w:val="24"/>
        </w:rPr>
        <w:t>perform</w:t>
      </w:r>
      <w:r w:rsidR="008469A8">
        <w:rPr>
          <w:rFonts w:ascii="Calibri" w:eastAsia="Times New Roman" w:hAnsi="Calibri" w:cs="Calibri"/>
          <w:sz w:val="24"/>
          <w:szCs w:val="24"/>
        </w:rPr>
        <w:t xml:space="preserve"> in simulated markets that experience significant shock</w:t>
      </w:r>
      <w:r w:rsidR="00A123A2">
        <w:rPr>
          <w:rFonts w:ascii="Calibri" w:eastAsia="Times New Roman" w:hAnsi="Calibri" w:cs="Calibri"/>
          <w:sz w:val="24"/>
          <w:szCs w:val="24"/>
        </w:rPr>
        <w:t>s</w:t>
      </w:r>
      <w:r w:rsidR="005576D1">
        <w:rPr>
          <w:rFonts w:ascii="Calibri" w:eastAsia="Times New Roman" w:hAnsi="Calibri" w:cs="Calibri"/>
          <w:sz w:val="24"/>
          <w:szCs w:val="24"/>
        </w:rPr>
        <w:t xml:space="preserve"> that mimic </w:t>
      </w:r>
      <w:r w:rsidR="00442CD6">
        <w:rPr>
          <w:rFonts w:ascii="Calibri" w:eastAsia="Times New Roman" w:hAnsi="Calibri" w:cs="Calibri"/>
          <w:sz w:val="24"/>
          <w:szCs w:val="24"/>
        </w:rPr>
        <w:t xml:space="preserve">financial crises. </w:t>
      </w:r>
    </w:p>
    <w:p w14:paraId="3E52BFC4" w14:textId="77777777" w:rsidR="00C656C2" w:rsidRPr="00C656C2" w:rsidRDefault="00C656C2" w:rsidP="00C656C2">
      <w:pPr>
        <w:spacing w:after="0" w:line="480" w:lineRule="auto"/>
        <w:contextualSpacing/>
        <w:rPr>
          <w:rFonts w:ascii="Calibri" w:eastAsia="Times New Roman" w:hAnsi="Calibri" w:cs="Calibri"/>
          <w:b/>
          <w:bCs/>
          <w:i/>
          <w:iCs/>
          <w:color w:val="000000" w:themeColor="text1"/>
          <w:sz w:val="24"/>
          <w:szCs w:val="24"/>
        </w:rPr>
      </w:pPr>
      <w:r w:rsidRPr="00C656C2">
        <w:rPr>
          <w:rFonts w:ascii="Calibri" w:eastAsia="Times New Roman" w:hAnsi="Calibri" w:cs="Calibri"/>
          <w:b/>
          <w:bCs/>
          <w:i/>
          <w:iCs/>
          <w:sz w:val="24"/>
          <w:szCs w:val="24"/>
        </w:rPr>
        <w:t>Vocabulary and Structural Failures</w:t>
      </w:r>
    </w:p>
    <w:p w14:paraId="4D3E6FD1" w14:textId="3998D444" w:rsidR="00C656C2" w:rsidRDefault="00C656C2" w:rsidP="00C656C2">
      <w:pPr>
        <w:spacing w:after="0" w:line="480" w:lineRule="auto"/>
        <w:ind w:firstLine="720"/>
        <w:contextualSpacing/>
        <w:rPr>
          <w:rFonts w:ascii="Calibri" w:eastAsia="Times New Roman" w:hAnsi="Calibri" w:cs="Calibri"/>
          <w:b/>
          <w:bCs/>
          <w:color w:val="000000" w:themeColor="text1"/>
          <w:sz w:val="24"/>
          <w:szCs w:val="24"/>
        </w:rPr>
      </w:pPr>
      <w:r w:rsidRPr="00C656C2">
        <w:rPr>
          <w:rFonts w:ascii="Calibri" w:eastAsia="Times New Roman" w:hAnsi="Calibri" w:cs="Calibri"/>
          <w:sz w:val="24"/>
          <w:szCs w:val="24"/>
        </w:rPr>
        <w:t xml:space="preserve">To properly evaluate market risk, foundational terms </w:t>
      </w:r>
      <w:r w:rsidR="008C5F6D">
        <w:rPr>
          <w:rFonts w:ascii="Calibri" w:eastAsia="Times New Roman" w:hAnsi="Calibri" w:cs="Calibri"/>
          <w:sz w:val="24"/>
          <w:szCs w:val="24"/>
        </w:rPr>
        <w:t xml:space="preserve">used throughout this paper </w:t>
      </w:r>
      <w:r w:rsidRPr="00C656C2">
        <w:rPr>
          <w:rFonts w:ascii="Calibri" w:eastAsia="Times New Roman" w:hAnsi="Calibri" w:cs="Calibri"/>
          <w:sz w:val="24"/>
          <w:szCs w:val="24"/>
        </w:rPr>
        <w:t>must be established. Leptokurtosis (fat tails) describes return distributions that exhibit significantly higher probabilities of extreme outcomes than a normal distribution (</w:t>
      </w:r>
      <w:proofErr w:type="spellStart"/>
      <w:r w:rsidRPr="00C656C2">
        <w:rPr>
          <w:rFonts w:ascii="Calibri" w:eastAsia="Times New Roman" w:hAnsi="Calibri" w:cs="Calibri"/>
          <w:sz w:val="24"/>
          <w:szCs w:val="24"/>
        </w:rPr>
        <w:t>Cont</w:t>
      </w:r>
      <w:proofErr w:type="spellEnd"/>
      <w:r w:rsidRPr="00C656C2">
        <w:rPr>
          <w:rFonts w:ascii="Calibri" w:eastAsia="Times New Roman" w:hAnsi="Calibri" w:cs="Calibri"/>
          <w:sz w:val="24"/>
          <w:szCs w:val="24"/>
        </w:rPr>
        <w:t>, 2001). Heteroskedasticity refers to the unequal dispersion of variance over time</w:t>
      </w:r>
      <w:r w:rsidR="0034301F">
        <w:rPr>
          <w:rFonts w:ascii="Calibri" w:eastAsia="Times New Roman" w:hAnsi="Calibri" w:cs="Calibri"/>
          <w:sz w:val="24"/>
          <w:szCs w:val="24"/>
        </w:rPr>
        <w:t xml:space="preserve"> (</w:t>
      </w:r>
      <w:r w:rsidRPr="00C656C2">
        <w:rPr>
          <w:rFonts w:ascii="Calibri" w:eastAsia="Times New Roman" w:hAnsi="Calibri" w:cs="Calibri"/>
          <w:sz w:val="24"/>
          <w:szCs w:val="24"/>
        </w:rPr>
        <w:t>volatility clustering</w:t>
      </w:r>
      <w:r w:rsidR="0034301F">
        <w:rPr>
          <w:rFonts w:ascii="Calibri" w:eastAsia="Times New Roman" w:hAnsi="Calibri" w:cs="Calibri"/>
          <w:sz w:val="24"/>
          <w:szCs w:val="24"/>
        </w:rPr>
        <w:t>)</w:t>
      </w:r>
      <w:r w:rsidRPr="00C656C2">
        <w:rPr>
          <w:rFonts w:ascii="Calibri" w:eastAsia="Times New Roman" w:hAnsi="Calibri" w:cs="Calibri"/>
          <w:sz w:val="24"/>
          <w:szCs w:val="24"/>
        </w:rPr>
        <w:t xml:space="preserve"> where large shocks </w:t>
      </w:r>
      <w:r w:rsidR="009E2018">
        <w:rPr>
          <w:rFonts w:ascii="Calibri" w:eastAsia="Times New Roman" w:hAnsi="Calibri" w:cs="Calibri"/>
          <w:sz w:val="24"/>
          <w:szCs w:val="24"/>
        </w:rPr>
        <w:t xml:space="preserve">are followed by </w:t>
      </w:r>
      <w:r w:rsidRPr="00C656C2">
        <w:rPr>
          <w:rFonts w:ascii="Calibri" w:eastAsia="Times New Roman" w:hAnsi="Calibri" w:cs="Calibri"/>
          <w:sz w:val="24"/>
          <w:szCs w:val="24"/>
        </w:rPr>
        <w:t xml:space="preserve">further volatility (Engle, 1982; Bollerslev, 1986). Finally, the </w:t>
      </w:r>
      <w:r w:rsidRPr="00C656C2">
        <w:rPr>
          <w:rFonts w:ascii="Calibri" w:eastAsia="Times New Roman" w:hAnsi="Calibri" w:cs="Calibri"/>
          <w:sz w:val="24"/>
          <w:szCs w:val="24"/>
        </w:rPr>
        <w:lastRenderedPageBreak/>
        <w:t xml:space="preserve">leverage effect accounts for the </w:t>
      </w:r>
      <w:r w:rsidR="009E2018">
        <w:rPr>
          <w:rFonts w:ascii="Calibri" w:eastAsia="Times New Roman" w:hAnsi="Calibri" w:cs="Calibri"/>
          <w:sz w:val="24"/>
          <w:szCs w:val="24"/>
        </w:rPr>
        <w:t>observed phenomena</w:t>
      </w:r>
      <w:r w:rsidRPr="00C656C2">
        <w:rPr>
          <w:rFonts w:ascii="Calibri" w:eastAsia="Times New Roman" w:hAnsi="Calibri" w:cs="Calibri"/>
          <w:sz w:val="24"/>
          <w:szCs w:val="24"/>
        </w:rPr>
        <w:t xml:space="preserve"> that negative market returns trigger a</w:t>
      </w:r>
      <w:r w:rsidR="00AB7ED1">
        <w:rPr>
          <w:rFonts w:ascii="Calibri" w:eastAsia="Times New Roman" w:hAnsi="Calibri" w:cs="Calibri"/>
          <w:sz w:val="24"/>
          <w:szCs w:val="24"/>
        </w:rPr>
        <w:t xml:space="preserve">n increased level of </w:t>
      </w:r>
      <w:r w:rsidRPr="00C656C2">
        <w:rPr>
          <w:rFonts w:ascii="Calibri" w:eastAsia="Times New Roman" w:hAnsi="Calibri" w:cs="Calibri"/>
          <w:sz w:val="24"/>
          <w:szCs w:val="24"/>
        </w:rPr>
        <w:t xml:space="preserve">volatility than positive </w:t>
      </w:r>
      <w:r w:rsidR="00F26CD2">
        <w:rPr>
          <w:rFonts w:ascii="Calibri" w:eastAsia="Times New Roman" w:hAnsi="Calibri" w:cs="Calibri"/>
          <w:sz w:val="24"/>
          <w:szCs w:val="24"/>
        </w:rPr>
        <w:t xml:space="preserve">market </w:t>
      </w:r>
      <w:r w:rsidRPr="00C656C2">
        <w:rPr>
          <w:rFonts w:ascii="Calibri" w:eastAsia="Times New Roman" w:hAnsi="Calibri" w:cs="Calibri"/>
          <w:sz w:val="24"/>
          <w:szCs w:val="24"/>
        </w:rPr>
        <w:t>returns of identical magnitude (</w:t>
      </w:r>
      <w:proofErr w:type="spellStart"/>
      <w:r w:rsidRPr="00C656C2">
        <w:rPr>
          <w:rFonts w:ascii="Calibri" w:eastAsia="Times New Roman" w:hAnsi="Calibri" w:cs="Calibri"/>
          <w:sz w:val="24"/>
          <w:szCs w:val="24"/>
        </w:rPr>
        <w:t>Glosten</w:t>
      </w:r>
      <w:proofErr w:type="spellEnd"/>
      <w:r w:rsidRPr="00C656C2">
        <w:rPr>
          <w:rFonts w:ascii="Calibri" w:eastAsia="Times New Roman" w:hAnsi="Calibri" w:cs="Calibri"/>
          <w:sz w:val="24"/>
          <w:szCs w:val="24"/>
        </w:rPr>
        <w:t xml:space="preserve"> et al., 1993).</w:t>
      </w:r>
    </w:p>
    <w:p w14:paraId="4B081F1C" w14:textId="4BD25729" w:rsidR="00C656C2" w:rsidRDefault="00C656C2" w:rsidP="00C656C2">
      <w:pPr>
        <w:spacing w:after="0" w:line="480" w:lineRule="auto"/>
        <w:ind w:firstLine="720"/>
        <w:contextualSpacing/>
        <w:rPr>
          <w:rFonts w:ascii="Calibri" w:eastAsia="Times New Roman" w:hAnsi="Calibri" w:cs="Calibri"/>
          <w:b/>
          <w:bCs/>
          <w:color w:val="000000" w:themeColor="text1"/>
          <w:sz w:val="24"/>
          <w:szCs w:val="24"/>
        </w:rPr>
      </w:pPr>
      <w:r w:rsidRPr="00C656C2">
        <w:rPr>
          <w:rFonts w:ascii="Calibri" w:eastAsia="Times New Roman" w:hAnsi="Calibri" w:cs="Calibri"/>
          <w:sz w:val="24"/>
          <w:szCs w:val="24"/>
        </w:rPr>
        <w:t xml:space="preserve">When macroeconomic crises strike, classical VaR models built on normality assumptions </w:t>
      </w:r>
      <w:r w:rsidR="00BE71F9">
        <w:rPr>
          <w:rFonts w:ascii="Calibri" w:eastAsia="Times New Roman" w:hAnsi="Calibri" w:cs="Calibri"/>
          <w:sz w:val="24"/>
          <w:szCs w:val="24"/>
        </w:rPr>
        <w:t xml:space="preserve">(vice </w:t>
      </w:r>
      <w:r w:rsidR="00061039">
        <w:rPr>
          <w:rFonts w:ascii="Calibri" w:eastAsia="Times New Roman" w:hAnsi="Calibri" w:cs="Calibri"/>
          <w:sz w:val="24"/>
          <w:szCs w:val="24"/>
        </w:rPr>
        <w:t>leptokurto</w:t>
      </w:r>
      <w:r w:rsidR="00631526">
        <w:rPr>
          <w:rFonts w:ascii="Calibri" w:eastAsia="Times New Roman" w:hAnsi="Calibri" w:cs="Calibri"/>
          <w:sz w:val="24"/>
          <w:szCs w:val="24"/>
        </w:rPr>
        <w:t>tic</w:t>
      </w:r>
      <w:r w:rsidR="00061039">
        <w:rPr>
          <w:rFonts w:ascii="Calibri" w:eastAsia="Times New Roman" w:hAnsi="Calibri" w:cs="Calibri"/>
          <w:sz w:val="24"/>
          <w:szCs w:val="24"/>
        </w:rPr>
        <w:t>)</w:t>
      </w:r>
      <w:r w:rsidR="00631526">
        <w:rPr>
          <w:rFonts w:ascii="Calibri" w:eastAsia="Times New Roman" w:hAnsi="Calibri" w:cs="Calibri"/>
          <w:sz w:val="24"/>
          <w:szCs w:val="24"/>
        </w:rPr>
        <w:t xml:space="preserve"> </w:t>
      </w:r>
      <w:r w:rsidRPr="00C656C2">
        <w:rPr>
          <w:rFonts w:ascii="Calibri" w:eastAsia="Times New Roman" w:hAnsi="Calibri" w:cs="Calibri"/>
          <w:sz w:val="24"/>
          <w:szCs w:val="24"/>
        </w:rPr>
        <w:t xml:space="preserve">and static lookback windows </w:t>
      </w:r>
      <w:r w:rsidR="00631526">
        <w:rPr>
          <w:rFonts w:ascii="Calibri" w:eastAsia="Times New Roman" w:hAnsi="Calibri" w:cs="Calibri"/>
          <w:sz w:val="24"/>
          <w:szCs w:val="24"/>
        </w:rPr>
        <w:t xml:space="preserve">(vice </w:t>
      </w:r>
      <w:r w:rsidR="00A1626F">
        <w:rPr>
          <w:rFonts w:ascii="Calibri" w:eastAsia="Times New Roman" w:hAnsi="Calibri" w:cs="Calibri"/>
          <w:sz w:val="24"/>
          <w:szCs w:val="24"/>
        </w:rPr>
        <w:t xml:space="preserve">heteroskedasticity) </w:t>
      </w:r>
      <w:r w:rsidRPr="00C656C2">
        <w:rPr>
          <w:rFonts w:ascii="Calibri" w:eastAsia="Times New Roman" w:hAnsi="Calibri" w:cs="Calibri"/>
          <w:sz w:val="24"/>
          <w:szCs w:val="24"/>
        </w:rPr>
        <w:t>break down (</w:t>
      </w:r>
      <w:proofErr w:type="spellStart"/>
      <w:r w:rsidRPr="00C656C2">
        <w:rPr>
          <w:rFonts w:ascii="Calibri" w:eastAsia="Times New Roman" w:hAnsi="Calibri" w:cs="Calibri"/>
          <w:sz w:val="24"/>
          <w:szCs w:val="24"/>
        </w:rPr>
        <w:t>Crouhy</w:t>
      </w:r>
      <w:proofErr w:type="spellEnd"/>
      <w:r w:rsidRPr="00C656C2">
        <w:rPr>
          <w:rFonts w:ascii="Calibri" w:eastAsia="Times New Roman" w:hAnsi="Calibri" w:cs="Calibri"/>
          <w:sz w:val="24"/>
          <w:szCs w:val="24"/>
        </w:rPr>
        <w:t xml:space="preserve"> et al., 2014; </w:t>
      </w:r>
      <w:proofErr w:type="spellStart"/>
      <w:r w:rsidRPr="00C656C2">
        <w:rPr>
          <w:rFonts w:ascii="Calibri" w:eastAsia="Times New Roman" w:hAnsi="Calibri" w:cs="Calibri"/>
          <w:sz w:val="24"/>
          <w:szCs w:val="24"/>
        </w:rPr>
        <w:t>Jorion</w:t>
      </w:r>
      <w:proofErr w:type="spellEnd"/>
      <w:r w:rsidRPr="00C656C2">
        <w:rPr>
          <w:rFonts w:ascii="Calibri" w:eastAsia="Times New Roman" w:hAnsi="Calibri" w:cs="Calibri"/>
          <w:sz w:val="24"/>
          <w:szCs w:val="24"/>
        </w:rPr>
        <w:t xml:space="preserve">, 2006). During the 2008 financial crash, unweighted rolling historical models failed because their lagged volatility weighting systems were slow to react to sudden shocks </w:t>
      </w:r>
      <w:r w:rsidR="00E40C56">
        <w:rPr>
          <w:rFonts w:ascii="Calibri" w:eastAsia="Times New Roman" w:hAnsi="Calibri" w:cs="Calibri"/>
          <w:sz w:val="24"/>
          <w:szCs w:val="24"/>
        </w:rPr>
        <w:t xml:space="preserve">which </w:t>
      </w:r>
      <w:r w:rsidR="00200AD4">
        <w:rPr>
          <w:rFonts w:ascii="Calibri" w:eastAsia="Times New Roman" w:hAnsi="Calibri" w:cs="Calibri"/>
          <w:sz w:val="24"/>
          <w:szCs w:val="24"/>
        </w:rPr>
        <w:t>led</w:t>
      </w:r>
      <w:r w:rsidRPr="00C656C2">
        <w:rPr>
          <w:rFonts w:ascii="Calibri" w:eastAsia="Times New Roman" w:hAnsi="Calibri" w:cs="Calibri"/>
          <w:sz w:val="24"/>
          <w:szCs w:val="24"/>
        </w:rPr>
        <w:t xml:space="preserve"> to severe exception clustering and </w:t>
      </w:r>
      <w:r w:rsidR="00E40C56">
        <w:rPr>
          <w:rFonts w:ascii="Calibri" w:eastAsia="Times New Roman" w:hAnsi="Calibri" w:cs="Calibri"/>
          <w:sz w:val="24"/>
          <w:szCs w:val="24"/>
        </w:rPr>
        <w:t>the miscalculation of</w:t>
      </w:r>
      <w:r w:rsidRPr="00C656C2">
        <w:rPr>
          <w:rFonts w:ascii="Calibri" w:eastAsia="Times New Roman" w:hAnsi="Calibri" w:cs="Calibri"/>
          <w:sz w:val="24"/>
          <w:szCs w:val="24"/>
        </w:rPr>
        <w:t xml:space="preserve"> capital reserves (Brunnermeier &amp; Pedersen, 2009). In response to these structural failures</w:t>
      </w:r>
      <w:r w:rsidR="00E40C56">
        <w:rPr>
          <w:rFonts w:ascii="Calibri" w:eastAsia="Times New Roman" w:hAnsi="Calibri" w:cs="Calibri"/>
          <w:sz w:val="24"/>
          <w:szCs w:val="24"/>
        </w:rPr>
        <w:t>,</w:t>
      </w:r>
      <w:r w:rsidRPr="00C656C2">
        <w:rPr>
          <w:rFonts w:ascii="Calibri" w:eastAsia="Times New Roman" w:hAnsi="Calibri" w:cs="Calibri"/>
          <w:sz w:val="24"/>
          <w:szCs w:val="24"/>
        </w:rPr>
        <w:t xml:space="preserve"> risk methodology </w:t>
      </w:r>
      <w:r w:rsidR="00422D4E">
        <w:rPr>
          <w:rFonts w:ascii="Calibri" w:eastAsia="Times New Roman" w:hAnsi="Calibri" w:cs="Calibri"/>
          <w:sz w:val="24"/>
          <w:szCs w:val="24"/>
        </w:rPr>
        <w:t>shifted</w:t>
      </w:r>
      <w:r w:rsidRPr="00C656C2">
        <w:rPr>
          <w:rFonts w:ascii="Calibri" w:eastAsia="Times New Roman" w:hAnsi="Calibri" w:cs="Calibri"/>
          <w:sz w:val="24"/>
          <w:szCs w:val="24"/>
        </w:rPr>
        <w:t xml:space="preserve"> toward dynamic conditional volatility estimators, such as Exponentially Weighted Moving Average (EWMA) and GJR-GARCH models, alongside hybrid frameworks </w:t>
      </w:r>
      <w:r w:rsidR="00B42460">
        <w:rPr>
          <w:rFonts w:ascii="Calibri" w:eastAsia="Times New Roman" w:hAnsi="Calibri" w:cs="Calibri"/>
          <w:sz w:val="24"/>
          <w:szCs w:val="24"/>
        </w:rPr>
        <w:t>including</w:t>
      </w:r>
      <w:r w:rsidRPr="00C656C2">
        <w:rPr>
          <w:rFonts w:ascii="Calibri" w:eastAsia="Times New Roman" w:hAnsi="Calibri" w:cs="Calibri"/>
          <w:sz w:val="24"/>
          <w:szCs w:val="24"/>
        </w:rPr>
        <w:t xml:space="preserve"> Filtered Historical Simulation (FHS) </w:t>
      </w:r>
      <w:r w:rsidR="003B2D68">
        <w:rPr>
          <w:rFonts w:ascii="Calibri" w:eastAsia="Times New Roman" w:hAnsi="Calibri" w:cs="Calibri"/>
          <w:sz w:val="24"/>
          <w:szCs w:val="24"/>
        </w:rPr>
        <w:t>that combine</w:t>
      </w:r>
      <w:r w:rsidR="008F475D">
        <w:rPr>
          <w:rFonts w:ascii="Calibri" w:eastAsia="Times New Roman" w:hAnsi="Calibri" w:cs="Calibri"/>
          <w:sz w:val="24"/>
          <w:szCs w:val="24"/>
        </w:rPr>
        <w:t xml:space="preserve"> conditional volatility models and </w:t>
      </w:r>
      <w:r w:rsidR="0056657B">
        <w:rPr>
          <w:rFonts w:ascii="Calibri" w:eastAsia="Times New Roman" w:hAnsi="Calibri" w:cs="Calibri"/>
          <w:sz w:val="24"/>
          <w:szCs w:val="24"/>
        </w:rPr>
        <w:t xml:space="preserve">non-parametric historical simulation models </w:t>
      </w:r>
      <w:r w:rsidRPr="00C656C2">
        <w:rPr>
          <w:rFonts w:ascii="Calibri" w:eastAsia="Times New Roman" w:hAnsi="Calibri" w:cs="Calibri"/>
          <w:sz w:val="24"/>
          <w:szCs w:val="24"/>
        </w:rPr>
        <w:t xml:space="preserve">(McNeil &amp; Frey, 2000; </w:t>
      </w:r>
      <w:proofErr w:type="spellStart"/>
      <w:r w:rsidRPr="00C656C2">
        <w:rPr>
          <w:rFonts w:ascii="Calibri" w:eastAsia="Times New Roman" w:hAnsi="Calibri" w:cs="Calibri"/>
          <w:sz w:val="24"/>
          <w:szCs w:val="24"/>
        </w:rPr>
        <w:t>Echaust</w:t>
      </w:r>
      <w:proofErr w:type="spellEnd"/>
      <w:r w:rsidRPr="00C656C2">
        <w:rPr>
          <w:rFonts w:ascii="Calibri" w:eastAsia="Times New Roman" w:hAnsi="Calibri" w:cs="Calibri"/>
          <w:sz w:val="24"/>
          <w:szCs w:val="24"/>
        </w:rPr>
        <w:t xml:space="preserve"> &amp; Just, 2020).</w:t>
      </w:r>
    </w:p>
    <w:p w14:paraId="42FC05F6" w14:textId="77777777" w:rsidR="00C656C2" w:rsidRDefault="00C656C2" w:rsidP="00C656C2">
      <w:pPr>
        <w:spacing w:after="0" w:line="480" w:lineRule="auto"/>
        <w:contextualSpacing/>
        <w:rPr>
          <w:rFonts w:ascii="Calibri" w:eastAsia="Times New Roman" w:hAnsi="Calibri" w:cs="Calibri"/>
          <w:b/>
          <w:bCs/>
          <w:i/>
          <w:iCs/>
          <w:color w:val="000000" w:themeColor="text1"/>
          <w:sz w:val="24"/>
          <w:szCs w:val="24"/>
        </w:rPr>
      </w:pPr>
      <w:r w:rsidRPr="00C656C2">
        <w:rPr>
          <w:rFonts w:ascii="Calibri" w:eastAsia="Times New Roman" w:hAnsi="Calibri" w:cs="Calibri"/>
          <w:b/>
          <w:bCs/>
          <w:i/>
          <w:iCs/>
        </w:rPr>
        <w:t>Problem Statement and Research Design</w:t>
      </w:r>
    </w:p>
    <w:p w14:paraId="3D8B81AA" w14:textId="17112515" w:rsidR="00C656C2" w:rsidRPr="00C656C2" w:rsidRDefault="00C656C2" w:rsidP="00963D61">
      <w:pPr>
        <w:spacing w:after="0" w:line="480" w:lineRule="auto"/>
        <w:ind w:firstLine="720"/>
        <w:contextualSpacing/>
        <w:rPr>
          <w:rFonts w:ascii="Calibri" w:eastAsia="Times New Roman" w:hAnsi="Calibri" w:cs="Calibri"/>
          <w:b/>
          <w:bCs/>
          <w:i/>
          <w:iCs/>
          <w:color w:val="000000" w:themeColor="text1"/>
          <w:sz w:val="24"/>
          <w:szCs w:val="24"/>
        </w:rPr>
      </w:pPr>
      <w:r w:rsidRPr="00C656C2">
        <w:rPr>
          <w:rFonts w:ascii="Calibri" w:eastAsia="Times New Roman" w:hAnsi="Calibri" w:cs="Calibri"/>
        </w:rPr>
        <w:t>The central problem addressed by this study is whether underlying risk characteristics</w:t>
      </w:r>
      <w:r w:rsidR="00BD3AF0">
        <w:rPr>
          <w:rFonts w:ascii="Calibri" w:eastAsia="Times New Roman" w:hAnsi="Calibri" w:cs="Calibri"/>
        </w:rPr>
        <w:t xml:space="preserve">, specifically </w:t>
      </w:r>
      <w:r w:rsidR="00BD3AF0" w:rsidRPr="00C656C2">
        <w:rPr>
          <w:rFonts w:ascii="Calibri" w:eastAsia="Times New Roman" w:hAnsi="Calibri" w:cs="Calibri"/>
        </w:rPr>
        <w:t xml:space="preserve">tail thickness, </w:t>
      </w:r>
      <w:r w:rsidRPr="00C656C2">
        <w:rPr>
          <w:rFonts w:ascii="Calibri" w:eastAsia="Times New Roman" w:hAnsi="Calibri" w:cs="Calibri"/>
        </w:rPr>
        <w:t>volatility scaling, and asymmetry</w:t>
      </w:r>
      <w:r w:rsidR="00BD3AF0">
        <w:rPr>
          <w:rFonts w:ascii="Calibri" w:eastAsia="Times New Roman" w:hAnsi="Calibri" w:cs="Calibri"/>
        </w:rPr>
        <w:t xml:space="preserve">, </w:t>
      </w:r>
      <w:r w:rsidRPr="00C656C2">
        <w:rPr>
          <w:rFonts w:ascii="Calibri" w:eastAsia="Times New Roman" w:hAnsi="Calibri" w:cs="Calibri"/>
        </w:rPr>
        <w:t>can reliably predict which portfolio allocations are prone to severe distress during market panics, or if historical crisis traits represent isolated sample-specific coincidences.</w:t>
      </w:r>
      <w:r w:rsidR="00963D61">
        <w:rPr>
          <w:rFonts w:ascii="Calibri" w:eastAsia="Times New Roman" w:hAnsi="Calibri" w:cs="Calibri"/>
          <w:b/>
          <w:bCs/>
          <w:i/>
          <w:iCs/>
          <w:color w:val="000000" w:themeColor="text1"/>
          <w:sz w:val="24"/>
          <w:szCs w:val="24"/>
        </w:rPr>
        <w:t xml:space="preserve"> </w:t>
      </w:r>
      <w:r w:rsidRPr="00C656C2">
        <w:rPr>
          <w:rFonts w:ascii="Calibri" w:eastAsia="Times New Roman" w:hAnsi="Calibri" w:cs="Calibri"/>
        </w:rPr>
        <w:t>To answer this question, this paper evaluates the performance of static versus dynamic risk metrics across a concentrated portfolio of financial equities and a diversified</w:t>
      </w:r>
      <w:r w:rsidR="00195FFE">
        <w:rPr>
          <w:rFonts w:ascii="Calibri" w:eastAsia="Times New Roman" w:hAnsi="Calibri" w:cs="Calibri"/>
        </w:rPr>
        <w:t>,</w:t>
      </w:r>
      <w:r w:rsidRPr="00C656C2">
        <w:rPr>
          <w:rFonts w:ascii="Calibri" w:eastAsia="Times New Roman" w:hAnsi="Calibri" w:cs="Calibri"/>
        </w:rPr>
        <w:t xml:space="preserve"> multi-asset </w:t>
      </w:r>
      <w:r w:rsidR="001D5B39">
        <w:rPr>
          <w:rFonts w:ascii="Calibri" w:eastAsia="Times New Roman" w:hAnsi="Calibri" w:cs="Calibri"/>
        </w:rPr>
        <w:t>portfolio</w:t>
      </w:r>
      <w:r w:rsidRPr="00C656C2">
        <w:rPr>
          <w:rFonts w:ascii="Calibri" w:eastAsia="Times New Roman" w:hAnsi="Calibri" w:cs="Calibri"/>
        </w:rPr>
        <w:t xml:space="preserve">. By employing rolling historical, parametric, EWMA, GJR-GARCH, and FHS models </w:t>
      </w:r>
      <w:r w:rsidR="0064592F">
        <w:rPr>
          <w:rFonts w:ascii="Calibri" w:eastAsia="Times New Roman" w:hAnsi="Calibri" w:cs="Calibri"/>
        </w:rPr>
        <w:t>analyzed using</w:t>
      </w:r>
      <w:r w:rsidRPr="00C656C2">
        <w:rPr>
          <w:rFonts w:ascii="Calibri" w:eastAsia="Times New Roman" w:hAnsi="Calibri" w:cs="Calibri"/>
        </w:rPr>
        <w:t xml:space="preserve"> Kupiec Proportion of Failures and Christoffersen independence tests, this study </w:t>
      </w:r>
      <w:r w:rsidR="00F341A5">
        <w:rPr>
          <w:rFonts w:ascii="Calibri" w:eastAsia="Times New Roman" w:hAnsi="Calibri" w:cs="Calibri"/>
        </w:rPr>
        <w:t>tests whether</w:t>
      </w:r>
      <w:r w:rsidRPr="00C656C2">
        <w:rPr>
          <w:rFonts w:ascii="Calibri" w:eastAsia="Times New Roman" w:hAnsi="Calibri" w:cs="Calibri"/>
        </w:rPr>
        <w:t xml:space="preserve"> dynamic volatility scaling and asset decorrelation overcome the failures of traditional </w:t>
      </w:r>
      <w:r w:rsidR="00BB1AF0">
        <w:rPr>
          <w:rFonts w:ascii="Calibri" w:eastAsia="Times New Roman" w:hAnsi="Calibri" w:cs="Calibri"/>
        </w:rPr>
        <w:t>models</w:t>
      </w:r>
      <w:r w:rsidRPr="00C656C2">
        <w:rPr>
          <w:rFonts w:ascii="Calibri" w:eastAsia="Times New Roman" w:hAnsi="Calibri" w:cs="Calibri"/>
        </w:rPr>
        <w:t xml:space="preserve">. </w:t>
      </w:r>
    </w:p>
    <w:p w14:paraId="37090D86" w14:textId="62C3186F" w:rsidR="005F63B6" w:rsidRDefault="005F63B6" w:rsidP="00F26403">
      <w:pPr>
        <w:spacing w:after="0" w:line="480" w:lineRule="auto"/>
        <w:contextualSpacing/>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Literature Review</w:t>
      </w:r>
    </w:p>
    <w:p w14:paraId="75C51CA6" w14:textId="77777777" w:rsidR="00732334" w:rsidRPr="00F71DBF" w:rsidRDefault="00732334" w:rsidP="00732334">
      <w:pPr>
        <w:spacing w:after="160" w:line="480" w:lineRule="auto"/>
        <w:rPr>
          <w:rFonts w:ascii="Calibri" w:eastAsia="Times New Roman" w:hAnsi="Calibri" w:cs="Calibri"/>
          <w:b/>
          <w:bCs/>
          <w:i/>
          <w:iCs/>
          <w:color w:val="000000" w:themeColor="text1"/>
          <w:sz w:val="24"/>
          <w:szCs w:val="24"/>
        </w:rPr>
      </w:pPr>
      <w:r w:rsidRPr="00F71DBF">
        <w:rPr>
          <w:rFonts w:ascii="Calibri" w:eastAsia="Times New Roman" w:hAnsi="Calibri" w:cs="Calibri"/>
          <w:b/>
          <w:bCs/>
          <w:i/>
          <w:iCs/>
          <w:color w:val="000000" w:themeColor="text1"/>
          <w:sz w:val="24"/>
          <w:szCs w:val="24"/>
        </w:rPr>
        <w:lastRenderedPageBreak/>
        <w:t>Executive Summary</w:t>
      </w:r>
    </w:p>
    <w:p w14:paraId="25E8F1AF" w14:textId="0B1503FD" w:rsidR="00732334" w:rsidRPr="00D71369" w:rsidRDefault="00732334" w:rsidP="00732334">
      <w:pPr>
        <w:spacing w:after="160" w:line="480" w:lineRule="auto"/>
        <w:ind w:firstLine="720"/>
        <w:rPr>
          <w:rFonts w:ascii="Calibri" w:eastAsia="Times New Roman" w:hAnsi="Calibri" w:cs="Calibri"/>
          <w:color w:val="000000" w:themeColor="text1"/>
          <w:sz w:val="24"/>
          <w:szCs w:val="24"/>
        </w:rPr>
      </w:pPr>
      <w:r w:rsidRPr="00D71369">
        <w:rPr>
          <w:rFonts w:ascii="Calibri" w:eastAsia="Times New Roman" w:hAnsi="Calibri" w:cs="Calibri"/>
          <w:color w:val="000000" w:themeColor="text1"/>
          <w:sz w:val="24"/>
          <w:szCs w:val="24"/>
        </w:rPr>
        <w:t xml:space="preserve">Traditional financial risk management </w:t>
      </w:r>
      <w:r>
        <w:rPr>
          <w:rFonts w:ascii="Calibri" w:eastAsia="Times New Roman" w:hAnsi="Calibri" w:cs="Calibri"/>
          <w:color w:val="000000" w:themeColor="text1"/>
          <w:sz w:val="24"/>
          <w:szCs w:val="24"/>
        </w:rPr>
        <w:t xml:space="preserve">methodology has typically assumed </w:t>
      </w:r>
      <w:r w:rsidRPr="00D71369">
        <w:rPr>
          <w:rFonts w:ascii="Calibri" w:eastAsia="Times New Roman" w:hAnsi="Calibri" w:cs="Calibri"/>
          <w:color w:val="000000" w:themeColor="text1"/>
          <w:sz w:val="24"/>
          <w:szCs w:val="24"/>
        </w:rPr>
        <w:t xml:space="preserve">Geometric Brownian Motion (GBM) and </w:t>
      </w:r>
      <w:r>
        <w:rPr>
          <w:rFonts w:ascii="Calibri" w:eastAsia="Times New Roman" w:hAnsi="Calibri" w:cs="Calibri"/>
          <w:color w:val="000000" w:themeColor="text1"/>
          <w:sz w:val="24"/>
          <w:szCs w:val="24"/>
        </w:rPr>
        <w:t xml:space="preserve">normal </w:t>
      </w:r>
      <w:r w:rsidRPr="00D71369">
        <w:rPr>
          <w:rFonts w:ascii="Calibri" w:eastAsia="Times New Roman" w:hAnsi="Calibri" w:cs="Calibri"/>
          <w:color w:val="000000" w:themeColor="text1"/>
          <w:sz w:val="24"/>
          <w:szCs w:val="24"/>
        </w:rPr>
        <w:t xml:space="preserve">return distributions to model market behavior (Peng &amp; Simon, 2024). </w:t>
      </w:r>
      <w:r>
        <w:rPr>
          <w:rFonts w:ascii="Calibri" w:eastAsia="Times New Roman" w:hAnsi="Calibri" w:cs="Calibri"/>
          <w:color w:val="000000" w:themeColor="text1"/>
          <w:sz w:val="24"/>
          <w:szCs w:val="24"/>
        </w:rPr>
        <w:t>T</w:t>
      </w:r>
      <w:r w:rsidRPr="00D71369">
        <w:rPr>
          <w:rFonts w:ascii="Calibri" w:eastAsia="Times New Roman" w:hAnsi="Calibri" w:cs="Calibri"/>
          <w:color w:val="000000" w:themeColor="text1"/>
          <w:sz w:val="24"/>
          <w:szCs w:val="24"/>
        </w:rPr>
        <w:t xml:space="preserve">hese models consistently underestimate </w:t>
      </w:r>
      <w:r>
        <w:rPr>
          <w:rFonts w:ascii="Calibri" w:eastAsia="Times New Roman" w:hAnsi="Calibri" w:cs="Calibri"/>
          <w:color w:val="000000" w:themeColor="text1"/>
          <w:sz w:val="24"/>
          <w:szCs w:val="24"/>
        </w:rPr>
        <w:t xml:space="preserve">both </w:t>
      </w:r>
      <w:r w:rsidRPr="00D71369">
        <w:rPr>
          <w:rFonts w:ascii="Calibri" w:eastAsia="Times New Roman" w:hAnsi="Calibri" w:cs="Calibri"/>
          <w:color w:val="000000" w:themeColor="text1"/>
          <w:sz w:val="24"/>
          <w:szCs w:val="24"/>
        </w:rPr>
        <w:t>the magnitude and frequency of tail losses during macroeconomic crises (Duffie &amp; Pan, 1997). This literature review synthesizes research surrounding analytical theories, tools, and econometric models that address these limitations</w:t>
      </w:r>
      <w:r>
        <w:rPr>
          <w:rFonts w:ascii="Calibri" w:eastAsia="Times New Roman" w:hAnsi="Calibri" w:cs="Calibri"/>
          <w:color w:val="000000" w:themeColor="text1"/>
          <w:sz w:val="24"/>
          <w:szCs w:val="24"/>
        </w:rPr>
        <w:t xml:space="preserve"> to uncover factors that could more accurately predict which variables make publicly traded institutions more prone to distress during market panics</w:t>
      </w:r>
      <w:r w:rsidRPr="00D71369">
        <w:rPr>
          <w:rFonts w:ascii="Calibri" w:eastAsia="Times New Roman" w:hAnsi="Calibri" w:cs="Calibri"/>
          <w:color w:val="000000" w:themeColor="text1"/>
          <w:sz w:val="24"/>
          <w:szCs w:val="24"/>
        </w:rPr>
        <w:t>. Specifically, it reviews the theoretical mechanics of VaR, Extreme Value Theory (EVT), heavy-tailed return</w:t>
      </w:r>
      <w:r>
        <w:rPr>
          <w:rFonts w:ascii="Calibri" w:eastAsia="Times New Roman" w:hAnsi="Calibri" w:cs="Calibri"/>
          <w:color w:val="000000" w:themeColor="text1"/>
          <w:sz w:val="24"/>
          <w:szCs w:val="24"/>
        </w:rPr>
        <w:t>s</w:t>
      </w:r>
      <w:r w:rsidRPr="00D71369">
        <w:rPr>
          <w:rFonts w:ascii="Calibri" w:eastAsia="Times New Roman" w:hAnsi="Calibri" w:cs="Calibri"/>
          <w:color w:val="000000" w:themeColor="text1"/>
          <w:sz w:val="24"/>
          <w:szCs w:val="24"/>
        </w:rPr>
        <w:t>, and conditional volatility models (GJR-GARCH</w:t>
      </w:r>
      <w:r>
        <w:rPr>
          <w:rFonts w:ascii="Calibri" w:eastAsia="Times New Roman" w:hAnsi="Calibri" w:cs="Calibri"/>
          <w:color w:val="000000" w:themeColor="text1"/>
          <w:sz w:val="24"/>
          <w:szCs w:val="24"/>
        </w:rPr>
        <w:t xml:space="preserve">). By reviewing the frameworks, this study establishes a scholarly foundation for identifying whether underlying risk characteristics such as volatility, tail thickness, and asymmetry reliably predict institutional distress during market turmoil, or if historical crisis traits represent sample-specific coincidences. </w:t>
      </w:r>
    </w:p>
    <w:p w14:paraId="748C9745" w14:textId="77777777" w:rsidR="00732334" w:rsidRPr="00F71DBF" w:rsidRDefault="00732334" w:rsidP="00732334">
      <w:pPr>
        <w:spacing w:after="160" w:line="480" w:lineRule="auto"/>
        <w:rPr>
          <w:rFonts w:ascii="Calibri" w:eastAsia="Times New Roman" w:hAnsi="Calibri" w:cs="Calibri"/>
          <w:b/>
          <w:bCs/>
          <w:i/>
          <w:iCs/>
          <w:color w:val="000000" w:themeColor="text1"/>
          <w:sz w:val="24"/>
          <w:szCs w:val="24"/>
        </w:rPr>
      </w:pPr>
      <w:r w:rsidRPr="00F71DBF">
        <w:rPr>
          <w:rFonts w:ascii="Calibri" w:eastAsia="Times New Roman" w:hAnsi="Calibri" w:cs="Calibri"/>
          <w:b/>
          <w:bCs/>
          <w:i/>
          <w:iCs/>
          <w:color w:val="000000" w:themeColor="text1"/>
          <w:sz w:val="24"/>
          <w:szCs w:val="24"/>
        </w:rPr>
        <w:t>The Theoretical Limits of Normality and Baseline Stochastic Models</w:t>
      </w:r>
    </w:p>
    <w:p w14:paraId="509423F5" w14:textId="77777777" w:rsidR="00732334" w:rsidRPr="00D71369" w:rsidRDefault="00732334" w:rsidP="00732334">
      <w:pPr>
        <w:spacing w:after="160" w:line="480" w:lineRule="auto"/>
        <w:ind w:firstLine="720"/>
        <w:rPr>
          <w:rFonts w:ascii="Calibri" w:eastAsia="Times New Roman" w:hAnsi="Calibri" w:cs="Calibri"/>
          <w:color w:val="000000" w:themeColor="text1"/>
          <w:sz w:val="24"/>
          <w:szCs w:val="24"/>
        </w:rPr>
      </w:pPr>
      <w:r w:rsidRPr="00D71369">
        <w:rPr>
          <w:rFonts w:ascii="Calibri" w:eastAsia="Times New Roman" w:hAnsi="Calibri" w:cs="Calibri"/>
          <w:color w:val="000000" w:themeColor="text1"/>
          <w:sz w:val="24"/>
          <w:szCs w:val="24"/>
        </w:rPr>
        <w:t>Modern quantitative finance</w:t>
      </w:r>
      <w:r>
        <w:rPr>
          <w:rFonts w:ascii="Calibri" w:eastAsia="Times New Roman" w:hAnsi="Calibri" w:cs="Calibri"/>
          <w:color w:val="000000" w:themeColor="text1"/>
          <w:sz w:val="24"/>
          <w:szCs w:val="24"/>
        </w:rPr>
        <w:t xml:space="preserve"> has </w:t>
      </w:r>
      <w:r w:rsidRPr="00D71369">
        <w:rPr>
          <w:rFonts w:ascii="Calibri" w:eastAsia="Times New Roman" w:hAnsi="Calibri" w:cs="Calibri"/>
          <w:color w:val="000000" w:themeColor="text1"/>
          <w:sz w:val="24"/>
          <w:szCs w:val="24"/>
        </w:rPr>
        <w:t>stochastic calculus</w:t>
      </w:r>
      <w:r>
        <w:rPr>
          <w:rFonts w:ascii="Calibri" w:eastAsia="Times New Roman" w:hAnsi="Calibri" w:cs="Calibri"/>
          <w:color w:val="000000" w:themeColor="text1"/>
          <w:sz w:val="24"/>
          <w:szCs w:val="24"/>
        </w:rPr>
        <w:t>, specifically</w:t>
      </w:r>
      <w:r w:rsidRPr="00D71369">
        <w:rPr>
          <w:rFonts w:ascii="Calibri" w:eastAsia="Times New Roman" w:hAnsi="Calibri" w:cs="Calibri"/>
          <w:color w:val="000000" w:themeColor="text1"/>
          <w:sz w:val="24"/>
          <w:szCs w:val="24"/>
        </w:rPr>
        <w:t xml:space="preserve"> GBM</w:t>
      </w:r>
      <w:r>
        <w:rPr>
          <w:rFonts w:ascii="Calibri" w:eastAsia="Times New Roman" w:hAnsi="Calibri" w:cs="Calibri"/>
          <w:color w:val="000000" w:themeColor="text1"/>
          <w:sz w:val="24"/>
          <w:szCs w:val="24"/>
        </w:rPr>
        <w:t>,</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 xml:space="preserve">at its foundation </w:t>
      </w:r>
      <w:r w:rsidRPr="00D71369">
        <w:rPr>
          <w:rFonts w:ascii="Calibri" w:eastAsia="Times New Roman" w:hAnsi="Calibri" w:cs="Calibri"/>
          <w:color w:val="000000" w:themeColor="text1"/>
          <w:sz w:val="24"/>
          <w:szCs w:val="24"/>
        </w:rPr>
        <w:t>which assumes that returns are normally distributed</w:t>
      </w:r>
      <w:r>
        <w:rPr>
          <w:rFonts w:ascii="Calibri" w:eastAsia="Times New Roman" w:hAnsi="Calibri" w:cs="Calibri"/>
          <w:color w:val="000000" w:themeColor="text1"/>
          <w:sz w:val="24"/>
          <w:szCs w:val="24"/>
        </w:rPr>
        <w:t>, always positive, multiplicative (not additive),</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 xml:space="preserve">have constant volatility, </w:t>
      </w:r>
      <w:r w:rsidRPr="00D71369">
        <w:rPr>
          <w:rFonts w:ascii="Calibri" w:eastAsia="Times New Roman" w:hAnsi="Calibri" w:cs="Calibri"/>
          <w:color w:val="000000" w:themeColor="text1"/>
          <w:sz w:val="24"/>
          <w:szCs w:val="24"/>
        </w:rPr>
        <w:t xml:space="preserve">and </w:t>
      </w:r>
      <w:r>
        <w:rPr>
          <w:rFonts w:ascii="Calibri" w:eastAsia="Times New Roman" w:hAnsi="Calibri" w:cs="Calibri"/>
          <w:color w:val="000000" w:themeColor="text1"/>
          <w:sz w:val="24"/>
          <w:szCs w:val="24"/>
        </w:rPr>
        <w:t>are memoryless (Markov property)</w:t>
      </w:r>
      <w:r w:rsidRPr="00D71369">
        <w:rPr>
          <w:rFonts w:ascii="Calibri" w:eastAsia="Times New Roman" w:hAnsi="Calibri" w:cs="Calibri"/>
          <w:color w:val="000000" w:themeColor="text1"/>
          <w:sz w:val="24"/>
          <w:szCs w:val="24"/>
        </w:rPr>
        <w:t xml:space="preserve"> (Peng &amp; Simon, 2024). </w:t>
      </w:r>
      <w:r>
        <w:rPr>
          <w:rFonts w:ascii="Calibri" w:eastAsia="Times New Roman" w:hAnsi="Calibri" w:cs="Calibri"/>
          <w:color w:val="000000" w:themeColor="text1"/>
          <w:sz w:val="24"/>
          <w:szCs w:val="24"/>
        </w:rPr>
        <w:t xml:space="preserve">In contrast to conventional theory, </w:t>
      </w:r>
      <w:proofErr w:type="spellStart"/>
      <w:r w:rsidRPr="00D71369">
        <w:rPr>
          <w:rFonts w:ascii="Calibri" w:eastAsia="Times New Roman" w:hAnsi="Calibri" w:cs="Calibri"/>
          <w:color w:val="000000" w:themeColor="text1"/>
          <w:sz w:val="24"/>
          <w:szCs w:val="24"/>
        </w:rPr>
        <w:t>Cont</w:t>
      </w:r>
      <w:r>
        <w:rPr>
          <w:rFonts w:ascii="Calibri" w:eastAsia="Times New Roman" w:hAnsi="Calibri" w:cs="Calibri"/>
          <w:color w:val="000000" w:themeColor="text1"/>
          <w:sz w:val="24"/>
          <w:szCs w:val="24"/>
        </w:rPr>
        <w:t>’s</w:t>
      </w:r>
      <w:proofErr w:type="spellEnd"/>
      <w:r w:rsidRPr="00D71369">
        <w:rPr>
          <w:rFonts w:ascii="Calibri" w:eastAsia="Times New Roman" w:hAnsi="Calibri" w:cs="Calibri"/>
          <w:color w:val="000000" w:themeColor="text1"/>
          <w:sz w:val="24"/>
          <w:szCs w:val="24"/>
        </w:rPr>
        <w:t xml:space="preserve"> (2001) </w:t>
      </w:r>
      <w:r>
        <w:rPr>
          <w:rFonts w:ascii="Calibri" w:eastAsia="Times New Roman" w:hAnsi="Calibri" w:cs="Calibri"/>
          <w:color w:val="000000" w:themeColor="text1"/>
          <w:sz w:val="24"/>
          <w:szCs w:val="24"/>
        </w:rPr>
        <w:t xml:space="preserve">observations of </w:t>
      </w:r>
      <w:r w:rsidRPr="00D71369">
        <w:rPr>
          <w:rFonts w:ascii="Calibri" w:eastAsia="Times New Roman" w:hAnsi="Calibri" w:cs="Calibri"/>
          <w:color w:val="000000" w:themeColor="text1"/>
          <w:sz w:val="24"/>
          <w:szCs w:val="24"/>
        </w:rPr>
        <w:t>financial return series</w:t>
      </w:r>
      <w:r>
        <w:rPr>
          <w:rFonts w:ascii="Calibri" w:eastAsia="Times New Roman" w:hAnsi="Calibri" w:cs="Calibri"/>
          <w:color w:val="000000" w:themeColor="text1"/>
          <w:sz w:val="24"/>
          <w:szCs w:val="24"/>
        </w:rPr>
        <w:t xml:space="preserve"> include </w:t>
      </w:r>
      <w:r w:rsidRPr="00D71369">
        <w:rPr>
          <w:rFonts w:ascii="Calibri" w:eastAsia="Times New Roman" w:hAnsi="Calibri" w:cs="Calibri"/>
          <w:color w:val="000000" w:themeColor="text1"/>
          <w:sz w:val="24"/>
          <w:szCs w:val="24"/>
        </w:rPr>
        <w:t>leptokurtosis (heavy tails), volatility clustering, and asymmetry between gains and losses.</w:t>
      </w:r>
      <w:r>
        <w:rPr>
          <w:rFonts w:ascii="Calibri" w:eastAsia="Times New Roman" w:hAnsi="Calibri" w:cs="Calibri"/>
          <w:color w:val="000000" w:themeColor="text1"/>
          <w:sz w:val="24"/>
          <w:szCs w:val="24"/>
        </w:rPr>
        <w:t xml:space="preserve"> In other words, unexpected losses are greater than predicted, volatility begets more volatility, and losses beget more losses. </w:t>
      </w:r>
      <w:proofErr w:type="spellStart"/>
      <w:r w:rsidRPr="00D71369">
        <w:rPr>
          <w:rFonts w:ascii="Calibri" w:eastAsia="Times New Roman" w:hAnsi="Calibri" w:cs="Calibri"/>
          <w:color w:val="000000" w:themeColor="text1"/>
          <w:sz w:val="24"/>
          <w:szCs w:val="24"/>
        </w:rPr>
        <w:t>Crouhy</w:t>
      </w:r>
      <w:proofErr w:type="spellEnd"/>
      <w:r w:rsidRPr="00D71369">
        <w:rPr>
          <w:rFonts w:ascii="Calibri" w:eastAsia="Times New Roman" w:hAnsi="Calibri" w:cs="Calibri"/>
          <w:color w:val="000000" w:themeColor="text1"/>
          <w:sz w:val="24"/>
          <w:szCs w:val="24"/>
        </w:rPr>
        <w:t xml:space="preserve"> et al. (2014)</w:t>
      </w:r>
      <w:r>
        <w:rPr>
          <w:rFonts w:ascii="Calibri" w:eastAsia="Times New Roman" w:hAnsi="Calibri" w:cs="Calibri"/>
          <w:color w:val="000000" w:themeColor="text1"/>
          <w:sz w:val="24"/>
          <w:szCs w:val="24"/>
        </w:rPr>
        <w:t>,</w:t>
      </w:r>
      <w:r w:rsidRPr="00D71369">
        <w:rPr>
          <w:rFonts w:ascii="Calibri" w:eastAsia="Times New Roman" w:hAnsi="Calibri" w:cs="Calibri"/>
          <w:color w:val="000000" w:themeColor="text1"/>
          <w:sz w:val="24"/>
          <w:szCs w:val="24"/>
        </w:rPr>
        <w:t xml:space="preserve"> </w:t>
      </w:r>
      <w:proofErr w:type="spellStart"/>
      <w:r w:rsidRPr="00D71369">
        <w:rPr>
          <w:rFonts w:ascii="Calibri" w:eastAsia="Times New Roman" w:hAnsi="Calibri" w:cs="Calibri"/>
          <w:color w:val="000000" w:themeColor="text1"/>
          <w:sz w:val="24"/>
          <w:szCs w:val="24"/>
        </w:rPr>
        <w:t>Jorion</w:t>
      </w:r>
      <w:proofErr w:type="spellEnd"/>
      <w:r w:rsidRPr="00D71369">
        <w:rPr>
          <w:rFonts w:ascii="Calibri" w:eastAsia="Times New Roman" w:hAnsi="Calibri" w:cs="Calibri"/>
          <w:color w:val="000000" w:themeColor="text1"/>
          <w:sz w:val="24"/>
          <w:szCs w:val="24"/>
        </w:rPr>
        <w:t xml:space="preserve"> (2006)</w:t>
      </w:r>
      <w:r>
        <w:rPr>
          <w:rFonts w:ascii="Calibri" w:eastAsia="Times New Roman" w:hAnsi="Calibri" w:cs="Calibri"/>
          <w:color w:val="000000" w:themeColor="text1"/>
          <w:sz w:val="24"/>
          <w:szCs w:val="24"/>
        </w:rPr>
        <w:t>, and Hull (2018)</w:t>
      </w:r>
      <w:r w:rsidRPr="00D71369">
        <w:rPr>
          <w:rFonts w:ascii="Calibri" w:eastAsia="Times New Roman" w:hAnsi="Calibri" w:cs="Calibri"/>
          <w:color w:val="000000" w:themeColor="text1"/>
          <w:sz w:val="24"/>
          <w:szCs w:val="24"/>
        </w:rPr>
        <w:t xml:space="preserve"> </w:t>
      </w:r>
      <w:r w:rsidRPr="00D71369">
        <w:rPr>
          <w:rFonts w:ascii="Calibri" w:eastAsia="Times New Roman" w:hAnsi="Calibri" w:cs="Calibri"/>
          <w:color w:val="000000" w:themeColor="text1"/>
          <w:sz w:val="24"/>
          <w:szCs w:val="24"/>
        </w:rPr>
        <w:lastRenderedPageBreak/>
        <w:t>emphasize</w:t>
      </w:r>
      <w:r>
        <w:rPr>
          <w:rFonts w:ascii="Calibri" w:eastAsia="Times New Roman" w:hAnsi="Calibri" w:cs="Calibri"/>
          <w:color w:val="000000" w:themeColor="text1"/>
          <w:sz w:val="24"/>
          <w:szCs w:val="24"/>
        </w:rPr>
        <w:t xml:space="preserve"> that normality-assuming risk models using GBM methodology break down </w:t>
      </w:r>
      <w:r w:rsidRPr="00D71369">
        <w:rPr>
          <w:rFonts w:ascii="Calibri" w:eastAsia="Times New Roman" w:hAnsi="Calibri" w:cs="Calibri"/>
          <w:color w:val="000000" w:themeColor="text1"/>
          <w:sz w:val="24"/>
          <w:szCs w:val="24"/>
        </w:rPr>
        <w:t xml:space="preserve">during market </w:t>
      </w:r>
      <w:r>
        <w:rPr>
          <w:rFonts w:ascii="Calibri" w:eastAsia="Times New Roman" w:hAnsi="Calibri" w:cs="Calibri"/>
          <w:color w:val="000000" w:themeColor="text1"/>
          <w:sz w:val="24"/>
          <w:szCs w:val="24"/>
        </w:rPr>
        <w:t xml:space="preserve">panics. Indeed, these </w:t>
      </w:r>
      <w:r w:rsidRPr="00D71369">
        <w:rPr>
          <w:rFonts w:ascii="Calibri" w:eastAsia="Times New Roman" w:hAnsi="Calibri" w:cs="Calibri"/>
          <w:color w:val="000000" w:themeColor="text1"/>
          <w:sz w:val="24"/>
          <w:szCs w:val="24"/>
        </w:rPr>
        <w:t xml:space="preserve">models </w:t>
      </w:r>
      <w:r>
        <w:rPr>
          <w:rFonts w:ascii="Calibri" w:eastAsia="Times New Roman" w:hAnsi="Calibri" w:cs="Calibri"/>
          <w:color w:val="000000" w:themeColor="text1"/>
          <w:sz w:val="24"/>
          <w:szCs w:val="24"/>
        </w:rPr>
        <w:t xml:space="preserve">are prone to </w:t>
      </w:r>
      <w:r w:rsidRPr="00D71369">
        <w:rPr>
          <w:rFonts w:ascii="Calibri" w:eastAsia="Times New Roman" w:hAnsi="Calibri" w:cs="Calibri"/>
          <w:color w:val="000000" w:themeColor="text1"/>
          <w:sz w:val="24"/>
          <w:szCs w:val="24"/>
        </w:rPr>
        <w:t>overfit</w:t>
      </w:r>
      <w:r>
        <w:rPr>
          <w:rFonts w:ascii="Calibri" w:eastAsia="Times New Roman" w:hAnsi="Calibri" w:cs="Calibri"/>
          <w:color w:val="000000" w:themeColor="text1"/>
          <w:sz w:val="24"/>
          <w:szCs w:val="24"/>
        </w:rPr>
        <w:t>ting</w:t>
      </w:r>
      <w:r w:rsidRPr="00D71369">
        <w:rPr>
          <w:rFonts w:ascii="Calibri" w:eastAsia="Times New Roman" w:hAnsi="Calibri" w:cs="Calibri"/>
          <w:color w:val="000000" w:themeColor="text1"/>
          <w:sz w:val="24"/>
          <w:szCs w:val="24"/>
        </w:rPr>
        <w:t xml:space="preserve"> coincidental market </w:t>
      </w:r>
      <w:r>
        <w:rPr>
          <w:rFonts w:ascii="Calibri" w:eastAsia="Times New Roman" w:hAnsi="Calibri" w:cs="Calibri"/>
          <w:color w:val="000000" w:themeColor="text1"/>
          <w:sz w:val="24"/>
          <w:szCs w:val="24"/>
        </w:rPr>
        <w:t>data</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 xml:space="preserve">and do not capture </w:t>
      </w:r>
      <w:r w:rsidRPr="00D71369">
        <w:rPr>
          <w:rFonts w:ascii="Calibri" w:eastAsia="Times New Roman" w:hAnsi="Calibri" w:cs="Calibri"/>
          <w:color w:val="000000" w:themeColor="text1"/>
          <w:sz w:val="24"/>
          <w:szCs w:val="24"/>
        </w:rPr>
        <w:t>structural vulnerabilities (Danielsson &amp; de Vries, 2000)</w:t>
      </w:r>
      <w:r>
        <w:rPr>
          <w:rFonts w:ascii="Calibri" w:eastAsia="Times New Roman" w:hAnsi="Calibri" w:cs="Calibri"/>
          <w:color w:val="000000" w:themeColor="text1"/>
          <w:sz w:val="24"/>
          <w:szCs w:val="24"/>
        </w:rPr>
        <w:t xml:space="preserve"> that are able to accurately predict future institutional distress</w:t>
      </w:r>
      <w:r w:rsidRPr="00D71369">
        <w:rPr>
          <w:rFonts w:ascii="Calibri" w:eastAsia="Times New Roman" w:hAnsi="Calibri" w:cs="Calibri"/>
          <w:color w:val="000000" w:themeColor="text1"/>
          <w:sz w:val="24"/>
          <w:szCs w:val="24"/>
        </w:rPr>
        <w:t>.</w:t>
      </w:r>
    </w:p>
    <w:p w14:paraId="5E344B70" w14:textId="77777777" w:rsidR="00732334" w:rsidRPr="00F71DBF" w:rsidRDefault="00732334" w:rsidP="00732334">
      <w:pPr>
        <w:spacing w:after="160" w:line="480" w:lineRule="auto"/>
        <w:rPr>
          <w:rFonts w:ascii="Calibri" w:eastAsia="Times New Roman" w:hAnsi="Calibri" w:cs="Calibri"/>
          <w:b/>
          <w:bCs/>
          <w:i/>
          <w:iCs/>
          <w:color w:val="000000" w:themeColor="text1"/>
          <w:sz w:val="24"/>
          <w:szCs w:val="24"/>
        </w:rPr>
      </w:pPr>
      <w:r w:rsidRPr="00F71DBF">
        <w:rPr>
          <w:rFonts w:ascii="Calibri" w:eastAsia="Times New Roman" w:hAnsi="Calibri" w:cs="Calibri"/>
          <w:b/>
          <w:bCs/>
          <w:i/>
          <w:iCs/>
          <w:color w:val="000000" w:themeColor="text1"/>
          <w:sz w:val="24"/>
          <w:szCs w:val="24"/>
        </w:rPr>
        <w:t>Evolution of Risk Metrics: From Value at Risk to Expected Shortfall</w:t>
      </w:r>
    </w:p>
    <w:p w14:paraId="173EF4F0" w14:textId="226616FE" w:rsidR="00732334" w:rsidRPr="00D71369" w:rsidRDefault="00732334" w:rsidP="00732334">
      <w:pPr>
        <w:spacing w:after="160" w:line="480" w:lineRule="auto"/>
        <w:ind w:firstLine="720"/>
        <w:rPr>
          <w:rFonts w:ascii="Calibri" w:eastAsia="Times New Roman" w:hAnsi="Calibri" w:cs="Calibri"/>
          <w:color w:val="000000" w:themeColor="text1"/>
          <w:sz w:val="24"/>
          <w:szCs w:val="24"/>
        </w:rPr>
      </w:pPr>
      <w:r w:rsidRPr="00D71369">
        <w:rPr>
          <w:rFonts w:ascii="Calibri" w:eastAsia="Times New Roman" w:hAnsi="Calibri" w:cs="Calibri"/>
          <w:color w:val="000000" w:themeColor="text1"/>
          <w:sz w:val="24"/>
          <w:szCs w:val="24"/>
        </w:rPr>
        <w:t>To quantify market exposure, financial institutions widely adopted VaR as a benchmark metric to estimate the maximum expected loss over a specific time horizon at a given confidence level (</w:t>
      </w:r>
      <w:proofErr w:type="spellStart"/>
      <w:r w:rsidRPr="00D71369">
        <w:rPr>
          <w:rFonts w:ascii="Calibri" w:eastAsia="Times New Roman" w:hAnsi="Calibri" w:cs="Calibri"/>
          <w:color w:val="000000" w:themeColor="text1"/>
          <w:sz w:val="24"/>
          <w:szCs w:val="24"/>
        </w:rPr>
        <w:t>Jorion</w:t>
      </w:r>
      <w:proofErr w:type="spellEnd"/>
      <w:r w:rsidRPr="00D71369">
        <w:rPr>
          <w:rFonts w:ascii="Calibri" w:eastAsia="Times New Roman" w:hAnsi="Calibri" w:cs="Calibri"/>
          <w:color w:val="000000" w:themeColor="text1"/>
          <w:sz w:val="24"/>
          <w:szCs w:val="24"/>
        </w:rPr>
        <w:t xml:space="preserve">, 2006; Linsmeier &amp; Pearson, 2000). While VaR provides a convenient summary statistic, research </w:t>
      </w:r>
      <w:r>
        <w:rPr>
          <w:rFonts w:ascii="Calibri" w:eastAsia="Times New Roman" w:hAnsi="Calibri" w:cs="Calibri"/>
          <w:color w:val="000000" w:themeColor="text1"/>
          <w:sz w:val="24"/>
          <w:szCs w:val="24"/>
        </w:rPr>
        <w:t xml:space="preserve">has </w:t>
      </w:r>
      <w:r w:rsidRPr="00D71369">
        <w:rPr>
          <w:rFonts w:ascii="Calibri" w:eastAsia="Times New Roman" w:hAnsi="Calibri" w:cs="Calibri"/>
          <w:color w:val="000000" w:themeColor="text1"/>
          <w:sz w:val="24"/>
          <w:szCs w:val="24"/>
        </w:rPr>
        <w:t>demonstrate</w:t>
      </w:r>
      <w:r>
        <w:rPr>
          <w:rFonts w:ascii="Calibri" w:eastAsia="Times New Roman" w:hAnsi="Calibri" w:cs="Calibri"/>
          <w:color w:val="000000" w:themeColor="text1"/>
          <w:sz w:val="24"/>
          <w:szCs w:val="24"/>
        </w:rPr>
        <w:t>d</w:t>
      </w:r>
      <w:r w:rsidRPr="00D71369">
        <w:rPr>
          <w:rFonts w:ascii="Calibri" w:eastAsia="Times New Roman" w:hAnsi="Calibri" w:cs="Calibri"/>
          <w:color w:val="000000" w:themeColor="text1"/>
          <w:sz w:val="24"/>
          <w:szCs w:val="24"/>
        </w:rPr>
        <w:t xml:space="preserve"> its theoretical limitations. </w:t>
      </w:r>
      <w:proofErr w:type="spellStart"/>
      <w:r w:rsidRPr="00D71369">
        <w:rPr>
          <w:rFonts w:ascii="Calibri" w:eastAsia="Times New Roman" w:hAnsi="Calibri" w:cs="Calibri"/>
          <w:color w:val="000000" w:themeColor="text1"/>
          <w:sz w:val="24"/>
          <w:szCs w:val="24"/>
        </w:rPr>
        <w:t>Artzner</w:t>
      </w:r>
      <w:proofErr w:type="spellEnd"/>
      <w:r w:rsidRPr="00D71369">
        <w:rPr>
          <w:rFonts w:ascii="Calibri" w:eastAsia="Times New Roman" w:hAnsi="Calibri" w:cs="Calibri"/>
          <w:color w:val="000000" w:themeColor="text1"/>
          <w:sz w:val="24"/>
          <w:szCs w:val="24"/>
        </w:rPr>
        <w:t xml:space="preserve"> et al. (1999) </w:t>
      </w:r>
      <w:r>
        <w:rPr>
          <w:rFonts w:ascii="Calibri" w:eastAsia="Times New Roman" w:hAnsi="Calibri" w:cs="Calibri"/>
          <w:color w:val="000000" w:themeColor="text1"/>
          <w:sz w:val="24"/>
          <w:szCs w:val="24"/>
        </w:rPr>
        <w:t>show</w:t>
      </w:r>
      <w:r w:rsidRPr="00D71369">
        <w:rPr>
          <w:rFonts w:ascii="Calibri" w:eastAsia="Times New Roman" w:hAnsi="Calibri" w:cs="Calibri"/>
          <w:color w:val="000000" w:themeColor="text1"/>
          <w:sz w:val="24"/>
          <w:szCs w:val="24"/>
        </w:rPr>
        <w:t xml:space="preserve"> that the VaR of a combined portfolio can exceed the sum of its individual parts during market stress.</w:t>
      </w:r>
      <w:r>
        <w:rPr>
          <w:rFonts w:ascii="Calibri" w:eastAsia="Times New Roman" w:hAnsi="Calibri" w:cs="Calibri"/>
          <w:color w:val="000000" w:themeColor="text1"/>
          <w:sz w:val="24"/>
          <w:szCs w:val="24"/>
        </w:rPr>
        <w:t xml:space="preserve"> </w:t>
      </w:r>
      <w:r w:rsidRPr="00D71369">
        <w:rPr>
          <w:rFonts w:ascii="Calibri" w:eastAsia="Times New Roman" w:hAnsi="Calibri" w:cs="Calibri"/>
          <w:color w:val="000000" w:themeColor="text1"/>
          <w:sz w:val="24"/>
          <w:szCs w:val="24"/>
        </w:rPr>
        <w:t xml:space="preserve">To overcome this </w:t>
      </w:r>
      <w:r>
        <w:rPr>
          <w:rFonts w:ascii="Calibri" w:eastAsia="Times New Roman" w:hAnsi="Calibri" w:cs="Calibri"/>
          <w:color w:val="000000" w:themeColor="text1"/>
          <w:sz w:val="24"/>
          <w:szCs w:val="24"/>
        </w:rPr>
        <w:t xml:space="preserve">shortcoming, </w:t>
      </w:r>
      <w:r w:rsidRPr="00D71369">
        <w:rPr>
          <w:rFonts w:ascii="Calibri" w:eastAsia="Times New Roman" w:hAnsi="Calibri" w:cs="Calibri"/>
          <w:color w:val="000000" w:themeColor="text1"/>
          <w:sz w:val="24"/>
          <w:szCs w:val="24"/>
        </w:rPr>
        <w:t xml:space="preserve">modern risk </w:t>
      </w:r>
      <w:r>
        <w:rPr>
          <w:rFonts w:ascii="Calibri" w:eastAsia="Times New Roman" w:hAnsi="Calibri" w:cs="Calibri"/>
          <w:color w:val="000000" w:themeColor="text1"/>
          <w:sz w:val="24"/>
          <w:szCs w:val="24"/>
        </w:rPr>
        <w:t>models</w:t>
      </w:r>
      <w:r w:rsidRPr="00D71369">
        <w:rPr>
          <w:rFonts w:ascii="Calibri" w:eastAsia="Times New Roman" w:hAnsi="Calibri" w:cs="Calibri"/>
          <w:color w:val="000000" w:themeColor="text1"/>
          <w:sz w:val="24"/>
          <w:szCs w:val="24"/>
        </w:rPr>
        <w:t xml:space="preserve"> incorporate</w:t>
      </w:r>
      <w:r>
        <w:rPr>
          <w:rFonts w:ascii="Calibri" w:eastAsia="Times New Roman" w:hAnsi="Calibri" w:cs="Calibri"/>
          <w:color w:val="000000" w:themeColor="text1"/>
          <w:sz w:val="24"/>
          <w:szCs w:val="24"/>
        </w:rPr>
        <w:t xml:space="preserve"> </w:t>
      </w:r>
      <w:r w:rsidRPr="00D71369">
        <w:rPr>
          <w:rFonts w:ascii="Calibri" w:eastAsia="Times New Roman" w:hAnsi="Calibri" w:cs="Calibri"/>
          <w:color w:val="000000" w:themeColor="text1"/>
          <w:sz w:val="24"/>
          <w:szCs w:val="24"/>
        </w:rPr>
        <w:t xml:space="preserve">Expected Shortfall (ES) and Extreme Value Theory (EVT). McNeil and Frey (2000) demonstrate that combining </w:t>
      </w:r>
      <w:r>
        <w:rPr>
          <w:rFonts w:ascii="Calibri" w:eastAsia="Times New Roman" w:hAnsi="Calibri" w:cs="Calibri"/>
          <w:color w:val="000000" w:themeColor="text1"/>
          <w:sz w:val="24"/>
          <w:szCs w:val="24"/>
        </w:rPr>
        <w:t>a</w:t>
      </w:r>
      <w:r w:rsidRPr="00D71369">
        <w:rPr>
          <w:rFonts w:ascii="Calibri" w:eastAsia="Times New Roman" w:hAnsi="Calibri" w:cs="Calibri"/>
          <w:color w:val="000000" w:themeColor="text1"/>
          <w:sz w:val="24"/>
          <w:szCs w:val="24"/>
        </w:rPr>
        <w:t xml:space="preserve"> peaks-over-threshold method</w:t>
      </w:r>
      <w:r>
        <w:rPr>
          <w:rFonts w:ascii="Calibri" w:eastAsia="Times New Roman" w:hAnsi="Calibri" w:cs="Calibri"/>
          <w:color w:val="000000" w:themeColor="text1"/>
          <w:sz w:val="24"/>
          <w:szCs w:val="24"/>
        </w:rPr>
        <w:t xml:space="preserve"> with EVT</w:t>
      </w:r>
      <w:r w:rsidRPr="00D71369">
        <w:rPr>
          <w:rFonts w:ascii="Calibri" w:eastAsia="Times New Roman" w:hAnsi="Calibri" w:cs="Calibri"/>
          <w:color w:val="000000" w:themeColor="text1"/>
          <w:sz w:val="24"/>
          <w:szCs w:val="24"/>
        </w:rPr>
        <w:t xml:space="preserve"> provides a superior framework for estimating tail</w:t>
      </w:r>
      <w:r>
        <w:rPr>
          <w:rFonts w:ascii="Calibri" w:eastAsia="Times New Roman" w:hAnsi="Calibri" w:cs="Calibri"/>
          <w:color w:val="000000" w:themeColor="text1"/>
          <w:sz w:val="24"/>
          <w:szCs w:val="24"/>
        </w:rPr>
        <w:t xml:space="preserve"> </w:t>
      </w:r>
      <w:r w:rsidRPr="00D71369">
        <w:rPr>
          <w:rFonts w:ascii="Calibri" w:eastAsia="Times New Roman" w:hAnsi="Calibri" w:cs="Calibri"/>
          <w:color w:val="000000" w:themeColor="text1"/>
          <w:sz w:val="24"/>
          <w:szCs w:val="24"/>
        </w:rPr>
        <w:t>ris</w:t>
      </w:r>
      <w:r>
        <w:rPr>
          <w:rFonts w:ascii="Calibri" w:eastAsia="Times New Roman" w:hAnsi="Calibri" w:cs="Calibri"/>
          <w:color w:val="000000" w:themeColor="text1"/>
          <w:sz w:val="24"/>
          <w:szCs w:val="24"/>
        </w:rPr>
        <w:t>k</w:t>
      </w:r>
      <w:r w:rsidRPr="00D71369">
        <w:rPr>
          <w:rFonts w:ascii="Calibri" w:eastAsia="Times New Roman" w:hAnsi="Calibri" w:cs="Calibri"/>
          <w:color w:val="000000" w:themeColor="text1"/>
          <w:sz w:val="24"/>
          <w:szCs w:val="24"/>
        </w:rPr>
        <w:t>.</w:t>
      </w:r>
      <w:r>
        <w:rPr>
          <w:rFonts w:ascii="Calibri" w:eastAsia="Times New Roman" w:hAnsi="Calibri" w:cs="Calibri"/>
          <w:color w:val="000000" w:themeColor="text1"/>
          <w:sz w:val="24"/>
          <w:szCs w:val="24"/>
        </w:rPr>
        <w:t xml:space="preserve"> I</w:t>
      </w:r>
      <w:r w:rsidRPr="00D71369">
        <w:rPr>
          <w:rFonts w:ascii="Calibri" w:eastAsia="Times New Roman" w:hAnsi="Calibri" w:cs="Calibri"/>
          <w:color w:val="000000" w:themeColor="text1"/>
          <w:sz w:val="24"/>
          <w:szCs w:val="24"/>
        </w:rPr>
        <w:t>nternational regulatory standards</w:t>
      </w:r>
      <w:r>
        <w:rPr>
          <w:rFonts w:ascii="Calibri" w:eastAsia="Times New Roman" w:hAnsi="Calibri" w:cs="Calibri"/>
          <w:color w:val="000000" w:themeColor="text1"/>
          <w:sz w:val="24"/>
          <w:szCs w:val="24"/>
        </w:rPr>
        <w:t xml:space="preserve"> have</w:t>
      </w:r>
      <w:r w:rsidRPr="00D71369">
        <w:rPr>
          <w:rFonts w:ascii="Calibri" w:eastAsia="Times New Roman" w:hAnsi="Calibri" w:cs="Calibri"/>
          <w:color w:val="000000" w:themeColor="text1"/>
          <w:sz w:val="24"/>
          <w:szCs w:val="24"/>
        </w:rPr>
        <w:t xml:space="preserve"> explicitly mandate</w:t>
      </w:r>
      <w:r>
        <w:rPr>
          <w:rFonts w:ascii="Calibri" w:eastAsia="Times New Roman" w:hAnsi="Calibri" w:cs="Calibri"/>
          <w:color w:val="000000" w:themeColor="text1"/>
          <w:sz w:val="24"/>
          <w:szCs w:val="24"/>
        </w:rPr>
        <w:t>d</w:t>
      </w:r>
      <w:r w:rsidRPr="00D71369">
        <w:rPr>
          <w:rFonts w:ascii="Calibri" w:eastAsia="Times New Roman" w:hAnsi="Calibri" w:cs="Calibri"/>
          <w:color w:val="000000" w:themeColor="text1"/>
          <w:sz w:val="24"/>
          <w:szCs w:val="24"/>
        </w:rPr>
        <w:t xml:space="preserve"> these enhancements; the Basel Committee on Banking Supervision (BCBS, 2019) revised its minimum capital requirements </w:t>
      </w:r>
      <w:r>
        <w:rPr>
          <w:rFonts w:ascii="Calibri" w:eastAsia="Times New Roman" w:hAnsi="Calibri" w:cs="Calibri"/>
          <w:color w:val="000000" w:themeColor="text1"/>
          <w:sz w:val="24"/>
          <w:szCs w:val="24"/>
        </w:rPr>
        <w:t xml:space="preserve">and </w:t>
      </w:r>
      <w:r w:rsidRPr="00D71369">
        <w:rPr>
          <w:rFonts w:ascii="Calibri" w:eastAsia="Times New Roman" w:hAnsi="Calibri" w:cs="Calibri"/>
          <w:color w:val="000000" w:themeColor="text1"/>
          <w:sz w:val="24"/>
          <w:szCs w:val="24"/>
        </w:rPr>
        <w:t>replace</w:t>
      </w:r>
      <w:r>
        <w:rPr>
          <w:rFonts w:ascii="Calibri" w:eastAsia="Times New Roman" w:hAnsi="Calibri" w:cs="Calibri"/>
          <w:color w:val="000000" w:themeColor="text1"/>
          <w:sz w:val="24"/>
          <w:szCs w:val="24"/>
        </w:rPr>
        <w:t>d the</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 xml:space="preserve">former </w:t>
      </w:r>
      <w:r w:rsidRPr="00D71369">
        <w:rPr>
          <w:rFonts w:ascii="Calibri" w:eastAsia="Times New Roman" w:hAnsi="Calibri" w:cs="Calibri"/>
          <w:color w:val="000000" w:themeColor="text1"/>
          <w:sz w:val="24"/>
          <w:szCs w:val="24"/>
        </w:rPr>
        <w:t>VaR</w:t>
      </w:r>
      <w:r>
        <w:rPr>
          <w:rFonts w:ascii="Calibri" w:eastAsia="Times New Roman" w:hAnsi="Calibri" w:cs="Calibri"/>
          <w:color w:val="000000" w:themeColor="text1"/>
          <w:sz w:val="24"/>
          <w:szCs w:val="24"/>
        </w:rPr>
        <w:t xml:space="preserve">-based evaluations </w:t>
      </w:r>
      <w:r w:rsidRPr="00D71369">
        <w:rPr>
          <w:rFonts w:ascii="Calibri" w:eastAsia="Times New Roman" w:hAnsi="Calibri" w:cs="Calibri"/>
          <w:color w:val="000000" w:themeColor="text1"/>
          <w:sz w:val="24"/>
          <w:szCs w:val="24"/>
        </w:rPr>
        <w:t xml:space="preserve">with </w:t>
      </w:r>
      <w:r>
        <w:rPr>
          <w:rFonts w:ascii="Calibri" w:eastAsia="Times New Roman" w:hAnsi="Calibri" w:cs="Calibri"/>
          <w:color w:val="000000" w:themeColor="text1"/>
          <w:sz w:val="24"/>
          <w:szCs w:val="24"/>
        </w:rPr>
        <w:t>ES-based</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 xml:space="preserve">ones to </w:t>
      </w:r>
      <w:r w:rsidRPr="00D71369">
        <w:rPr>
          <w:rFonts w:ascii="Calibri" w:eastAsia="Times New Roman" w:hAnsi="Calibri" w:cs="Calibri"/>
          <w:color w:val="000000" w:themeColor="text1"/>
          <w:sz w:val="24"/>
          <w:szCs w:val="24"/>
        </w:rPr>
        <w:t>ensur</w:t>
      </w:r>
      <w:r>
        <w:rPr>
          <w:rFonts w:ascii="Calibri" w:eastAsia="Times New Roman" w:hAnsi="Calibri" w:cs="Calibri"/>
          <w:color w:val="000000" w:themeColor="text1"/>
          <w:sz w:val="24"/>
          <w:szCs w:val="24"/>
        </w:rPr>
        <w:t>e</w:t>
      </w:r>
      <w:r w:rsidRPr="00D71369">
        <w:rPr>
          <w:rFonts w:ascii="Calibri" w:eastAsia="Times New Roman" w:hAnsi="Calibri" w:cs="Calibri"/>
          <w:color w:val="000000" w:themeColor="text1"/>
          <w:sz w:val="24"/>
          <w:szCs w:val="24"/>
        </w:rPr>
        <w:t xml:space="preserve"> banks maintain adequate capital buffers </w:t>
      </w:r>
      <w:r>
        <w:rPr>
          <w:rFonts w:ascii="Calibri" w:eastAsia="Times New Roman" w:hAnsi="Calibri" w:cs="Calibri"/>
          <w:color w:val="000000" w:themeColor="text1"/>
          <w:sz w:val="24"/>
          <w:szCs w:val="24"/>
        </w:rPr>
        <w:t xml:space="preserve">to protect </w:t>
      </w:r>
      <w:r w:rsidRPr="00D71369">
        <w:rPr>
          <w:rFonts w:ascii="Calibri" w:eastAsia="Times New Roman" w:hAnsi="Calibri" w:cs="Calibri"/>
          <w:color w:val="000000" w:themeColor="text1"/>
          <w:sz w:val="24"/>
          <w:szCs w:val="24"/>
        </w:rPr>
        <w:t>against severe tail-risk events.</w:t>
      </w:r>
    </w:p>
    <w:p w14:paraId="65474838" w14:textId="77777777" w:rsidR="00732334" w:rsidRPr="00F71DBF" w:rsidRDefault="00732334" w:rsidP="00732334">
      <w:pPr>
        <w:spacing w:after="160" w:line="480" w:lineRule="auto"/>
        <w:rPr>
          <w:rFonts w:ascii="Calibri" w:eastAsia="Times New Roman" w:hAnsi="Calibri" w:cs="Calibri"/>
          <w:b/>
          <w:bCs/>
          <w:i/>
          <w:iCs/>
          <w:color w:val="000000" w:themeColor="text1"/>
          <w:sz w:val="24"/>
          <w:szCs w:val="24"/>
        </w:rPr>
      </w:pPr>
      <w:r w:rsidRPr="00F71DBF">
        <w:rPr>
          <w:rFonts w:ascii="Calibri" w:eastAsia="Times New Roman" w:hAnsi="Calibri" w:cs="Calibri"/>
          <w:b/>
          <w:bCs/>
          <w:i/>
          <w:iCs/>
          <w:color w:val="000000" w:themeColor="text1"/>
          <w:sz w:val="24"/>
          <w:szCs w:val="24"/>
        </w:rPr>
        <w:t>Dynamic Volatility Modeling and Asymmetric Shocks</w:t>
      </w:r>
    </w:p>
    <w:p w14:paraId="7AAA6C8C" w14:textId="77777777" w:rsidR="00732334" w:rsidRPr="00D71369" w:rsidRDefault="00732334" w:rsidP="00732334">
      <w:pPr>
        <w:spacing w:after="160" w:line="480" w:lineRule="auto"/>
        <w:ind w:firstLine="720"/>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H</w:t>
      </w:r>
      <w:r w:rsidRPr="00D71369">
        <w:rPr>
          <w:rFonts w:ascii="Calibri" w:eastAsia="Times New Roman" w:hAnsi="Calibri" w:cs="Calibri"/>
          <w:color w:val="000000" w:themeColor="text1"/>
          <w:sz w:val="24"/>
          <w:szCs w:val="24"/>
        </w:rPr>
        <w:t>eteroskedasticity</w:t>
      </w:r>
      <w:r>
        <w:rPr>
          <w:rFonts w:ascii="Calibri" w:eastAsia="Times New Roman" w:hAnsi="Calibri" w:cs="Calibri"/>
          <w:color w:val="000000" w:themeColor="text1"/>
          <w:sz w:val="24"/>
          <w:szCs w:val="24"/>
        </w:rPr>
        <w:t xml:space="preserve"> (unequal dispersion of variance) </w:t>
      </w:r>
      <w:r w:rsidRPr="00D71369">
        <w:rPr>
          <w:rFonts w:ascii="Calibri" w:eastAsia="Times New Roman" w:hAnsi="Calibri" w:cs="Calibri"/>
          <w:color w:val="000000" w:themeColor="text1"/>
          <w:sz w:val="24"/>
          <w:szCs w:val="24"/>
        </w:rPr>
        <w:t>models</w:t>
      </w:r>
      <w:r>
        <w:rPr>
          <w:rFonts w:ascii="Calibri" w:eastAsia="Times New Roman" w:hAnsi="Calibri" w:cs="Calibri"/>
          <w:color w:val="000000" w:themeColor="text1"/>
          <w:sz w:val="24"/>
          <w:szCs w:val="24"/>
        </w:rPr>
        <w:t xml:space="preserve"> were developed to further refine risk models</w:t>
      </w:r>
      <w:r w:rsidRPr="00D71369">
        <w:rPr>
          <w:rFonts w:ascii="Calibri" w:eastAsia="Times New Roman" w:hAnsi="Calibri" w:cs="Calibri"/>
          <w:color w:val="000000" w:themeColor="text1"/>
          <w:sz w:val="24"/>
          <w:szCs w:val="24"/>
        </w:rPr>
        <w:t>. Engle (1982) introduce</w:t>
      </w:r>
      <w:r>
        <w:rPr>
          <w:rFonts w:ascii="Calibri" w:eastAsia="Times New Roman" w:hAnsi="Calibri" w:cs="Calibri"/>
          <w:color w:val="000000" w:themeColor="text1"/>
          <w:sz w:val="24"/>
          <w:szCs w:val="24"/>
        </w:rPr>
        <w:t>s</w:t>
      </w:r>
      <w:r w:rsidRPr="00D71369">
        <w:rPr>
          <w:rFonts w:ascii="Calibri" w:eastAsia="Times New Roman" w:hAnsi="Calibri" w:cs="Calibri"/>
          <w:color w:val="000000" w:themeColor="text1"/>
          <w:sz w:val="24"/>
          <w:szCs w:val="24"/>
        </w:rPr>
        <w:t xml:space="preserve"> the Autoregressive Conditional Heteroskedasticity (ARCH) framework which </w:t>
      </w:r>
      <w:r>
        <w:rPr>
          <w:rFonts w:ascii="Calibri" w:eastAsia="Times New Roman" w:hAnsi="Calibri" w:cs="Calibri"/>
          <w:color w:val="000000" w:themeColor="text1"/>
          <w:sz w:val="24"/>
          <w:szCs w:val="24"/>
        </w:rPr>
        <w:t xml:space="preserve">is generalized by </w:t>
      </w:r>
      <w:r w:rsidRPr="00D71369">
        <w:rPr>
          <w:rFonts w:ascii="Calibri" w:eastAsia="Times New Roman" w:hAnsi="Calibri" w:cs="Calibri"/>
          <w:color w:val="000000" w:themeColor="text1"/>
          <w:sz w:val="24"/>
          <w:szCs w:val="24"/>
        </w:rPr>
        <w:t xml:space="preserve">Bollerslev (1986) </w:t>
      </w:r>
      <w:r>
        <w:rPr>
          <w:rFonts w:ascii="Calibri" w:eastAsia="Times New Roman" w:hAnsi="Calibri" w:cs="Calibri"/>
          <w:color w:val="000000" w:themeColor="text1"/>
          <w:sz w:val="24"/>
          <w:szCs w:val="24"/>
        </w:rPr>
        <w:t xml:space="preserve">(the </w:t>
      </w:r>
      <w:r w:rsidRPr="00D71369">
        <w:rPr>
          <w:rFonts w:ascii="Calibri" w:eastAsia="Times New Roman" w:hAnsi="Calibri" w:cs="Calibri"/>
          <w:color w:val="000000" w:themeColor="text1"/>
          <w:sz w:val="24"/>
          <w:szCs w:val="24"/>
        </w:rPr>
        <w:t>GARCH model</w:t>
      </w:r>
      <w:r>
        <w:rPr>
          <w:rFonts w:ascii="Calibri" w:eastAsia="Times New Roman" w:hAnsi="Calibri" w:cs="Calibri"/>
          <w:color w:val="000000" w:themeColor="text1"/>
          <w:sz w:val="24"/>
          <w:szCs w:val="24"/>
        </w:rPr>
        <w:t>)</w:t>
      </w:r>
      <w:r w:rsidRPr="00D71369">
        <w:rPr>
          <w:rFonts w:ascii="Calibri" w:eastAsia="Times New Roman" w:hAnsi="Calibri" w:cs="Calibri"/>
          <w:color w:val="000000" w:themeColor="text1"/>
          <w:sz w:val="24"/>
          <w:szCs w:val="24"/>
        </w:rPr>
        <w:t xml:space="preserve"> to capture </w:t>
      </w:r>
      <w:r w:rsidRPr="00D71369">
        <w:rPr>
          <w:rFonts w:ascii="Calibri" w:eastAsia="Times New Roman" w:hAnsi="Calibri" w:cs="Calibri"/>
          <w:color w:val="000000" w:themeColor="text1"/>
          <w:sz w:val="24"/>
          <w:szCs w:val="24"/>
        </w:rPr>
        <w:lastRenderedPageBreak/>
        <w:t xml:space="preserve">memory and persistence </w:t>
      </w:r>
      <w:r>
        <w:rPr>
          <w:rFonts w:ascii="Calibri" w:eastAsia="Times New Roman" w:hAnsi="Calibri" w:cs="Calibri"/>
          <w:color w:val="000000" w:themeColor="text1"/>
          <w:sz w:val="24"/>
          <w:szCs w:val="24"/>
        </w:rPr>
        <w:t>and</w:t>
      </w:r>
      <w:r w:rsidRPr="00D71369">
        <w:rPr>
          <w:rFonts w:ascii="Calibri" w:eastAsia="Times New Roman" w:hAnsi="Calibri" w:cs="Calibri"/>
          <w:color w:val="000000" w:themeColor="text1"/>
          <w:sz w:val="24"/>
          <w:szCs w:val="24"/>
        </w:rPr>
        <w:t xml:space="preserve"> volatility clustering</w:t>
      </w:r>
      <w:r>
        <w:rPr>
          <w:rFonts w:ascii="Calibri" w:eastAsia="Times New Roman" w:hAnsi="Calibri" w:cs="Calibri"/>
          <w:color w:val="000000" w:themeColor="text1"/>
          <w:sz w:val="24"/>
          <w:szCs w:val="24"/>
        </w:rPr>
        <w:t xml:space="preserve"> characteristics</w:t>
      </w:r>
      <w:r w:rsidRPr="00D71369">
        <w:rPr>
          <w:rFonts w:ascii="Calibri" w:eastAsia="Times New Roman" w:hAnsi="Calibri" w:cs="Calibri"/>
          <w:color w:val="000000" w:themeColor="text1"/>
          <w:sz w:val="24"/>
          <w:szCs w:val="24"/>
        </w:rPr>
        <w:t>.</w:t>
      </w:r>
      <w:r>
        <w:rPr>
          <w:rFonts w:ascii="Calibri" w:eastAsia="Times New Roman" w:hAnsi="Calibri" w:cs="Calibri"/>
          <w:color w:val="000000" w:themeColor="text1"/>
          <w:sz w:val="24"/>
          <w:szCs w:val="24"/>
        </w:rPr>
        <w:t xml:space="preserve"> S</w:t>
      </w:r>
      <w:r w:rsidRPr="00D71369">
        <w:rPr>
          <w:rFonts w:ascii="Calibri" w:eastAsia="Times New Roman" w:hAnsi="Calibri" w:cs="Calibri"/>
          <w:color w:val="000000" w:themeColor="text1"/>
          <w:sz w:val="24"/>
          <w:szCs w:val="24"/>
        </w:rPr>
        <w:t xml:space="preserve">tandard GARCH specifications treat positive and negative shocks symmetrically, ignoring </w:t>
      </w:r>
      <w:r>
        <w:rPr>
          <w:rFonts w:ascii="Calibri" w:eastAsia="Times New Roman" w:hAnsi="Calibri" w:cs="Calibri"/>
          <w:color w:val="000000" w:themeColor="text1"/>
          <w:sz w:val="24"/>
          <w:szCs w:val="24"/>
        </w:rPr>
        <w:t xml:space="preserve">the </w:t>
      </w:r>
      <w:r w:rsidRPr="00D71369">
        <w:rPr>
          <w:rFonts w:ascii="Calibri" w:eastAsia="Times New Roman" w:hAnsi="Calibri" w:cs="Calibri"/>
          <w:color w:val="000000" w:themeColor="text1"/>
          <w:sz w:val="24"/>
          <w:szCs w:val="24"/>
        </w:rPr>
        <w:t>leverage effect</w:t>
      </w:r>
      <w:r>
        <w:rPr>
          <w:rFonts w:ascii="Calibri" w:eastAsia="Times New Roman" w:hAnsi="Calibri" w:cs="Calibri"/>
          <w:color w:val="000000" w:themeColor="text1"/>
          <w:sz w:val="24"/>
          <w:szCs w:val="24"/>
        </w:rPr>
        <w:t xml:space="preserve"> (</w:t>
      </w:r>
      <w:r w:rsidRPr="00D71369">
        <w:rPr>
          <w:rFonts w:ascii="Calibri" w:eastAsia="Times New Roman" w:hAnsi="Calibri" w:cs="Calibri"/>
          <w:color w:val="000000" w:themeColor="text1"/>
          <w:sz w:val="24"/>
          <w:szCs w:val="24"/>
        </w:rPr>
        <w:t>negative market returns induce a sharper increase in volatility than positive returns of identical magnitude</w:t>
      </w:r>
      <w:r>
        <w:rPr>
          <w:rFonts w:ascii="Calibri" w:eastAsia="Times New Roman" w:hAnsi="Calibri" w:cs="Calibri"/>
          <w:color w:val="000000" w:themeColor="text1"/>
          <w:sz w:val="24"/>
          <w:szCs w:val="24"/>
        </w:rPr>
        <w:t>)</w:t>
      </w:r>
      <w:r w:rsidRPr="00D71369">
        <w:rPr>
          <w:rFonts w:ascii="Calibri" w:eastAsia="Times New Roman" w:hAnsi="Calibri" w:cs="Calibri"/>
          <w:color w:val="000000" w:themeColor="text1"/>
          <w:sz w:val="24"/>
          <w:szCs w:val="24"/>
        </w:rPr>
        <w:t xml:space="preserve">. </w:t>
      </w:r>
      <w:proofErr w:type="spellStart"/>
      <w:r w:rsidRPr="00D71369">
        <w:rPr>
          <w:rFonts w:ascii="Calibri" w:eastAsia="Times New Roman" w:hAnsi="Calibri" w:cs="Calibri"/>
          <w:color w:val="000000" w:themeColor="text1"/>
          <w:sz w:val="24"/>
          <w:szCs w:val="24"/>
        </w:rPr>
        <w:t>Glosten</w:t>
      </w:r>
      <w:proofErr w:type="spellEnd"/>
      <w:r w:rsidRPr="00D71369">
        <w:rPr>
          <w:rFonts w:ascii="Calibri" w:eastAsia="Times New Roman" w:hAnsi="Calibri" w:cs="Calibri"/>
          <w:color w:val="000000" w:themeColor="text1"/>
          <w:sz w:val="24"/>
          <w:szCs w:val="24"/>
        </w:rPr>
        <w:t xml:space="preserve">, Jagannathan, and Runkle (1993) </w:t>
      </w:r>
      <w:r>
        <w:rPr>
          <w:rFonts w:ascii="Calibri" w:eastAsia="Times New Roman" w:hAnsi="Calibri" w:cs="Calibri"/>
          <w:color w:val="000000" w:themeColor="text1"/>
          <w:sz w:val="24"/>
          <w:szCs w:val="24"/>
        </w:rPr>
        <w:t>introduce their (</w:t>
      </w:r>
      <w:r w:rsidRPr="00D71369">
        <w:rPr>
          <w:rFonts w:ascii="Calibri" w:eastAsia="Times New Roman" w:hAnsi="Calibri" w:cs="Calibri"/>
          <w:color w:val="000000" w:themeColor="text1"/>
          <w:sz w:val="24"/>
          <w:szCs w:val="24"/>
        </w:rPr>
        <w:t>GJR-GARCH</w:t>
      </w:r>
      <w:r>
        <w:rPr>
          <w:rFonts w:ascii="Calibri" w:eastAsia="Times New Roman" w:hAnsi="Calibri" w:cs="Calibri"/>
          <w:color w:val="000000" w:themeColor="text1"/>
          <w:sz w:val="24"/>
          <w:szCs w:val="24"/>
        </w:rPr>
        <w:t>)</w:t>
      </w:r>
      <w:r w:rsidRPr="00D71369">
        <w:rPr>
          <w:rFonts w:ascii="Calibri" w:eastAsia="Times New Roman" w:hAnsi="Calibri" w:cs="Calibri"/>
          <w:color w:val="000000" w:themeColor="text1"/>
          <w:sz w:val="24"/>
          <w:szCs w:val="24"/>
        </w:rPr>
        <w:t xml:space="preserve"> model which incorporates an asymmetric indicator term to explicitly capture volatility response</w:t>
      </w:r>
      <w:r>
        <w:rPr>
          <w:rFonts w:ascii="Calibri" w:eastAsia="Times New Roman" w:hAnsi="Calibri" w:cs="Calibri"/>
          <w:color w:val="000000" w:themeColor="text1"/>
          <w:sz w:val="24"/>
          <w:szCs w:val="24"/>
        </w:rPr>
        <w:t>s</w:t>
      </w:r>
      <w:r w:rsidRPr="00D71369">
        <w:rPr>
          <w:rFonts w:ascii="Calibri" w:eastAsia="Times New Roman" w:hAnsi="Calibri" w:cs="Calibri"/>
          <w:color w:val="000000" w:themeColor="text1"/>
          <w:sz w:val="24"/>
          <w:szCs w:val="24"/>
        </w:rPr>
        <w:t xml:space="preserve">. Building upon these principles, </w:t>
      </w:r>
      <w:proofErr w:type="spellStart"/>
      <w:r w:rsidRPr="00D71369">
        <w:rPr>
          <w:rFonts w:ascii="Calibri" w:eastAsia="Times New Roman" w:hAnsi="Calibri" w:cs="Calibri"/>
          <w:color w:val="000000" w:themeColor="text1"/>
          <w:sz w:val="24"/>
          <w:szCs w:val="24"/>
        </w:rPr>
        <w:t>Echaust</w:t>
      </w:r>
      <w:proofErr w:type="spellEnd"/>
      <w:r w:rsidRPr="00D71369">
        <w:rPr>
          <w:rFonts w:ascii="Calibri" w:eastAsia="Times New Roman" w:hAnsi="Calibri" w:cs="Calibri"/>
          <w:color w:val="000000" w:themeColor="text1"/>
          <w:sz w:val="24"/>
          <w:szCs w:val="24"/>
        </w:rPr>
        <w:t xml:space="preserve"> and Just (2020) show that </w:t>
      </w:r>
      <w:r>
        <w:rPr>
          <w:rFonts w:ascii="Calibri" w:eastAsia="Times New Roman" w:hAnsi="Calibri" w:cs="Calibri"/>
          <w:color w:val="000000" w:themeColor="text1"/>
          <w:sz w:val="24"/>
          <w:szCs w:val="24"/>
        </w:rPr>
        <w:t>combining</w:t>
      </w:r>
      <w:r w:rsidRPr="00D71369">
        <w:rPr>
          <w:rFonts w:ascii="Calibri" w:eastAsia="Times New Roman" w:hAnsi="Calibri" w:cs="Calibri"/>
          <w:color w:val="000000" w:themeColor="text1"/>
          <w:sz w:val="24"/>
          <w:szCs w:val="24"/>
        </w:rPr>
        <w:t xml:space="preserve"> GJR-GARCH </w:t>
      </w:r>
      <w:r>
        <w:rPr>
          <w:rFonts w:ascii="Calibri" w:eastAsia="Times New Roman" w:hAnsi="Calibri" w:cs="Calibri"/>
          <w:color w:val="000000" w:themeColor="text1"/>
          <w:sz w:val="24"/>
          <w:szCs w:val="24"/>
        </w:rPr>
        <w:t xml:space="preserve">models </w:t>
      </w:r>
      <w:r w:rsidRPr="00D71369">
        <w:rPr>
          <w:rFonts w:ascii="Calibri" w:eastAsia="Times New Roman" w:hAnsi="Calibri" w:cs="Calibri"/>
          <w:color w:val="000000" w:themeColor="text1"/>
          <w:sz w:val="24"/>
          <w:szCs w:val="24"/>
        </w:rPr>
        <w:t xml:space="preserve">with </w:t>
      </w:r>
      <w:r>
        <w:rPr>
          <w:rFonts w:ascii="Calibri" w:eastAsia="Times New Roman" w:hAnsi="Calibri" w:cs="Calibri"/>
          <w:color w:val="000000" w:themeColor="text1"/>
          <w:sz w:val="24"/>
          <w:szCs w:val="24"/>
        </w:rPr>
        <w:t>specified</w:t>
      </w:r>
      <w:r w:rsidRPr="00D71369">
        <w:rPr>
          <w:rFonts w:ascii="Calibri" w:eastAsia="Times New Roman" w:hAnsi="Calibri" w:cs="Calibri"/>
          <w:color w:val="000000" w:themeColor="text1"/>
          <w:sz w:val="24"/>
          <w:szCs w:val="24"/>
        </w:rPr>
        <w:t xml:space="preserve"> tail selection</w:t>
      </w:r>
      <w:r>
        <w:rPr>
          <w:rFonts w:ascii="Calibri" w:eastAsia="Times New Roman" w:hAnsi="Calibri" w:cs="Calibri"/>
          <w:color w:val="000000" w:themeColor="text1"/>
          <w:sz w:val="24"/>
          <w:szCs w:val="24"/>
        </w:rPr>
        <w:t xml:space="preserve"> (determining precisely where ‘extreme tails’ begin)</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 xml:space="preserve">leads to significantly improved VaR </w:t>
      </w:r>
      <w:r w:rsidRPr="00D71369">
        <w:rPr>
          <w:rFonts w:ascii="Calibri" w:eastAsia="Times New Roman" w:hAnsi="Calibri" w:cs="Calibri"/>
          <w:color w:val="000000" w:themeColor="text1"/>
          <w:sz w:val="24"/>
          <w:szCs w:val="24"/>
        </w:rPr>
        <w:t xml:space="preserve">and tail-loss forecasting </w:t>
      </w:r>
      <w:r>
        <w:rPr>
          <w:rFonts w:ascii="Calibri" w:eastAsia="Times New Roman" w:hAnsi="Calibri" w:cs="Calibri"/>
          <w:color w:val="000000" w:themeColor="text1"/>
          <w:sz w:val="24"/>
          <w:szCs w:val="24"/>
        </w:rPr>
        <w:t>for</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turbulent markets</w:t>
      </w:r>
      <w:r w:rsidRPr="00D71369">
        <w:rPr>
          <w:rFonts w:ascii="Calibri" w:eastAsia="Times New Roman" w:hAnsi="Calibri" w:cs="Calibri"/>
          <w:color w:val="000000" w:themeColor="text1"/>
          <w:sz w:val="24"/>
          <w:szCs w:val="24"/>
        </w:rPr>
        <w:t>.</w:t>
      </w:r>
      <w:r>
        <w:rPr>
          <w:rFonts w:ascii="Calibri" w:eastAsia="Times New Roman" w:hAnsi="Calibri" w:cs="Calibri"/>
          <w:color w:val="000000" w:themeColor="text1"/>
          <w:sz w:val="24"/>
          <w:szCs w:val="24"/>
        </w:rPr>
        <w:t xml:space="preserve"> </w:t>
      </w:r>
    </w:p>
    <w:p w14:paraId="77133FC0" w14:textId="77777777" w:rsidR="00732334" w:rsidRPr="00F71DBF" w:rsidRDefault="00732334" w:rsidP="00732334">
      <w:pPr>
        <w:spacing w:after="160" w:line="480" w:lineRule="auto"/>
        <w:rPr>
          <w:rFonts w:ascii="Calibri" w:eastAsia="Times New Roman" w:hAnsi="Calibri" w:cs="Calibri"/>
          <w:b/>
          <w:bCs/>
          <w:i/>
          <w:iCs/>
          <w:color w:val="000000" w:themeColor="text1"/>
          <w:sz w:val="24"/>
          <w:szCs w:val="24"/>
        </w:rPr>
      </w:pPr>
      <w:r w:rsidRPr="00F71DBF">
        <w:rPr>
          <w:rFonts w:ascii="Calibri" w:eastAsia="Times New Roman" w:hAnsi="Calibri" w:cs="Calibri"/>
          <w:b/>
          <w:bCs/>
          <w:i/>
          <w:iCs/>
          <w:color w:val="000000" w:themeColor="text1"/>
          <w:sz w:val="24"/>
          <w:szCs w:val="24"/>
        </w:rPr>
        <w:t>Computational and Simulation Methodology</w:t>
      </w:r>
    </w:p>
    <w:p w14:paraId="3881A38F" w14:textId="77777777" w:rsidR="00732334" w:rsidRPr="00D71369" w:rsidRDefault="00732334" w:rsidP="00732334">
      <w:pPr>
        <w:spacing w:after="160" w:line="480" w:lineRule="auto"/>
        <w:ind w:firstLine="720"/>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 xml:space="preserve">To conduct analysis for the purpose of this capstone project, these </w:t>
      </w:r>
      <w:r w:rsidRPr="00D71369">
        <w:rPr>
          <w:rFonts w:ascii="Calibri" w:eastAsia="Times New Roman" w:hAnsi="Calibri" w:cs="Calibri"/>
          <w:color w:val="000000" w:themeColor="text1"/>
          <w:sz w:val="24"/>
          <w:szCs w:val="24"/>
        </w:rPr>
        <w:t xml:space="preserve">theoretical models must be translated into </w:t>
      </w:r>
      <w:r>
        <w:rPr>
          <w:rFonts w:ascii="Calibri" w:eastAsia="Times New Roman" w:hAnsi="Calibri" w:cs="Calibri"/>
          <w:color w:val="000000" w:themeColor="text1"/>
          <w:sz w:val="24"/>
          <w:szCs w:val="24"/>
        </w:rPr>
        <w:t>functioning computer programs</w:t>
      </w:r>
      <w:r w:rsidRPr="00D71369">
        <w:rPr>
          <w:rFonts w:ascii="Calibri" w:eastAsia="Times New Roman" w:hAnsi="Calibri" w:cs="Calibri"/>
          <w:color w:val="000000" w:themeColor="text1"/>
          <w:sz w:val="24"/>
          <w:szCs w:val="24"/>
        </w:rPr>
        <w:t xml:space="preserve">. </w:t>
      </w:r>
      <w:proofErr w:type="spellStart"/>
      <w:r w:rsidRPr="00D71369">
        <w:rPr>
          <w:rFonts w:ascii="Calibri" w:eastAsia="Times New Roman" w:hAnsi="Calibri" w:cs="Calibri"/>
          <w:color w:val="000000" w:themeColor="text1"/>
          <w:sz w:val="24"/>
          <w:szCs w:val="24"/>
        </w:rPr>
        <w:t>Hilpisch</w:t>
      </w:r>
      <w:proofErr w:type="spellEnd"/>
      <w:r w:rsidRPr="00D71369">
        <w:rPr>
          <w:rFonts w:ascii="Calibri" w:eastAsia="Times New Roman" w:hAnsi="Calibri" w:cs="Calibri"/>
          <w:color w:val="000000" w:themeColor="text1"/>
          <w:sz w:val="24"/>
          <w:szCs w:val="24"/>
        </w:rPr>
        <w:t xml:space="preserve"> (2018) and Lewinson (2020) outline how Python libraries enable vectorized time-series processing and </w:t>
      </w:r>
      <w:r>
        <w:rPr>
          <w:rFonts w:ascii="Calibri" w:eastAsia="Times New Roman" w:hAnsi="Calibri" w:cs="Calibri"/>
          <w:color w:val="000000" w:themeColor="text1"/>
          <w:sz w:val="24"/>
          <w:szCs w:val="24"/>
        </w:rPr>
        <w:t>M</w:t>
      </w:r>
      <w:r w:rsidRPr="00D71369">
        <w:rPr>
          <w:rFonts w:ascii="Calibri" w:eastAsia="Times New Roman" w:hAnsi="Calibri" w:cs="Calibri"/>
          <w:color w:val="000000" w:themeColor="text1"/>
          <w:sz w:val="24"/>
          <w:szCs w:val="24"/>
        </w:rPr>
        <w:t>onte Carlo path generation.</w:t>
      </w:r>
      <w:r>
        <w:rPr>
          <w:rFonts w:ascii="Calibri" w:eastAsia="Times New Roman" w:hAnsi="Calibri" w:cs="Calibri"/>
          <w:color w:val="000000" w:themeColor="text1"/>
          <w:sz w:val="24"/>
          <w:szCs w:val="24"/>
        </w:rPr>
        <w:t xml:space="preserve"> Additionally, </w:t>
      </w:r>
      <w:r w:rsidRPr="00D71369">
        <w:rPr>
          <w:rFonts w:ascii="Calibri" w:eastAsia="Times New Roman" w:hAnsi="Calibri" w:cs="Calibri"/>
          <w:color w:val="000000" w:themeColor="text1"/>
          <w:sz w:val="24"/>
          <w:szCs w:val="24"/>
        </w:rPr>
        <w:t xml:space="preserve">numerical methods and pricing engines are required to </w:t>
      </w:r>
      <w:r>
        <w:rPr>
          <w:rFonts w:ascii="Calibri" w:eastAsia="Times New Roman" w:hAnsi="Calibri" w:cs="Calibri"/>
          <w:color w:val="000000" w:themeColor="text1"/>
          <w:sz w:val="24"/>
          <w:szCs w:val="24"/>
        </w:rPr>
        <w:t>simulate</w:t>
      </w:r>
      <w:r w:rsidRPr="00D71369">
        <w:rPr>
          <w:rFonts w:ascii="Calibri" w:eastAsia="Times New Roman" w:hAnsi="Calibri" w:cs="Calibri"/>
          <w:color w:val="000000" w:themeColor="text1"/>
          <w:sz w:val="24"/>
          <w:szCs w:val="24"/>
        </w:rPr>
        <w:t xml:space="preserve"> portfolio </w:t>
      </w:r>
      <w:r>
        <w:rPr>
          <w:rFonts w:ascii="Calibri" w:eastAsia="Times New Roman" w:hAnsi="Calibri" w:cs="Calibri"/>
          <w:color w:val="000000" w:themeColor="text1"/>
          <w:sz w:val="24"/>
          <w:szCs w:val="24"/>
        </w:rPr>
        <w:t>behavior</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subject to</w:t>
      </w:r>
      <w:r w:rsidRPr="00D71369">
        <w:rPr>
          <w:rFonts w:ascii="Calibri" w:eastAsia="Times New Roman" w:hAnsi="Calibri" w:cs="Calibri"/>
          <w:color w:val="000000" w:themeColor="text1"/>
          <w:sz w:val="24"/>
          <w:szCs w:val="24"/>
        </w:rPr>
        <w:t xml:space="preserve"> stress. Brandimarte (2006) details the computational mechanics of simulation and optimization, emphasizing that risk models </w:t>
      </w:r>
      <w:r>
        <w:rPr>
          <w:rFonts w:ascii="Calibri" w:eastAsia="Times New Roman" w:hAnsi="Calibri" w:cs="Calibri"/>
          <w:color w:val="000000" w:themeColor="text1"/>
          <w:sz w:val="24"/>
          <w:szCs w:val="24"/>
        </w:rPr>
        <w:t>display</w:t>
      </w:r>
      <w:r w:rsidRPr="00D71369">
        <w:rPr>
          <w:rFonts w:ascii="Calibri" w:eastAsia="Times New Roman" w:hAnsi="Calibri" w:cs="Calibri"/>
          <w:color w:val="000000" w:themeColor="text1"/>
          <w:sz w:val="24"/>
          <w:szCs w:val="24"/>
        </w:rPr>
        <w:t xml:space="preserve"> computational </w:t>
      </w:r>
      <w:r>
        <w:rPr>
          <w:rFonts w:ascii="Calibri" w:eastAsia="Times New Roman" w:hAnsi="Calibri" w:cs="Calibri"/>
          <w:color w:val="000000" w:themeColor="text1"/>
          <w:sz w:val="24"/>
          <w:szCs w:val="24"/>
        </w:rPr>
        <w:t>manageability</w:t>
      </w:r>
      <w:r w:rsidRPr="00D71369">
        <w:rPr>
          <w:rFonts w:ascii="Calibri" w:eastAsia="Times New Roman" w:hAnsi="Calibri" w:cs="Calibri"/>
          <w:color w:val="000000" w:themeColor="text1"/>
          <w:sz w:val="24"/>
          <w:szCs w:val="24"/>
        </w:rPr>
        <w:t xml:space="preserve">. In open-source quantitative architecture, libraries like </w:t>
      </w:r>
      <w:proofErr w:type="spellStart"/>
      <w:r w:rsidRPr="00D71369">
        <w:rPr>
          <w:rFonts w:ascii="Calibri" w:eastAsia="Times New Roman" w:hAnsi="Calibri" w:cs="Calibri"/>
          <w:color w:val="000000" w:themeColor="text1"/>
          <w:sz w:val="24"/>
          <w:szCs w:val="24"/>
        </w:rPr>
        <w:t>QuantLib</w:t>
      </w:r>
      <w:proofErr w:type="spellEnd"/>
      <w:r w:rsidRPr="00D71369">
        <w:rPr>
          <w:rFonts w:ascii="Calibri" w:eastAsia="Times New Roman" w:hAnsi="Calibri" w:cs="Calibri"/>
          <w:color w:val="000000" w:themeColor="text1"/>
          <w:sz w:val="24"/>
          <w:szCs w:val="24"/>
        </w:rPr>
        <w:t xml:space="preserve"> provide standardized pricing objects and numerical solvers that streamline risk calculations across multi-asset portfolios (Ballabio &amp; Balaraman, 2026).</w:t>
      </w:r>
    </w:p>
    <w:p w14:paraId="606C73B2" w14:textId="77777777" w:rsidR="00732334" w:rsidRPr="00F71DBF" w:rsidRDefault="00732334" w:rsidP="00732334">
      <w:pPr>
        <w:spacing w:after="160" w:line="480" w:lineRule="auto"/>
        <w:rPr>
          <w:rFonts w:ascii="Calibri" w:eastAsia="Times New Roman" w:hAnsi="Calibri" w:cs="Calibri"/>
          <w:b/>
          <w:bCs/>
          <w:i/>
          <w:iCs/>
          <w:color w:val="000000" w:themeColor="text1"/>
          <w:sz w:val="24"/>
          <w:szCs w:val="24"/>
        </w:rPr>
      </w:pPr>
      <w:r w:rsidRPr="00F71DBF">
        <w:rPr>
          <w:rFonts w:ascii="Calibri" w:eastAsia="Times New Roman" w:hAnsi="Calibri" w:cs="Calibri"/>
          <w:b/>
          <w:bCs/>
          <w:i/>
          <w:iCs/>
          <w:color w:val="000000" w:themeColor="text1"/>
          <w:sz w:val="24"/>
          <w:szCs w:val="24"/>
        </w:rPr>
        <w:t>Conclusion</w:t>
      </w:r>
    </w:p>
    <w:p w14:paraId="3B9F7032" w14:textId="77777777" w:rsidR="00732334" w:rsidRPr="00D71369" w:rsidRDefault="00732334" w:rsidP="00732334">
      <w:pPr>
        <w:spacing w:after="160" w:line="480" w:lineRule="auto"/>
        <w:ind w:firstLine="720"/>
        <w:rPr>
          <w:rFonts w:ascii="Calibri" w:eastAsia="Times New Roman" w:hAnsi="Calibri" w:cs="Calibri"/>
          <w:color w:val="000000" w:themeColor="text1"/>
          <w:sz w:val="24"/>
          <w:szCs w:val="24"/>
        </w:rPr>
      </w:pPr>
      <w:r w:rsidRPr="00D71369">
        <w:rPr>
          <w:rFonts w:ascii="Calibri" w:eastAsia="Times New Roman" w:hAnsi="Calibri" w:cs="Calibri"/>
          <w:color w:val="000000" w:themeColor="text1"/>
          <w:sz w:val="24"/>
          <w:szCs w:val="24"/>
        </w:rPr>
        <w:t xml:space="preserve">The reviewed literature demonstrates a clear methodic evolution: while traditional risk frameworks </w:t>
      </w:r>
      <w:r>
        <w:rPr>
          <w:rFonts w:ascii="Calibri" w:eastAsia="Times New Roman" w:hAnsi="Calibri" w:cs="Calibri"/>
          <w:color w:val="000000" w:themeColor="text1"/>
          <w:sz w:val="24"/>
          <w:szCs w:val="24"/>
        </w:rPr>
        <w:t>assume normal distributions</w:t>
      </w:r>
      <w:r w:rsidRPr="00D71369">
        <w:rPr>
          <w:rFonts w:ascii="Calibri" w:eastAsia="Times New Roman" w:hAnsi="Calibri" w:cs="Calibri"/>
          <w:color w:val="000000" w:themeColor="text1"/>
          <w:sz w:val="24"/>
          <w:szCs w:val="24"/>
        </w:rPr>
        <w:t xml:space="preserve"> and </w:t>
      </w:r>
      <w:r>
        <w:rPr>
          <w:rFonts w:ascii="Calibri" w:eastAsia="Times New Roman" w:hAnsi="Calibri" w:cs="Calibri"/>
          <w:color w:val="000000" w:themeColor="text1"/>
          <w:sz w:val="24"/>
          <w:szCs w:val="24"/>
        </w:rPr>
        <w:t xml:space="preserve">constant </w:t>
      </w:r>
      <w:r w:rsidRPr="00D71369">
        <w:rPr>
          <w:rFonts w:ascii="Calibri" w:eastAsia="Times New Roman" w:hAnsi="Calibri" w:cs="Calibri"/>
          <w:color w:val="000000" w:themeColor="text1"/>
          <w:sz w:val="24"/>
          <w:szCs w:val="24"/>
        </w:rPr>
        <w:t>volatility (</w:t>
      </w:r>
      <w:proofErr w:type="spellStart"/>
      <w:r w:rsidRPr="00D71369">
        <w:rPr>
          <w:rFonts w:ascii="Calibri" w:eastAsia="Times New Roman" w:hAnsi="Calibri" w:cs="Calibri"/>
          <w:color w:val="000000" w:themeColor="text1"/>
          <w:sz w:val="24"/>
          <w:szCs w:val="24"/>
        </w:rPr>
        <w:t>Crouhy</w:t>
      </w:r>
      <w:proofErr w:type="spellEnd"/>
      <w:r w:rsidRPr="00D71369">
        <w:rPr>
          <w:rFonts w:ascii="Calibri" w:eastAsia="Times New Roman" w:hAnsi="Calibri" w:cs="Calibri"/>
          <w:color w:val="000000" w:themeColor="text1"/>
          <w:sz w:val="24"/>
          <w:szCs w:val="24"/>
        </w:rPr>
        <w:t xml:space="preserve"> et al., 2014; </w:t>
      </w:r>
      <w:proofErr w:type="spellStart"/>
      <w:r w:rsidRPr="00D71369">
        <w:rPr>
          <w:rFonts w:ascii="Calibri" w:eastAsia="Times New Roman" w:hAnsi="Calibri" w:cs="Calibri"/>
          <w:color w:val="000000" w:themeColor="text1"/>
          <w:sz w:val="24"/>
          <w:szCs w:val="24"/>
        </w:rPr>
        <w:t>Jorion</w:t>
      </w:r>
      <w:proofErr w:type="spellEnd"/>
      <w:r w:rsidRPr="00D71369">
        <w:rPr>
          <w:rFonts w:ascii="Calibri" w:eastAsia="Times New Roman" w:hAnsi="Calibri" w:cs="Calibri"/>
          <w:color w:val="000000" w:themeColor="text1"/>
          <w:sz w:val="24"/>
          <w:szCs w:val="24"/>
        </w:rPr>
        <w:t xml:space="preserve">, </w:t>
      </w:r>
      <w:r w:rsidRPr="00D71369">
        <w:rPr>
          <w:rFonts w:ascii="Calibri" w:eastAsia="Times New Roman" w:hAnsi="Calibri" w:cs="Calibri"/>
          <w:color w:val="000000" w:themeColor="text1"/>
          <w:sz w:val="24"/>
          <w:szCs w:val="24"/>
        </w:rPr>
        <w:lastRenderedPageBreak/>
        <w:t xml:space="preserve">2006; Peng &amp; Simon, 2024), </w:t>
      </w:r>
      <w:r>
        <w:rPr>
          <w:rFonts w:ascii="Calibri" w:eastAsia="Times New Roman" w:hAnsi="Calibri" w:cs="Calibri"/>
          <w:color w:val="000000" w:themeColor="text1"/>
          <w:sz w:val="24"/>
          <w:szCs w:val="24"/>
        </w:rPr>
        <w:t xml:space="preserve">observed </w:t>
      </w:r>
      <w:r w:rsidRPr="00D71369">
        <w:rPr>
          <w:rFonts w:ascii="Calibri" w:eastAsia="Times New Roman" w:hAnsi="Calibri" w:cs="Calibri"/>
          <w:color w:val="000000" w:themeColor="text1"/>
          <w:sz w:val="24"/>
          <w:szCs w:val="24"/>
        </w:rPr>
        <w:t>financial realities necessitate dynamic, non-normal modeling (</w:t>
      </w:r>
      <w:proofErr w:type="spellStart"/>
      <w:r w:rsidRPr="00D71369">
        <w:rPr>
          <w:rFonts w:ascii="Calibri" w:eastAsia="Times New Roman" w:hAnsi="Calibri" w:cs="Calibri"/>
          <w:color w:val="000000" w:themeColor="text1"/>
          <w:sz w:val="24"/>
          <w:szCs w:val="24"/>
        </w:rPr>
        <w:t>Cont</w:t>
      </w:r>
      <w:proofErr w:type="spellEnd"/>
      <w:r w:rsidRPr="00D71369">
        <w:rPr>
          <w:rFonts w:ascii="Calibri" w:eastAsia="Times New Roman" w:hAnsi="Calibri" w:cs="Calibri"/>
          <w:color w:val="000000" w:themeColor="text1"/>
          <w:sz w:val="24"/>
          <w:szCs w:val="24"/>
        </w:rPr>
        <w:t xml:space="preserve">, 2001; </w:t>
      </w:r>
      <w:proofErr w:type="spellStart"/>
      <w:r w:rsidRPr="00D71369">
        <w:rPr>
          <w:rFonts w:ascii="Calibri" w:eastAsia="Times New Roman" w:hAnsi="Calibri" w:cs="Calibri"/>
          <w:color w:val="000000" w:themeColor="text1"/>
          <w:sz w:val="24"/>
          <w:szCs w:val="24"/>
        </w:rPr>
        <w:t>Artzner</w:t>
      </w:r>
      <w:proofErr w:type="spellEnd"/>
      <w:r w:rsidRPr="00D71369">
        <w:rPr>
          <w:rFonts w:ascii="Calibri" w:eastAsia="Times New Roman" w:hAnsi="Calibri" w:cs="Calibri"/>
          <w:color w:val="000000" w:themeColor="text1"/>
          <w:sz w:val="24"/>
          <w:szCs w:val="24"/>
        </w:rPr>
        <w:t xml:space="preserve"> et al., 1999). By combining asymmetric conditional volatility specifications (</w:t>
      </w:r>
      <w:proofErr w:type="spellStart"/>
      <w:r w:rsidRPr="00D71369">
        <w:rPr>
          <w:rFonts w:ascii="Calibri" w:eastAsia="Times New Roman" w:hAnsi="Calibri" w:cs="Calibri"/>
          <w:color w:val="000000" w:themeColor="text1"/>
          <w:sz w:val="24"/>
          <w:szCs w:val="24"/>
        </w:rPr>
        <w:t>Glosten</w:t>
      </w:r>
      <w:proofErr w:type="spellEnd"/>
      <w:r w:rsidRPr="00D71369">
        <w:rPr>
          <w:rFonts w:ascii="Calibri" w:eastAsia="Times New Roman" w:hAnsi="Calibri" w:cs="Calibri"/>
          <w:color w:val="000000" w:themeColor="text1"/>
          <w:sz w:val="24"/>
          <w:szCs w:val="24"/>
        </w:rPr>
        <w:t xml:space="preserve"> et al., 1993) with heavy-tailed Monte Carlo simulation engines, </w:t>
      </w:r>
      <w:r>
        <w:rPr>
          <w:rFonts w:ascii="Calibri" w:eastAsia="Times New Roman" w:hAnsi="Calibri" w:cs="Calibri"/>
          <w:color w:val="000000" w:themeColor="text1"/>
          <w:sz w:val="24"/>
          <w:szCs w:val="24"/>
        </w:rPr>
        <w:t xml:space="preserve">analysts can bypass historical sample bias. This literature directly lends to the purpose of this project: evaluating whether portfolio risk characteristics identified in historically distressed institutions reliably predict distress under simulated market turmoil, or if historical traits represent isolated historical coincidences. </w:t>
      </w:r>
    </w:p>
    <w:p w14:paraId="440F3520" w14:textId="2C01DD54" w:rsidR="005F63B6" w:rsidRDefault="00732334" w:rsidP="00F26403">
      <w:pPr>
        <w:spacing w:after="0" w:line="480" w:lineRule="auto"/>
        <w:contextualSpacing/>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Data</w:t>
      </w:r>
    </w:p>
    <w:p w14:paraId="55F69FB2" w14:textId="7D4C0794" w:rsidR="005266DE" w:rsidRPr="005266DE" w:rsidRDefault="005266DE" w:rsidP="005266DE">
      <w:pPr>
        <w:spacing w:after="0" w:line="480" w:lineRule="auto"/>
        <w:ind w:firstLine="720"/>
        <w:contextualSpacing/>
        <w:rPr>
          <w:rFonts w:ascii="Calibri" w:eastAsia="Times New Roman" w:hAnsi="Calibri" w:cs="Calibri"/>
          <w:color w:val="000000" w:themeColor="text1"/>
          <w:sz w:val="24"/>
          <w:szCs w:val="24"/>
        </w:rPr>
      </w:pPr>
      <w:r w:rsidRPr="005266DE">
        <w:rPr>
          <w:rFonts w:ascii="Calibri" w:eastAsia="Times New Roman" w:hAnsi="Calibri" w:cs="Calibri"/>
          <w:color w:val="000000" w:themeColor="text1"/>
          <w:sz w:val="24"/>
          <w:szCs w:val="24"/>
        </w:rPr>
        <w:t xml:space="preserve">The empirical evaluation utilizes daily historical asset return data </w:t>
      </w:r>
      <w:r w:rsidR="00E84A7D">
        <w:rPr>
          <w:rFonts w:ascii="Calibri" w:eastAsia="Times New Roman" w:hAnsi="Calibri" w:cs="Calibri"/>
          <w:color w:val="000000" w:themeColor="text1"/>
          <w:sz w:val="24"/>
          <w:szCs w:val="24"/>
        </w:rPr>
        <w:t xml:space="preserve">to capture </w:t>
      </w:r>
      <w:r w:rsidRPr="005266DE">
        <w:rPr>
          <w:rFonts w:ascii="Calibri" w:eastAsia="Times New Roman" w:hAnsi="Calibri" w:cs="Calibri"/>
          <w:color w:val="000000" w:themeColor="text1"/>
          <w:sz w:val="24"/>
          <w:szCs w:val="24"/>
        </w:rPr>
        <w:t xml:space="preserve">the extreme volatility and systemic shocks of the 2008 financial crisis. To evaluate how portfolio architecture and cross-asset correlations impact risk model calibration, the study constructs and analyzes two distinct asset </w:t>
      </w:r>
      <w:r w:rsidR="00C8679C">
        <w:rPr>
          <w:rFonts w:ascii="Calibri" w:eastAsia="Times New Roman" w:hAnsi="Calibri" w:cs="Calibri"/>
          <w:color w:val="000000" w:themeColor="text1"/>
          <w:sz w:val="24"/>
          <w:szCs w:val="24"/>
        </w:rPr>
        <w:t>portfolios</w:t>
      </w:r>
      <w:r w:rsidRPr="005266DE">
        <w:rPr>
          <w:rFonts w:ascii="Calibri" w:eastAsia="Times New Roman" w:hAnsi="Calibri" w:cs="Calibri"/>
          <w:color w:val="000000" w:themeColor="text1"/>
          <w:sz w:val="24"/>
          <w:szCs w:val="24"/>
        </w:rPr>
        <w:t xml:space="preserve">. The first is a concentrated financials portfolio consisting of </w:t>
      </w:r>
      <w:r w:rsidR="00CD396E">
        <w:rPr>
          <w:rFonts w:ascii="Calibri" w:eastAsia="Times New Roman" w:hAnsi="Calibri" w:cs="Calibri"/>
          <w:color w:val="000000" w:themeColor="text1"/>
          <w:sz w:val="24"/>
          <w:szCs w:val="24"/>
        </w:rPr>
        <w:t xml:space="preserve">five </w:t>
      </w:r>
      <w:r w:rsidRPr="005266DE">
        <w:rPr>
          <w:rFonts w:ascii="Calibri" w:eastAsia="Times New Roman" w:hAnsi="Calibri" w:cs="Calibri"/>
          <w:color w:val="000000" w:themeColor="text1"/>
          <w:sz w:val="24"/>
          <w:szCs w:val="24"/>
        </w:rPr>
        <w:t xml:space="preserve">equally weighted </w:t>
      </w:r>
      <w:r w:rsidR="00CD396E">
        <w:rPr>
          <w:rFonts w:ascii="Calibri" w:eastAsia="Times New Roman" w:hAnsi="Calibri" w:cs="Calibri"/>
          <w:color w:val="000000" w:themeColor="text1"/>
          <w:sz w:val="24"/>
          <w:szCs w:val="24"/>
        </w:rPr>
        <w:t xml:space="preserve">stocks: </w:t>
      </w:r>
      <w:r w:rsidRPr="005266DE">
        <w:rPr>
          <w:rFonts w:ascii="Calibri" w:eastAsia="Times New Roman" w:hAnsi="Calibri" w:cs="Calibri"/>
          <w:color w:val="000000" w:themeColor="text1"/>
          <w:sz w:val="24"/>
          <w:szCs w:val="24"/>
        </w:rPr>
        <w:t xml:space="preserve">Citigroup (C), Bank of America (BAC), Goldman Sachs (GS), and the Financial Select Sector SPDR Fund (XLF). This </w:t>
      </w:r>
      <w:r w:rsidR="003938B7">
        <w:rPr>
          <w:rFonts w:ascii="Calibri" w:eastAsia="Times New Roman" w:hAnsi="Calibri" w:cs="Calibri"/>
          <w:color w:val="000000" w:themeColor="text1"/>
          <w:sz w:val="24"/>
          <w:szCs w:val="24"/>
        </w:rPr>
        <w:t>portfolio</w:t>
      </w:r>
      <w:r w:rsidRPr="005266DE">
        <w:rPr>
          <w:rFonts w:ascii="Calibri" w:eastAsia="Times New Roman" w:hAnsi="Calibri" w:cs="Calibri"/>
          <w:color w:val="000000" w:themeColor="text1"/>
          <w:sz w:val="24"/>
          <w:szCs w:val="24"/>
        </w:rPr>
        <w:t xml:space="preserve"> is specifically designed to test </w:t>
      </w:r>
      <w:r w:rsidR="00A868E0">
        <w:rPr>
          <w:rFonts w:ascii="Calibri" w:eastAsia="Times New Roman" w:hAnsi="Calibri" w:cs="Calibri"/>
          <w:color w:val="000000" w:themeColor="text1"/>
          <w:sz w:val="24"/>
          <w:szCs w:val="24"/>
        </w:rPr>
        <w:t>financial-</w:t>
      </w:r>
      <w:r w:rsidRPr="005266DE">
        <w:rPr>
          <w:rFonts w:ascii="Calibri" w:eastAsia="Times New Roman" w:hAnsi="Calibri" w:cs="Calibri"/>
          <w:color w:val="000000" w:themeColor="text1"/>
          <w:sz w:val="24"/>
          <w:szCs w:val="24"/>
        </w:rPr>
        <w:t xml:space="preserve">sector-specific vulnerability, high leverage effects, and severe leptokurtosis during market panics. The second is a diversified multi-asset portfolio </w:t>
      </w:r>
      <w:r w:rsidR="00E967F1">
        <w:rPr>
          <w:rFonts w:ascii="Calibri" w:eastAsia="Times New Roman" w:hAnsi="Calibri" w:cs="Calibri"/>
          <w:color w:val="000000" w:themeColor="text1"/>
          <w:sz w:val="24"/>
          <w:szCs w:val="24"/>
        </w:rPr>
        <w:t xml:space="preserve">serving </w:t>
      </w:r>
      <w:r w:rsidRPr="005266DE">
        <w:rPr>
          <w:rFonts w:ascii="Calibri" w:eastAsia="Times New Roman" w:hAnsi="Calibri" w:cs="Calibri"/>
          <w:color w:val="000000" w:themeColor="text1"/>
          <w:sz w:val="24"/>
          <w:szCs w:val="24"/>
        </w:rPr>
        <w:t xml:space="preserve">as a </w:t>
      </w:r>
      <w:r w:rsidR="00987485">
        <w:rPr>
          <w:rFonts w:ascii="Calibri" w:eastAsia="Times New Roman" w:hAnsi="Calibri" w:cs="Calibri"/>
          <w:color w:val="000000" w:themeColor="text1"/>
          <w:sz w:val="24"/>
          <w:szCs w:val="24"/>
        </w:rPr>
        <w:t xml:space="preserve">typical </w:t>
      </w:r>
      <w:r w:rsidR="00AD02D4">
        <w:rPr>
          <w:rFonts w:ascii="Calibri" w:eastAsia="Times New Roman" w:hAnsi="Calibri" w:cs="Calibri"/>
          <w:color w:val="000000" w:themeColor="text1"/>
          <w:sz w:val="24"/>
          <w:szCs w:val="24"/>
        </w:rPr>
        <w:t xml:space="preserve">balanced institutional allocation </w:t>
      </w:r>
      <w:r w:rsidR="00DF57D4">
        <w:rPr>
          <w:rFonts w:ascii="Calibri" w:eastAsia="Times New Roman" w:hAnsi="Calibri" w:cs="Calibri"/>
          <w:color w:val="000000" w:themeColor="text1"/>
          <w:sz w:val="24"/>
          <w:szCs w:val="24"/>
        </w:rPr>
        <w:t xml:space="preserve">that consists of </w:t>
      </w:r>
      <w:r w:rsidRPr="005266DE">
        <w:rPr>
          <w:rFonts w:ascii="Calibri" w:eastAsia="Times New Roman" w:hAnsi="Calibri" w:cs="Calibri"/>
          <w:color w:val="000000" w:themeColor="text1"/>
          <w:sz w:val="24"/>
          <w:szCs w:val="24"/>
        </w:rPr>
        <w:t>the S&amp;P 500 Index (SPY) at 40 percent, Long-Term U.S. Treasuries (TLT) at 30 percent, Gold (GLD) at 20 percent, and Commodities (DBC) at 10 percent. This allocation evaluates how multi-asset decorrelation buffers structural shocks and stabilizes conditional volatility models.</w:t>
      </w:r>
    </w:p>
    <w:p w14:paraId="71596333" w14:textId="1040A70E" w:rsidR="005266DE" w:rsidRPr="005266DE" w:rsidRDefault="005266DE" w:rsidP="005266DE">
      <w:pPr>
        <w:spacing w:after="0" w:line="480" w:lineRule="auto"/>
        <w:ind w:firstLine="720"/>
        <w:contextualSpacing/>
        <w:rPr>
          <w:rFonts w:ascii="Calibri" w:eastAsia="Times New Roman" w:hAnsi="Calibri" w:cs="Calibri"/>
          <w:color w:val="000000" w:themeColor="text1"/>
          <w:sz w:val="24"/>
          <w:szCs w:val="24"/>
        </w:rPr>
      </w:pPr>
      <w:r w:rsidRPr="005266DE">
        <w:rPr>
          <w:rFonts w:ascii="Calibri" w:eastAsia="Times New Roman" w:hAnsi="Calibri" w:cs="Calibri"/>
          <w:color w:val="000000" w:themeColor="text1"/>
          <w:sz w:val="24"/>
          <w:szCs w:val="24"/>
        </w:rPr>
        <w:t xml:space="preserve">Raw historical price series are adjusted for corporate actions, splits, and dividends to generate continuous series. These price series are subsequently transformed into daily </w:t>
      </w:r>
      <w:r w:rsidRPr="005266DE">
        <w:rPr>
          <w:rFonts w:ascii="Calibri" w:eastAsia="Times New Roman" w:hAnsi="Calibri" w:cs="Calibri"/>
          <w:color w:val="000000" w:themeColor="text1"/>
          <w:sz w:val="24"/>
          <w:szCs w:val="24"/>
        </w:rPr>
        <w:lastRenderedPageBreak/>
        <w:t>percentage returns to serve as the baseline input for rolling historical, parametric, EWMA, GJR-</w:t>
      </w:r>
      <w:proofErr w:type="gramStart"/>
      <w:r w:rsidRPr="005266DE">
        <w:rPr>
          <w:rFonts w:ascii="Calibri" w:eastAsia="Times New Roman" w:hAnsi="Calibri" w:cs="Calibri"/>
          <w:color w:val="000000" w:themeColor="text1"/>
          <w:sz w:val="24"/>
          <w:szCs w:val="24"/>
        </w:rPr>
        <w:t>GARCH(</w:t>
      </w:r>
      <w:proofErr w:type="gramEnd"/>
      <w:r w:rsidRPr="005266DE">
        <w:rPr>
          <w:rFonts w:ascii="Calibri" w:eastAsia="Times New Roman" w:hAnsi="Calibri" w:cs="Calibri"/>
          <w:color w:val="000000" w:themeColor="text1"/>
          <w:sz w:val="24"/>
          <w:szCs w:val="24"/>
        </w:rPr>
        <w:t>1,1), and FHS</w:t>
      </w:r>
      <w:r w:rsidR="00767AAE">
        <w:rPr>
          <w:rFonts w:ascii="Calibri" w:eastAsia="Times New Roman" w:hAnsi="Calibri" w:cs="Calibri"/>
          <w:color w:val="000000" w:themeColor="text1"/>
          <w:sz w:val="24"/>
          <w:szCs w:val="24"/>
        </w:rPr>
        <w:t xml:space="preserve"> </w:t>
      </w:r>
      <w:r w:rsidRPr="005266DE">
        <w:rPr>
          <w:rFonts w:ascii="Calibri" w:eastAsia="Times New Roman" w:hAnsi="Calibri" w:cs="Calibri"/>
          <w:color w:val="000000" w:themeColor="text1"/>
          <w:sz w:val="24"/>
          <w:szCs w:val="24"/>
        </w:rPr>
        <w:t>modeling frameworks.</w:t>
      </w:r>
    </w:p>
    <w:p w14:paraId="06C655B4" w14:textId="12AD28AE" w:rsidR="00732334" w:rsidRDefault="00732334" w:rsidP="005144E0">
      <w:pPr>
        <w:spacing w:after="0" w:line="480" w:lineRule="auto"/>
        <w:contextualSpacing/>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Methods</w:t>
      </w:r>
    </w:p>
    <w:p w14:paraId="334DB890" w14:textId="7365A766" w:rsidR="005266DE" w:rsidRPr="005266DE" w:rsidRDefault="00E142CC" w:rsidP="005266DE">
      <w:pPr>
        <w:spacing w:after="0" w:line="480" w:lineRule="auto"/>
        <w:ind w:firstLine="720"/>
        <w:contextualSpacing/>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P</w:t>
      </w:r>
      <w:r w:rsidRPr="005266DE">
        <w:rPr>
          <w:rFonts w:ascii="Calibri" w:eastAsia="Times New Roman" w:hAnsi="Calibri" w:cs="Calibri"/>
          <w:color w:val="000000" w:themeColor="text1"/>
          <w:sz w:val="24"/>
          <w:szCs w:val="24"/>
        </w:rPr>
        <w:t xml:space="preserve">ortfolio risk performance </w:t>
      </w:r>
      <w:r>
        <w:rPr>
          <w:rFonts w:ascii="Calibri" w:eastAsia="Times New Roman" w:hAnsi="Calibri" w:cs="Calibri"/>
          <w:color w:val="000000" w:themeColor="text1"/>
          <w:sz w:val="24"/>
          <w:szCs w:val="24"/>
        </w:rPr>
        <w:t xml:space="preserve">is analyzed </w:t>
      </w:r>
      <w:r w:rsidR="005266DE" w:rsidRPr="005266DE">
        <w:rPr>
          <w:rFonts w:ascii="Calibri" w:eastAsia="Times New Roman" w:hAnsi="Calibri" w:cs="Calibri"/>
          <w:color w:val="000000" w:themeColor="text1"/>
          <w:sz w:val="24"/>
          <w:szCs w:val="24"/>
        </w:rPr>
        <w:t xml:space="preserve">through a comparative implementation of static and dynamic </w:t>
      </w:r>
      <w:r w:rsidR="00842760">
        <w:rPr>
          <w:rFonts w:ascii="Calibri" w:eastAsia="Times New Roman" w:hAnsi="Calibri" w:cs="Calibri"/>
          <w:color w:val="000000" w:themeColor="text1"/>
          <w:sz w:val="24"/>
          <w:szCs w:val="24"/>
        </w:rPr>
        <w:t>VaR</w:t>
      </w:r>
      <w:r w:rsidR="005266DE" w:rsidRPr="005266DE">
        <w:rPr>
          <w:rFonts w:ascii="Calibri" w:eastAsia="Times New Roman" w:hAnsi="Calibri" w:cs="Calibri"/>
          <w:color w:val="000000" w:themeColor="text1"/>
          <w:sz w:val="24"/>
          <w:szCs w:val="24"/>
        </w:rPr>
        <w:t xml:space="preserve"> models, conditional volatility estimators, and formal backtesting procedures. The methodology is </w:t>
      </w:r>
      <w:r w:rsidR="00295D77">
        <w:rPr>
          <w:rFonts w:ascii="Calibri" w:eastAsia="Times New Roman" w:hAnsi="Calibri" w:cs="Calibri"/>
          <w:color w:val="000000" w:themeColor="text1"/>
          <w:sz w:val="24"/>
          <w:szCs w:val="24"/>
        </w:rPr>
        <w:t>executed</w:t>
      </w:r>
      <w:r w:rsidR="005266DE" w:rsidRPr="005266DE">
        <w:rPr>
          <w:rFonts w:ascii="Calibri" w:eastAsia="Times New Roman" w:hAnsi="Calibri" w:cs="Calibri"/>
          <w:color w:val="000000" w:themeColor="text1"/>
          <w:sz w:val="24"/>
          <w:szCs w:val="24"/>
        </w:rPr>
        <w:t xml:space="preserve"> across distinct stages to isolate the mechanics of model </w:t>
      </w:r>
      <w:r w:rsidR="0039098D">
        <w:rPr>
          <w:rFonts w:ascii="Calibri" w:eastAsia="Times New Roman" w:hAnsi="Calibri" w:cs="Calibri"/>
          <w:color w:val="000000" w:themeColor="text1"/>
          <w:sz w:val="24"/>
          <w:szCs w:val="24"/>
        </w:rPr>
        <w:t>performance</w:t>
      </w:r>
      <w:r w:rsidR="005266DE" w:rsidRPr="005266DE">
        <w:rPr>
          <w:rFonts w:ascii="Calibri" w:eastAsia="Times New Roman" w:hAnsi="Calibri" w:cs="Calibri"/>
          <w:color w:val="000000" w:themeColor="text1"/>
          <w:sz w:val="24"/>
          <w:szCs w:val="24"/>
        </w:rPr>
        <w:t xml:space="preserve"> during </w:t>
      </w:r>
      <w:r w:rsidR="0039098D">
        <w:rPr>
          <w:rFonts w:ascii="Calibri" w:eastAsia="Times New Roman" w:hAnsi="Calibri" w:cs="Calibri"/>
          <w:color w:val="000000" w:themeColor="text1"/>
          <w:sz w:val="24"/>
          <w:szCs w:val="24"/>
        </w:rPr>
        <w:t xml:space="preserve">periods of </w:t>
      </w:r>
      <w:r w:rsidR="005266DE" w:rsidRPr="005266DE">
        <w:rPr>
          <w:rFonts w:ascii="Calibri" w:eastAsia="Times New Roman" w:hAnsi="Calibri" w:cs="Calibri"/>
          <w:color w:val="000000" w:themeColor="text1"/>
          <w:sz w:val="24"/>
          <w:szCs w:val="24"/>
        </w:rPr>
        <w:t xml:space="preserve">market stress. The study begins by computing the 95 percent one-day </w:t>
      </w:r>
      <w:r w:rsidR="00842760">
        <w:rPr>
          <w:rFonts w:ascii="Calibri" w:eastAsia="Times New Roman" w:hAnsi="Calibri" w:cs="Calibri"/>
          <w:color w:val="000000" w:themeColor="text1"/>
          <w:sz w:val="24"/>
          <w:szCs w:val="24"/>
        </w:rPr>
        <w:t>VaR</w:t>
      </w:r>
      <w:r w:rsidR="005266DE" w:rsidRPr="005266DE">
        <w:rPr>
          <w:rFonts w:ascii="Calibri" w:eastAsia="Times New Roman" w:hAnsi="Calibri" w:cs="Calibri"/>
          <w:color w:val="000000" w:themeColor="text1"/>
          <w:sz w:val="24"/>
          <w:szCs w:val="24"/>
        </w:rPr>
        <w:t xml:space="preserve"> </w:t>
      </w:r>
      <w:r w:rsidR="00D15425">
        <w:rPr>
          <w:rFonts w:ascii="Calibri" w:eastAsia="Times New Roman" w:hAnsi="Calibri" w:cs="Calibri"/>
          <w:color w:val="000000" w:themeColor="text1"/>
          <w:sz w:val="24"/>
          <w:szCs w:val="24"/>
        </w:rPr>
        <w:t>using</w:t>
      </w:r>
      <w:r w:rsidR="005266DE" w:rsidRPr="005266DE">
        <w:rPr>
          <w:rFonts w:ascii="Calibri" w:eastAsia="Times New Roman" w:hAnsi="Calibri" w:cs="Calibri"/>
          <w:color w:val="000000" w:themeColor="text1"/>
          <w:sz w:val="24"/>
          <w:szCs w:val="24"/>
        </w:rPr>
        <w:t xml:space="preserve"> the non-parametric rolling historical model using a standard 252-day lookback window, a parametric rolling model assuming normal distribution constraints, and the </w:t>
      </w:r>
      <w:r w:rsidR="000A09BE">
        <w:rPr>
          <w:rFonts w:ascii="Calibri" w:eastAsia="Times New Roman" w:hAnsi="Calibri" w:cs="Calibri"/>
          <w:color w:val="000000" w:themeColor="text1"/>
          <w:sz w:val="24"/>
          <w:szCs w:val="24"/>
        </w:rPr>
        <w:t>D</w:t>
      </w:r>
      <w:r w:rsidR="005266DE" w:rsidRPr="005266DE">
        <w:rPr>
          <w:rFonts w:ascii="Calibri" w:eastAsia="Times New Roman" w:hAnsi="Calibri" w:cs="Calibri"/>
          <w:color w:val="000000" w:themeColor="text1"/>
          <w:sz w:val="24"/>
          <w:szCs w:val="24"/>
        </w:rPr>
        <w:t xml:space="preserve">ynamic </w:t>
      </w:r>
      <w:r w:rsidR="00E946DE">
        <w:rPr>
          <w:rFonts w:ascii="Calibri" w:eastAsia="Times New Roman" w:hAnsi="Calibri" w:cs="Calibri"/>
          <w:color w:val="000000" w:themeColor="text1"/>
          <w:sz w:val="24"/>
          <w:szCs w:val="24"/>
        </w:rPr>
        <w:t>EWMA</w:t>
      </w:r>
      <w:r w:rsidR="005266DE" w:rsidRPr="005266DE">
        <w:rPr>
          <w:rFonts w:ascii="Calibri" w:eastAsia="Times New Roman" w:hAnsi="Calibri" w:cs="Calibri"/>
          <w:color w:val="000000" w:themeColor="text1"/>
          <w:sz w:val="24"/>
          <w:szCs w:val="24"/>
        </w:rPr>
        <w:t xml:space="preserve"> model configured with a decay factor of lambda equal to 0.94 to prioritize recent market shocks</w:t>
      </w:r>
      <w:r w:rsidR="00DD7E7E">
        <w:rPr>
          <w:rFonts w:ascii="Calibri" w:eastAsia="Times New Roman" w:hAnsi="Calibri" w:cs="Calibri"/>
          <w:color w:val="000000" w:themeColor="text1"/>
          <w:sz w:val="24"/>
          <w:szCs w:val="24"/>
        </w:rPr>
        <w:t>,</w:t>
      </w:r>
      <w:r w:rsidR="00DD7E7E" w:rsidRPr="00DD7E7E">
        <w:t xml:space="preserve"> </w:t>
      </w:r>
      <w:r w:rsidR="00DD7E7E" w:rsidRPr="00DD7E7E">
        <w:rPr>
          <w:rFonts w:ascii="Calibri" w:eastAsia="Times New Roman" w:hAnsi="Calibri" w:cs="Calibri"/>
          <w:color w:val="000000" w:themeColor="text1"/>
          <w:sz w:val="24"/>
          <w:szCs w:val="24"/>
        </w:rPr>
        <w:t>the dynamic GJR-</w:t>
      </w:r>
      <w:proofErr w:type="gramStart"/>
      <w:r w:rsidR="00DD7E7E" w:rsidRPr="00DD7E7E">
        <w:rPr>
          <w:rFonts w:ascii="Calibri" w:eastAsia="Times New Roman" w:hAnsi="Calibri" w:cs="Calibri"/>
          <w:color w:val="000000" w:themeColor="text1"/>
          <w:sz w:val="24"/>
          <w:szCs w:val="24"/>
        </w:rPr>
        <w:t>GARCH(</w:t>
      </w:r>
      <w:proofErr w:type="gramEnd"/>
      <w:r w:rsidR="00DD7E7E" w:rsidRPr="00DD7E7E">
        <w:rPr>
          <w:rFonts w:ascii="Calibri" w:eastAsia="Times New Roman" w:hAnsi="Calibri" w:cs="Calibri"/>
          <w:color w:val="000000" w:themeColor="text1"/>
          <w:sz w:val="24"/>
          <w:szCs w:val="24"/>
        </w:rPr>
        <w:t xml:space="preserve">1,1) model for capturing asymmetric volatility leverage, and the semi-parametric </w:t>
      </w:r>
      <w:r w:rsidR="00767AAE">
        <w:rPr>
          <w:rFonts w:ascii="Calibri" w:eastAsia="Times New Roman" w:hAnsi="Calibri" w:cs="Calibri"/>
          <w:color w:val="000000" w:themeColor="text1"/>
          <w:sz w:val="24"/>
          <w:szCs w:val="24"/>
        </w:rPr>
        <w:t>FHS</w:t>
      </w:r>
      <w:r w:rsidR="00DD7E7E" w:rsidRPr="00DD7E7E">
        <w:rPr>
          <w:rFonts w:ascii="Calibri" w:eastAsia="Times New Roman" w:hAnsi="Calibri" w:cs="Calibri"/>
          <w:color w:val="000000" w:themeColor="text1"/>
          <w:sz w:val="24"/>
          <w:szCs w:val="24"/>
        </w:rPr>
        <w:t xml:space="preserve"> </w:t>
      </w:r>
      <w:r w:rsidR="00767AAE">
        <w:rPr>
          <w:rFonts w:ascii="Calibri" w:eastAsia="Times New Roman" w:hAnsi="Calibri" w:cs="Calibri"/>
          <w:color w:val="000000" w:themeColor="text1"/>
          <w:sz w:val="24"/>
          <w:szCs w:val="24"/>
        </w:rPr>
        <w:t>model</w:t>
      </w:r>
      <w:r w:rsidR="00DD7E7E" w:rsidRPr="00DD7E7E">
        <w:rPr>
          <w:rFonts w:ascii="Calibri" w:eastAsia="Times New Roman" w:hAnsi="Calibri" w:cs="Calibri"/>
          <w:color w:val="000000" w:themeColor="text1"/>
          <w:sz w:val="24"/>
          <w:szCs w:val="24"/>
        </w:rPr>
        <w:t>.</w:t>
      </w:r>
      <w:r w:rsidR="00DD7E7E">
        <w:rPr>
          <w:rFonts w:ascii="Calibri" w:eastAsia="Times New Roman" w:hAnsi="Calibri" w:cs="Calibri"/>
          <w:color w:val="000000" w:themeColor="text1"/>
          <w:sz w:val="24"/>
          <w:szCs w:val="24"/>
        </w:rPr>
        <w:t xml:space="preserve"> </w:t>
      </w:r>
    </w:p>
    <w:p w14:paraId="47AE3D3C" w14:textId="06F217C8" w:rsidR="005266DE" w:rsidRPr="005266DE" w:rsidRDefault="005266DE" w:rsidP="00FB742D">
      <w:pPr>
        <w:spacing w:after="0" w:line="480" w:lineRule="auto"/>
        <w:ind w:firstLine="720"/>
        <w:contextualSpacing/>
        <w:rPr>
          <w:rFonts w:ascii="Calibri" w:eastAsia="Times New Roman" w:hAnsi="Calibri" w:cs="Calibri"/>
          <w:color w:val="000000" w:themeColor="text1"/>
          <w:sz w:val="24"/>
          <w:szCs w:val="24"/>
        </w:rPr>
      </w:pPr>
      <w:r w:rsidRPr="005266DE">
        <w:rPr>
          <w:rFonts w:ascii="Calibri" w:eastAsia="Times New Roman" w:hAnsi="Calibri" w:cs="Calibri"/>
          <w:color w:val="000000" w:themeColor="text1"/>
          <w:sz w:val="24"/>
          <w:szCs w:val="24"/>
        </w:rPr>
        <w:t>To capture heteroskedasticity, volatility clustering, and leverage effects, the framework implements a GJR-</w:t>
      </w:r>
      <w:proofErr w:type="gramStart"/>
      <w:r w:rsidRPr="005266DE">
        <w:rPr>
          <w:rFonts w:ascii="Calibri" w:eastAsia="Times New Roman" w:hAnsi="Calibri" w:cs="Calibri"/>
          <w:color w:val="000000" w:themeColor="text1"/>
          <w:sz w:val="24"/>
          <w:szCs w:val="24"/>
        </w:rPr>
        <w:t>GARCH(</w:t>
      </w:r>
      <w:proofErr w:type="gramEnd"/>
      <w:r w:rsidRPr="005266DE">
        <w:rPr>
          <w:rFonts w:ascii="Calibri" w:eastAsia="Times New Roman" w:hAnsi="Calibri" w:cs="Calibri"/>
          <w:color w:val="000000" w:themeColor="text1"/>
          <w:sz w:val="24"/>
          <w:szCs w:val="24"/>
        </w:rPr>
        <w:t xml:space="preserve">1,1) model. Unlike standard symmetric volatility models, the GJR-GARCH </w:t>
      </w:r>
      <w:r w:rsidR="00F32AEA">
        <w:rPr>
          <w:rFonts w:ascii="Calibri" w:eastAsia="Times New Roman" w:hAnsi="Calibri" w:cs="Calibri"/>
          <w:color w:val="000000" w:themeColor="text1"/>
          <w:sz w:val="24"/>
          <w:szCs w:val="24"/>
        </w:rPr>
        <w:t>model</w:t>
      </w:r>
      <w:r w:rsidRPr="005266DE">
        <w:rPr>
          <w:rFonts w:ascii="Calibri" w:eastAsia="Times New Roman" w:hAnsi="Calibri" w:cs="Calibri"/>
          <w:color w:val="000000" w:themeColor="text1"/>
          <w:sz w:val="24"/>
          <w:szCs w:val="24"/>
        </w:rPr>
        <w:t xml:space="preserve"> incorporates an explicit indicator term</w:t>
      </w:r>
      <w:r w:rsidR="00A8080C">
        <w:rPr>
          <w:rFonts w:ascii="Calibri" w:eastAsia="Times New Roman" w:hAnsi="Calibri" w:cs="Calibri"/>
          <w:color w:val="000000" w:themeColor="text1"/>
          <w:sz w:val="24"/>
          <w:szCs w:val="24"/>
        </w:rPr>
        <w:t xml:space="preserve"> </w:t>
      </w:r>
      <w:r w:rsidR="00F432E6">
        <w:rPr>
          <w:rFonts w:ascii="Calibri" w:eastAsia="Times New Roman" w:hAnsi="Calibri" w:cs="Calibri"/>
          <w:color w:val="000000" w:themeColor="text1"/>
          <w:sz w:val="24"/>
          <w:szCs w:val="24"/>
        </w:rPr>
        <w:t xml:space="preserve">that </w:t>
      </w:r>
      <w:r w:rsidR="00D12C4F">
        <w:rPr>
          <w:rFonts w:ascii="Calibri" w:eastAsia="Times New Roman" w:hAnsi="Calibri" w:cs="Calibri"/>
          <w:color w:val="000000" w:themeColor="text1"/>
          <w:sz w:val="24"/>
          <w:szCs w:val="24"/>
        </w:rPr>
        <w:t>allows</w:t>
      </w:r>
      <w:r w:rsidRPr="005266DE">
        <w:rPr>
          <w:rFonts w:ascii="Calibri" w:eastAsia="Times New Roman" w:hAnsi="Calibri" w:cs="Calibri"/>
          <w:color w:val="000000" w:themeColor="text1"/>
          <w:sz w:val="24"/>
          <w:szCs w:val="24"/>
        </w:rPr>
        <w:t xml:space="preserve"> downward market shocks to generate a proportional asymmetric increase in conditional variance. </w:t>
      </w:r>
      <w:r w:rsidR="00AF088B">
        <w:rPr>
          <w:rFonts w:ascii="Calibri" w:eastAsia="Times New Roman" w:hAnsi="Calibri" w:cs="Calibri"/>
          <w:color w:val="000000" w:themeColor="text1"/>
          <w:sz w:val="24"/>
          <w:szCs w:val="24"/>
        </w:rPr>
        <w:t>FHS</w:t>
      </w:r>
      <w:r w:rsidRPr="005266DE">
        <w:rPr>
          <w:rFonts w:ascii="Calibri" w:eastAsia="Times New Roman" w:hAnsi="Calibri" w:cs="Calibri"/>
          <w:color w:val="000000" w:themeColor="text1"/>
          <w:sz w:val="24"/>
          <w:szCs w:val="24"/>
        </w:rPr>
        <w:t xml:space="preserve"> is implemented as a hybrid framework</w:t>
      </w:r>
      <w:r w:rsidR="00A455B6">
        <w:rPr>
          <w:rFonts w:ascii="Calibri" w:eastAsia="Times New Roman" w:hAnsi="Calibri" w:cs="Calibri"/>
          <w:color w:val="000000" w:themeColor="text1"/>
          <w:sz w:val="24"/>
          <w:szCs w:val="24"/>
        </w:rPr>
        <w:t xml:space="preserve"> in which</w:t>
      </w:r>
      <w:r w:rsidRPr="005266DE">
        <w:rPr>
          <w:rFonts w:ascii="Calibri" w:eastAsia="Times New Roman" w:hAnsi="Calibri" w:cs="Calibri"/>
          <w:color w:val="000000" w:themeColor="text1"/>
          <w:sz w:val="24"/>
          <w:szCs w:val="24"/>
        </w:rPr>
        <w:t xml:space="preserve"> conditional volatility estimates generated via </w:t>
      </w:r>
      <w:r w:rsidR="00466B57">
        <w:rPr>
          <w:rFonts w:ascii="Calibri" w:eastAsia="Times New Roman" w:hAnsi="Calibri" w:cs="Calibri"/>
          <w:color w:val="000000" w:themeColor="text1"/>
          <w:sz w:val="24"/>
          <w:szCs w:val="24"/>
        </w:rPr>
        <w:t xml:space="preserve">the </w:t>
      </w:r>
      <w:r w:rsidRPr="005266DE">
        <w:rPr>
          <w:rFonts w:ascii="Calibri" w:eastAsia="Times New Roman" w:hAnsi="Calibri" w:cs="Calibri"/>
          <w:color w:val="000000" w:themeColor="text1"/>
          <w:sz w:val="24"/>
          <w:szCs w:val="24"/>
        </w:rPr>
        <w:t>GJR-GARCH</w:t>
      </w:r>
      <w:r w:rsidR="00637F16" w:rsidRPr="00637F16">
        <w:rPr>
          <w:rFonts w:ascii="Calibri" w:eastAsia="Times New Roman" w:hAnsi="Calibri" w:cs="Calibri"/>
          <w:color w:val="000000" w:themeColor="text1"/>
          <w:sz w:val="24"/>
          <w:szCs w:val="24"/>
        </w:rPr>
        <w:t xml:space="preserve"> </w:t>
      </w:r>
      <w:r w:rsidR="00466B57">
        <w:rPr>
          <w:rFonts w:ascii="Calibri" w:eastAsia="Times New Roman" w:hAnsi="Calibri" w:cs="Calibri"/>
          <w:color w:val="000000" w:themeColor="text1"/>
          <w:sz w:val="24"/>
          <w:szCs w:val="24"/>
        </w:rPr>
        <w:t xml:space="preserve">model </w:t>
      </w:r>
      <w:r w:rsidR="00637F16" w:rsidRPr="005266DE">
        <w:rPr>
          <w:rFonts w:ascii="Calibri" w:eastAsia="Times New Roman" w:hAnsi="Calibri" w:cs="Calibri"/>
          <w:color w:val="000000" w:themeColor="text1"/>
          <w:sz w:val="24"/>
          <w:szCs w:val="24"/>
        </w:rPr>
        <w:t>scale historical returns</w:t>
      </w:r>
      <w:r w:rsidRPr="005266DE">
        <w:rPr>
          <w:rFonts w:ascii="Calibri" w:eastAsia="Times New Roman" w:hAnsi="Calibri" w:cs="Calibri"/>
          <w:color w:val="000000" w:themeColor="text1"/>
          <w:sz w:val="24"/>
          <w:szCs w:val="24"/>
        </w:rPr>
        <w:t>, standardizes the residuals, and resamples them through Monte Carlo simulation to capture heavy-tailed leptokurtosis without relying on unconditional historical distributions</w:t>
      </w:r>
      <w:r w:rsidR="00F723A3">
        <w:rPr>
          <w:rFonts w:ascii="Calibri" w:eastAsia="Times New Roman" w:hAnsi="Calibri" w:cs="Calibri"/>
          <w:color w:val="000000" w:themeColor="text1"/>
          <w:sz w:val="24"/>
          <w:szCs w:val="24"/>
        </w:rPr>
        <w:t xml:space="preserve"> alone</w:t>
      </w:r>
      <w:r w:rsidRPr="005266DE">
        <w:rPr>
          <w:rFonts w:ascii="Calibri" w:eastAsia="Times New Roman" w:hAnsi="Calibri" w:cs="Calibri"/>
          <w:color w:val="000000" w:themeColor="text1"/>
          <w:sz w:val="24"/>
          <w:szCs w:val="24"/>
        </w:rPr>
        <w:t>.</w:t>
      </w:r>
      <w:r w:rsidR="00637F16">
        <w:rPr>
          <w:rFonts w:ascii="Calibri" w:eastAsia="Times New Roman" w:hAnsi="Calibri" w:cs="Calibri"/>
          <w:color w:val="000000" w:themeColor="text1"/>
          <w:sz w:val="24"/>
          <w:szCs w:val="24"/>
        </w:rPr>
        <w:t xml:space="preserve"> </w:t>
      </w:r>
    </w:p>
    <w:p w14:paraId="77D099CA" w14:textId="2D921A32" w:rsidR="003E70F5" w:rsidRDefault="00F723A3" w:rsidP="003E70F5">
      <w:pPr>
        <w:spacing w:after="0" w:line="480" w:lineRule="auto"/>
        <w:ind w:firstLine="720"/>
        <w:contextualSpacing/>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T</w:t>
      </w:r>
      <w:r w:rsidR="005266DE" w:rsidRPr="005266DE">
        <w:rPr>
          <w:rFonts w:ascii="Calibri" w:eastAsia="Times New Roman" w:hAnsi="Calibri" w:cs="Calibri"/>
          <w:color w:val="000000" w:themeColor="text1"/>
          <w:sz w:val="24"/>
          <w:szCs w:val="24"/>
        </w:rPr>
        <w:t xml:space="preserve">o evaluate model calibration the study </w:t>
      </w:r>
      <w:r w:rsidR="007D5F03">
        <w:rPr>
          <w:rFonts w:ascii="Calibri" w:eastAsia="Times New Roman" w:hAnsi="Calibri" w:cs="Calibri"/>
          <w:color w:val="000000" w:themeColor="text1"/>
          <w:sz w:val="24"/>
          <w:szCs w:val="24"/>
        </w:rPr>
        <w:t>uses</w:t>
      </w:r>
      <w:r w:rsidR="005266DE" w:rsidRPr="005266DE">
        <w:rPr>
          <w:rFonts w:ascii="Calibri" w:eastAsia="Times New Roman" w:hAnsi="Calibri" w:cs="Calibri"/>
          <w:color w:val="000000" w:themeColor="text1"/>
          <w:sz w:val="24"/>
          <w:szCs w:val="24"/>
        </w:rPr>
        <w:t xml:space="preserve"> two formal statistical tests</w:t>
      </w:r>
      <w:r>
        <w:rPr>
          <w:rFonts w:ascii="Calibri" w:eastAsia="Times New Roman" w:hAnsi="Calibri" w:cs="Calibri"/>
          <w:color w:val="000000" w:themeColor="text1"/>
          <w:sz w:val="24"/>
          <w:szCs w:val="24"/>
        </w:rPr>
        <w:t>:</w:t>
      </w:r>
      <w:r w:rsidR="005266DE" w:rsidRPr="005266DE">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t</w:t>
      </w:r>
      <w:r w:rsidR="005266DE" w:rsidRPr="005266DE">
        <w:rPr>
          <w:rFonts w:ascii="Calibri" w:eastAsia="Times New Roman" w:hAnsi="Calibri" w:cs="Calibri"/>
          <w:color w:val="000000" w:themeColor="text1"/>
          <w:sz w:val="24"/>
          <w:szCs w:val="24"/>
        </w:rPr>
        <w:t xml:space="preserve">he Kupiec Proportion of Failures test evaluates unconditional coverage by examining whether the </w:t>
      </w:r>
      <w:r w:rsidR="005266DE" w:rsidRPr="005266DE">
        <w:rPr>
          <w:rFonts w:ascii="Calibri" w:eastAsia="Times New Roman" w:hAnsi="Calibri" w:cs="Calibri"/>
          <w:color w:val="000000" w:themeColor="text1"/>
          <w:sz w:val="24"/>
          <w:szCs w:val="24"/>
        </w:rPr>
        <w:lastRenderedPageBreak/>
        <w:t xml:space="preserve">observed frequency of </w:t>
      </w:r>
      <w:r w:rsidR="00381FBB">
        <w:rPr>
          <w:rFonts w:ascii="Calibri" w:eastAsia="Times New Roman" w:hAnsi="Calibri" w:cs="Calibri"/>
          <w:color w:val="000000" w:themeColor="text1"/>
          <w:sz w:val="24"/>
          <w:szCs w:val="24"/>
        </w:rPr>
        <w:t>VaR</w:t>
      </w:r>
      <w:r w:rsidR="005266DE" w:rsidRPr="005266DE">
        <w:rPr>
          <w:rFonts w:ascii="Calibri" w:eastAsia="Times New Roman" w:hAnsi="Calibri" w:cs="Calibri"/>
          <w:color w:val="000000" w:themeColor="text1"/>
          <w:sz w:val="24"/>
          <w:szCs w:val="24"/>
        </w:rPr>
        <w:t xml:space="preserve"> exceptions matches the expected 5 percent threshold under the null hypothesis</w:t>
      </w:r>
      <w:r>
        <w:rPr>
          <w:rFonts w:ascii="Calibri" w:eastAsia="Times New Roman" w:hAnsi="Calibri" w:cs="Calibri"/>
          <w:color w:val="000000" w:themeColor="text1"/>
          <w:sz w:val="24"/>
          <w:szCs w:val="24"/>
        </w:rPr>
        <w:t xml:space="preserve">, and the </w:t>
      </w:r>
      <w:r w:rsidR="005266DE" w:rsidRPr="005266DE">
        <w:rPr>
          <w:rFonts w:ascii="Calibri" w:eastAsia="Times New Roman" w:hAnsi="Calibri" w:cs="Calibri"/>
          <w:color w:val="000000" w:themeColor="text1"/>
          <w:sz w:val="24"/>
          <w:szCs w:val="24"/>
        </w:rPr>
        <w:t xml:space="preserve">Christoffersen independence test </w:t>
      </w:r>
      <w:r w:rsidR="009E7A0B">
        <w:rPr>
          <w:rFonts w:ascii="Calibri" w:eastAsia="Times New Roman" w:hAnsi="Calibri" w:cs="Calibri"/>
          <w:color w:val="000000" w:themeColor="text1"/>
          <w:sz w:val="24"/>
          <w:szCs w:val="24"/>
        </w:rPr>
        <w:t xml:space="preserve">which </w:t>
      </w:r>
      <w:r w:rsidR="005266DE" w:rsidRPr="005266DE">
        <w:rPr>
          <w:rFonts w:ascii="Calibri" w:eastAsia="Times New Roman" w:hAnsi="Calibri" w:cs="Calibri"/>
          <w:color w:val="000000" w:themeColor="text1"/>
          <w:sz w:val="24"/>
          <w:szCs w:val="24"/>
        </w:rPr>
        <w:t xml:space="preserve">evaluates conditional coverage </w:t>
      </w:r>
      <w:r w:rsidR="003E70F5">
        <w:rPr>
          <w:rFonts w:ascii="Calibri" w:eastAsia="Times New Roman" w:hAnsi="Calibri" w:cs="Calibri"/>
          <w:color w:val="000000" w:themeColor="text1"/>
          <w:sz w:val="24"/>
          <w:szCs w:val="24"/>
        </w:rPr>
        <w:t xml:space="preserve">that exceptions are distributed </w:t>
      </w:r>
      <w:r w:rsidR="003E70F5" w:rsidRPr="003E70F5">
        <w:rPr>
          <w:rFonts w:ascii="Calibri" w:eastAsia="Times New Roman" w:hAnsi="Calibri" w:cs="Calibri"/>
          <w:color w:val="000000" w:themeColor="text1"/>
          <w:sz w:val="24"/>
          <w:szCs w:val="24"/>
        </w:rPr>
        <w:t xml:space="preserve">independently over time </w:t>
      </w:r>
      <w:r w:rsidR="00D85D0F">
        <w:rPr>
          <w:rFonts w:ascii="Calibri" w:eastAsia="Times New Roman" w:hAnsi="Calibri" w:cs="Calibri"/>
          <w:color w:val="000000" w:themeColor="text1"/>
          <w:sz w:val="24"/>
          <w:szCs w:val="24"/>
        </w:rPr>
        <w:t xml:space="preserve">under the null hypothesis </w:t>
      </w:r>
      <w:r w:rsidR="003E70F5" w:rsidRPr="003E70F5">
        <w:rPr>
          <w:rFonts w:ascii="Calibri" w:eastAsia="Times New Roman" w:hAnsi="Calibri" w:cs="Calibri"/>
          <w:color w:val="000000" w:themeColor="text1"/>
          <w:sz w:val="24"/>
          <w:szCs w:val="24"/>
        </w:rPr>
        <w:t>rather than exhibiting exception clustering during market panics</w:t>
      </w:r>
      <w:r w:rsidR="003E70F5">
        <w:rPr>
          <w:rFonts w:ascii="Calibri" w:eastAsia="Times New Roman" w:hAnsi="Calibri" w:cs="Calibri"/>
          <w:color w:val="000000" w:themeColor="text1"/>
          <w:sz w:val="24"/>
          <w:szCs w:val="24"/>
        </w:rPr>
        <w:t xml:space="preserve">. </w:t>
      </w:r>
    </w:p>
    <w:p w14:paraId="65839F4C" w14:textId="1AEC56F4" w:rsidR="00732334" w:rsidRDefault="00732334" w:rsidP="003E70F5">
      <w:pPr>
        <w:spacing w:after="0" w:line="480" w:lineRule="auto"/>
        <w:contextualSpacing/>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Analysis</w:t>
      </w:r>
      <w:r w:rsidR="009C0953">
        <w:rPr>
          <w:rFonts w:ascii="Calibri" w:eastAsia="Times New Roman" w:hAnsi="Calibri" w:cs="Calibri"/>
          <w:b/>
          <w:bCs/>
          <w:color w:val="000000" w:themeColor="text1"/>
          <w:sz w:val="24"/>
          <w:szCs w:val="24"/>
        </w:rPr>
        <w:t xml:space="preserve"> </w:t>
      </w:r>
    </w:p>
    <w:p w14:paraId="4ABBA66F" w14:textId="4BE1F6E9" w:rsidR="00AB4EB8" w:rsidRPr="00AB4EB8" w:rsidRDefault="00AB4EB8" w:rsidP="00CC5622">
      <w:pPr>
        <w:spacing w:after="0" w:line="480" w:lineRule="auto"/>
        <w:ind w:firstLine="720"/>
        <w:contextualSpacing/>
        <w:rPr>
          <w:rFonts w:ascii="Calibri" w:eastAsia="Times New Roman" w:hAnsi="Calibri" w:cs="Calibri"/>
          <w:color w:val="000000" w:themeColor="text1"/>
          <w:sz w:val="24"/>
          <w:szCs w:val="24"/>
        </w:rPr>
      </w:pPr>
      <w:r w:rsidRPr="00AB4EB8">
        <w:rPr>
          <w:rFonts w:ascii="Calibri" w:eastAsia="Times New Roman" w:hAnsi="Calibri" w:cs="Calibri"/>
          <w:color w:val="000000" w:themeColor="text1"/>
          <w:sz w:val="24"/>
          <w:szCs w:val="24"/>
        </w:rPr>
        <w:t xml:space="preserve">The portfolio risk performance reveals </w:t>
      </w:r>
      <w:r w:rsidR="00D83D32">
        <w:rPr>
          <w:rFonts w:ascii="Calibri" w:eastAsia="Times New Roman" w:hAnsi="Calibri" w:cs="Calibri"/>
          <w:color w:val="000000" w:themeColor="text1"/>
          <w:sz w:val="24"/>
          <w:szCs w:val="24"/>
        </w:rPr>
        <w:t xml:space="preserve">how </w:t>
      </w:r>
      <w:r w:rsidRPr="00AB4EB8">
        <w:rPr>
          <w:rFonts w:ascii="Calibri" w:eastAsia="Times New Roman" w:hAnsi="Calibri" w:cs="Calibri"/>
          <w:color w:val="000000" w:themeColor="text1"/>
          <w:sz w:val="24"/>
          <w:szCs w:val="24"/>
        </w:rPr>
        <w:t xml:space="preserve">different models approximate market behavior during </w:t>
      </w:r>
      <w:r w:rsidR="00914862">
        <w:rPr>
          <w:rFonts w:ascii="Calibri" w:eastAsia="Times New Roman" w:hAnsi="Calibri" w:cs="Calibri"/>
          <w:color w:val="000000" w:themeColor="text1"/>
          <w:sz w:val="24"/>
          <w:szCs w:val="24"/>
        </w:rPr>
        <w:t xml:space="preserve">economic </w:t>
      </w:r>
      <w:r w:rsidRPr="00AB4EB8">
        <w:rPr>
          <w:rFonts w:ascii="Calibri" w:eastAsia="Times New Roman" w:hAnsi="Calibri" w:cs="Calibri"/>
          <w:color w:val="000000" w:themeColor="text1"/>
          <w:sz w:val="24"/>
          <w:szCs w:val="24"/>
        </w:rPr>
        <w:t xml:space="preserve">crises. Visualizing the historical return series alongside 95 percent </w:t>
      </w:r>
      <w:r w:rsidR="00381FBB">
        <w:rPr>
          <w:rFonts w:ascii="Calibri" w:eastAsia="Times New Roman" w:hAnsi="Calibri" w:cs="Calibri"/>
          <w:color w:val="000000" w:themeColor="text1"/>
          <w:sz w:val="24"/>
          <w:szCs w:val="24"/>
        </w:rPr>
        <w:t>VaR</w:t>
      </w:r>
      <w:r w:rsidRPr="00AB4EB8">
        <w:rPr>
          <w:rFonts w:ascii="Calibri" w:eastAsia="Times New Roman" w:hAnsi="Calibri" w:cs="Calibri"/>
          <w:color w:val="000000" w:themeColor="text1"/>
          <w:sz w:val="24"/>
          <w:szCs w:val="24"/>
        </w:rPr>
        <w:t xml:space="preserve"> thresholds highlights how large volatility spikes during the 2008 financial crash triggered widespread model exceptions. </w:t>
      </w:r>
      <w:r w:rsidR="007D19F0" w:rsidRPr="007D19F0">
        <w:rPr>
          <w:rFonts w:ascii="Calibri" w:eastAsia="Times New Roman" w:hAnsi="Calibri" w:cs="Calibri"/>
          <w:color w:val="000000" w:themeColor="text1"/>
          <w:sz w:val="24"/>
          <w:szCs w:val="24"/>
        </w:rPr>
        <w:t xml:space="preserve">Specifically, the concentrated financials portfolio exceeded the 95 percent VaR threshold 46 times under the rolling historical model, 44 times under the rolling parametric model, 34 times under the </w:t>
      </w:r>
      <w:r w:rsidR="00E946DE">
        <w:rPr>
          <w:rFonts w:ascii="Calibri" w:eastAsia="Times New Roman" w:hAnsi="Calibri" w:cs="Calibri"/>
          <w:color w:val="000000" w:themeColor="text1"/>
          <w:sz w:val="24"/>
          <w:szCs w:val="24"/>
        </w:rPr>
        <w:t>EWMA</w:t>
      </w:r>
      <w:r w:rsidR="007D19F0" w:rsidRPr="007D19F0">
        <w:rPr>
          <w:rFonts w:ascii="Calibri" w:eastAsia="Times New Roman" w:hAnsi="Calibri" w:cs="Calibri"/>
          <w:color w:val="000000" w:themeColor="text1"/>
          <w:sz w:val="24"/>
          <w:szCs w:val="24"/>
        </w:rPr>
        <w:t xml:space="preserve"> model, 34 times under the GJR-</w:t>
      </w:r>
      <w:proofErr w:type="gramStart"/>
      <w:r w:rsidR="007D19F0" w:rsidRPr="007D19F0">
        <w:rPr>
          <w:rFonts w:ascii="Calibri" w:eastAsia="Times New Roman" w:hAnsi="Calibri" w:cs="Calibri"/>
          <w:color w:val="000000" w:themeColor="text1"/>
          <w:sz w:val="24"/>
          <w:szCs w:val="24"/>
        </w:rPr>
        <w:t>GARCH(</w:t>
      </w:r>
      <w:proofErr w:type="gramEnd"/>
      <w:r w:rsidR="007D19F0" w:rsidRPr="007D19F0">
        <w:rPr>
          <w:rFonts w:ascii="Calibri" w:eastAsia="Times New Roman" w:hAnsi="Calibri" w:cs="Calibri"/>
          <w:color w:val="000000" w:themeColor="text1"/>
          <w:sz w:val="24"/>
          <w:szCs w:val="24"/>
        </w:rPr>
        <w:t xml:space="preserve">1,1) model, and 37 times under the </w:t>
      </w:r>
      <w:r w:rsidR="00AF088B">
        <w:rPr>
          <w:rFonts w:ascii="Calibri" w:eastAsia="Times New Roman" w:hAnsi="Calibri" w:cs="Calibri"/>
          <w:color w:val="000000" w:themeColor="text1"/>
          <w:sz w:val="24"/>
          <w:szCs w:val="24"/>
        </w:rPr>
        <w:t>FHS</w:t>
      </w:r>
      <w:r w:rsidR="007D19F0" w:rsidRPr="007D19F0">
        <w:rPr>
          <w:rFonts w:ascii="Calibri" w:eastAsia="Times New Roman" w:hAnsi="Calibri" w:cs="Calibri"/>
          <w:color w:val="000000" w:themeColor="text1"/>
          <w:sz w:val="24"/>
          <w:szCs w:val="24"/>
        </w:rPr>
        <w:t xml:space="preserve"> model</w:t>
      </w:r>
      <w:r w:rsidR="00130FEC">
        <w:rPr>
          <w:rFonts w:ascii="Calibri" w:eastAsia="Times New Roman" w:hAnsi="Calibri" w:cs="Calibri"/>
          <w:color w:val="000000" w:themeColor="text1"/>
          <w:sz w:val="24"/>
          <w:szCs w:val="24"/>
        </w:rPr>
        <w:t xml:space="preserve"> (</w:t>
      </w:r>
      <w:r w:rsidR="00CD235B">
        <w:rPr>
          <w:rFonts w:ascii="Calibri" w:eastAsia="Times New Roman" w:hAnsi="Calibri" w:cs="Calibri"/>
          <w:color w:val="000000" w:themeColor="text1"/>
          <w:sz w:val="24"/>
          <w:szCs w:val="24"/>
        </w:rPr>
        <w:t>Appendix B.1)</w:t>
      </w:r>
      <w:r w:rsidR="007D19F0" w:rsidRPr="007D19F0">
        <w:rPr>
          <w:rFonts w:ascii="Calibri" w:eastAsia="Times New Roman" w:hAnsi="Calibri" w:cs="Calibri"/>
          <w:color w:val="000000" w:themeColor="text1"/>
          <w:sz w:val="24"/>
          <w:szCs w:val="24"/>
        </w:rPr>
        <w:t xml:space="preserve">. In contrast, the diversified multi-asset portfolio breached the threshold 29 times under the rolling historical model, 31 times under the rolling parametric model, 26 times under the </w:t>
      </w:r>
      <w:r w:rsidR="00E946DE">
        <w:rPr>
          <w:rFonts w:ascii="Calibri" w:eastAsia="Times New Roman" w:hAnsi="Calibri" w:cs="Calibri"/>
          <w:color w:val="000000" w:themeColor="text1"/>
          <w:sz w:val="24"/>
          <w:szCs w:val="24"/>
        </w:rPr>
        <w:t>EWMA</w:t>
      </w:r>
      <w:r w:rsidR="007D19F0" w:rsidRPr="007D19F0">
        <w:rPr>
          <w:rFonts w:ascii="Calibri" w:eastAsia="Times New Roman" w:hAnsi="Calibri" w:cs="Calibri"/>
          <w:color w:val="000000" w:themeColor="text1"/>
          <w:sz w:val="24"/>
          <w:szCs w:val="24"/>
        </w:rPr>
        <w:t xml:space="preserve"> model, 39 times under the GJR-</w:t>
      </w:r>
      <w:proofErr w:type="gramStart"/>
      <w:r w:rsidR="007D19F0" w:rsidRPr="007D19F0">
        <w:rPr>
          <w:rFonts w:ascii="Calibri" w:eastAsia="Times New Roman" w:hAnsi="Calibri" w:cs="Calibri"/>
          <w:color w:val="000000" w:themeColor="text1"/>
          <w:sz w:val="24"/>
          <w:szCs w:val="24"/>
        </w:rPr>
        <w:t>GARCH(</w:t>
      </w:r>
      <w:proofErr w:type="gramEnd"/>
      <w:r w:rsidR="007D19F0" w:rsidRPr="007D19F0">
        <w:rPr>
          <w:rFonts w:ascii="Calibri" w:eastAsia="Times New Roman" w:hAnsi="Calibri" w:cs="Calibri"/>
          <w:color w:val="000000" w:themeColor="text1"/>
          <w:sz w:val="24"/>
          <w:szCs w:val="24"/>
        </w:rPr>
        <w:t xml:space="preserve">1,1) model, and 30 times under the </w:t>
      </w:r>
      <w:r w:rsidR="00AF088B">
        <w:rPr>
          <w:rFonts w:ascii="Calibri" w:eastAsia="Times New Roman" w:hAnsi="Calibri" w:cs="Calibri"/>
          <w:color w:val="000000" w:themeColor="text1"/>
          <w:sz w:val="24"/>
          <w:szCs w:val="24"/>
        </w:rPr>
        <w:t>FHS</w:t>
      </w:r>
      <w:r w:rsidR="007D19F0" w:rsidRPr="007D19F0">
        <w:rPr>
          <w:rFonts w:ascii="Calibri" w:eastAsia="Times New Roman" w:hAnsi="Calibri" w:cs="Calibri"/>
          <w:color w:val="000000" w:themeColor="text1"/>
          <w:sz w:val="24"/>
          <w:szCs w:val="24"/>
        </w:rPr>
        <w:t xml:space="preserve"> model</w:t>
      </w:r>
      <w:r w:rsidR="00CD235B">
        <w:rPr>
          <w:rFonts w:ascii="Calibri" w:eastAsia="Times New Roman" w:hAnsi="Calibri" w:cs="Calibri"/>
          <w:color w:val="000000" w:themeColor="text1"/>
          <w:sz w:val="24"/>
          <w:szCs w:val="24"/>
        </w:rPr>
        <w:t xml:space="preserve"> (Appendix B.2)</w:t>
      </w:r>
      <w:r w:rsidRPr="00AB4EB8">
        <w:rPr>
          <w:rFonts w:ascii="Calibri" w:eastAsia="Times New Roman" w:hAnsi="Calibri" w:cs="Calibri"/>
          <w:color w:val="000000" w:themeColor="text1"/>
          <w:sz w:val="24"/>
          <w:szCs w:val="24"/>
        </w:rPr>
        <w:t xml:space="preserve">. </w:t>
      </w:r>
    </w:p>
    <w:p w14:paraId="1BECDBA0" w14:textId="1A345C7E" w:rsidR="00AB4EB8" w:rsidRPr="00AB4EB8" w:rsidRDefault="00AB4EB8" w:rsidP="00CC5622">
      <w:pPr>
        <w:spacing w:after="0" w:line="480" w:lineRule="auto"/>
        <w:ind w:firstLine="720"/>
        <w:contextualSpacing/>
        <w:rPr>
          <w:rFonts w:ascii="Calibri" w:eastAsia="Times New Roman" w:hAnsi="Calibri" w:cs="Calibri"/>
          <w:color w:val="000000" w:themeColor="text1"/>
          <w:sz w:val="24"/>
          <w:szCs w:val="24"/>
        </w:rPr>
      </w:pPr>
      <w:r w:rsidRPr="00AB4EB8">
        <w:rPr>
          <w:rFonts w:ascii="Calibri" w:eastAsia="Times New Roman" w:hAnsi="Calibri" w:cs="Calibri"/>
          <w:color w:val="000000" w:themeColor="text1"/>
          <w:sz w:val="24"/>
          <w:szCs w:val="24"/>
        </w:rPr>
        <w:t xml:space="preserve">Evaluating these exceptions through formal statistical testing </w:t>
      </w:r>
      <w:r w:rsidR="00052791">
        <w:rPr>
          <w:rFonts w:ascii="Calibri" w:eastAsia="Times New Roman" w:hAnsi="Calibri" w:cs="Calibri"/>
          <w:color w:val="000000" w:themeColor="text1"/>
          <w:sz w:val="24"/>
          <w:szCs w:val="24"/>
        </w:rPr>
        <w:t xml:space="preserve">shows </w:t>
      </w:r>
      <w:r w:rsidRPr="00AB4EB8">
        <w:rPr>
          <w:rFonts w:ascii="Calibri" w:eastAsia="Times New Roman" w:hAnsi="Calibri" w:cs="Calibri"/>
          <w:color w:val="000000" w:themeColor="text1"/>
          <w:sz w:val="24"/>
          <w:szCs w:val="24"/>
        </w:rPr>
        <w:t xml:space="preserve">why static lookback windows fail while dynamic conditional volatility models succeed. The rolling historical and rolling parametric models fail the Kupiec Proportion of Failures test for the concentrated financials portfolio because a 252-day equal weight window creates a lagged volatility response. The effects of severe market shocks propagate forward for a full year, causing </w:t>
      </w:r>
      <w:r w:rsidR="00381FBB">
        <w:rPr>
          <w:rFonts w:ascii="Calibri" w:eastAsia="Times New Roman" w:hAnsi="Calibri" w:cs="Calibri"/>
          <w:color w:val="000000" w:themeColor="text1"/>
          <w:sz w:val="24"/>
          <w:szCs w:val="24"/>
        </w:rPr>
        <w:t>VaR</w:t>
      </w:r>
      <w:r w:rsidRPr="00AB4EB8">
        <w:rPr>
          <w:rFonts w:ascii="Calibri" w:eastAsia="Times New Roman" w:hAnsi="Calibri" w:cs="Calibri"/>
          <w:color w:val="000000" w:themeColor="text1"/>
          <w:sz w:val="24"/>
          <w:szCs w:val="24"/>
        </w:rPr>
        <w:t xml:space="preserve"> to be overstated during the height of the crisis due to prior calm market data and severely understated in the aftermath due to lingering high volatility weights. This same lagged </w:t>
      </w:r>
      <w:r w:rsidRPr="00AB4EB8">
        <w:rPr>
          <w:rFonts w:ascii="Calibri" w:eastAsia="Times New Roman" w:hAnsi="Calibri" w:cs="Calibri"/>
          <w:color w:val="000000" w:themeColor="text1"/>
          <w:sz w:val="24"/>
          <w:szCs w:val="24"/>
        </w:rPr>
        <w:lastRenderedPageBreak/>
        <w:t xml:space="preserve">weighting mechanism causes the rolling historical models to fail the Christoffersen independence test in the multi-asset portfolio, invalidating the assumption of independently and identically distributed exceptions and proving that exception clustering during market panics is systemic rather than random. </w:t>
      </w:r>
    </w:p>
    <w:p w14:paraId="68B240CB" w14:textId="0158EE64" w:rsidR="00AB4EB8" w:rsidRPr="00AB4EB8" w:rsidRDefault="00AB4EB8" w:rsidP="00CC5622">
      <w:pPr>
        <w:spacing w:after="0" w:line="480" w:lineRule="auto"/>
        <w:ind w:firstLine="720"/>
        <w:contextualSpacing/>
        <w:rPr>
          <w:rFonts w:ascii="Calibri" w:eastAsia="Times New Roman" w:hAnsi="Calibri" w:cs="Calibri"/>
          <w:color w:val="000000" w:themeColor="text1"/>
          <w:sz w:val="24"/>
          <w:szCs w:val="24"/>
        </w:rPr>
      </w:pPr>
      <w:r w:rsidRPr="00AB4EB8">
        <w:rPr>
          <w:rFonts w:ascii="Calibri" w:eastAsia="Times New Roman" w:hAnsi="Calibri" w:cs="Calibri"/>
          <w:color w:val="000000" w:themeColor="text1"/>
          <w:sz w:val="24"/>
          <w:szCs w:val="24"/>
        </w:rPr>
        <w:t xml:space="preserve">In contrast, dynamic volatility models overcome these structural flaws through exponential weighting and asymmetric variance scaling. The </w:t>
      </w:r>
      <w:r w:rsidR="00E946DE">
        <w:rPr>
          <w:rFonts w:ascii="Calibri" w:eastAsia="Times New Roman" w:hAnsi="Calibri" w:cs="Calibri"/>
          <w:color w:val="000000" w:themeColor="text1"/>
          <w:sz w:val="24"/>
          <w:szCs w:val="24"/>
        </w:rPr>
        <w:t>EWMA</w:t>
      </w:r>
      <w:r w:rsidRPr="00AB4EB8">
        <w:rPr>
          <w:rFonts w:ascii="Calibri" w:eastAsia="Times New Roman" w:hAnsi="Calibri" w:cs="Calibri"/>
          <w:color w:val="000000" w:themeColor="text1"/>
          <w:sz w:val="24"/>
          <w:szCs w:val="24"/>
        </w:rPr>
        <w:t xml:space="preserve"> model configured with a lambda decay factor of 0.94 and the GJR-</w:t>
      </w:r>
      <w:proofErr w:type="gramStart"/>
      <w:r w:rsidRPr="00AB4EB8">
        <w:rPr>
          <w:rFonts w:ascii="Calibri" w:eastAsia="Times New Roman" w:hAnsi="Calibri" w:cs="Calibri"/>
          <w:color w:val="000000" w:themeColor="text1"/>
          <w:sz w:val="24"/>
          <w:szCs w:val="24"/>
        </w:rPr>
        <w:t>GARCH(</w:t>
      </w:r>
      <w:proofErr w:type="gramEnd"/>
      <w:r w:rsidRPr="00AB4EB8">
        <w:rPr>
          <w:rFonts w:ascii="Calibri" w:eastAsia="Times New Roman" w:hAnsi="Calibri" w:cs="Calibri"/>
          <w:color w:val="000000" w:themeColor="text1"/>
          <w:sz w:val="24"/>
          <w:szCs w:val="24"/>
        </w:rPr>
        <w:t xml:space="preserve">1,1) specification </w:t>
      </w:r>
      <w:proofErr w:type="gramStart"/>
      <w:r w:rsidRPr="00AB4EB8">
        <w:rPr>
          <w:rFonts w:ascii="Calibri" w:eastAsia="Times New Roman" w:hAnsi="Calibri" w:cs="Calibri"/>
          <w:color w:val="000000" w:themeColor="text1"/>
          <w:sz w:val="24"/>
          <w:szCs w:val="24"/>
        </w:rPr>
        <w:t>succeed</w:t>
      </w:r>
      <w:proofErr w:type="gramEnd"/>
      <w:r w:rsidRPr="00AB4EB8">
        <w:rPr>
          <w:rFonts w:ascii="Calibri" w:eastAsia="Times New Roman" w:hAnsi="Calibri" w:cs="Calibri"/>
          <w:color w:val="000000" w:themeColor="text1"/>
          <w:sz w:val="24"/>
          <w:szCs w:val="24"/>
        </w:rPr>
        <w:t xml:space="preserve"> where rolling windows </w:t>
      </w:r>
      <w:proofErr w:type="gramStart"/>
      <w:r w:rsidRPr="00AB4EB8">
        <w:rPr>
          <w:rFonts w:ascii="Calibri" w:eastAsia="Times New Roman" w:hAnsi="Calibri" w:cs="Calibri"/>
          <w:color w:val="000000" w:themeColor="text1"/>
          <w:sz w:val="24"/>
          <w:szCs w:val="24"/>
        </w:rPr>
        <w:t>fail</w:t>
      </w:r>
      <w:proofErr w:type="gramEnd"/>
      <w:r w:rsidRPr="00AB4EB8">
        <w:rPr>
          <w:rFonts w:ascii="Calibri" w:eastAsia="Times New Roman" w:hAnsi="Calibri" w:cs="Calibri"/>
          <w:color w:val="000000" w:themeColor="text1"/>
          <w:sz w:val="24"/>
          <w:szCs w:val="24"/>
        </w:rPr>
        <w:t xml:space="preserve"> because exponential decay forces recent market shocks to immediately adjust the volatility estimate without a long lookback lag. For the concentrated financials portfolio, these dynamic methods successfully pass the Kupiec Proportion of Failures calibration test with 34 breaches and a p-value of 0.0830. By placing increased weight on recent squared residuals, the decay mechanism eliminates delayed penalties during initial market drops and risk suppression following crises</w:t>
      </w:r>
      <w:r w:rsidR="00327E2A">
        <w:rPr>
          <w:rFonts w:ascii="Calibri" w:eastAsia="Times New Roman" w:hAnsi="Calibri" w:cs="Calibri"/>
          <w:color w:val="000000" w:themeColor="text1"/>
          <w:sz w:val="24"/>
          <w:szCs w:val="24"/>
        </w:rPr>
        <w:t xml:space="preserve"> and</w:t>
      </w:r>
      <w:r w:rsidRPr="00AB4EB8">
        <w:rPr>
          <w:rFonts w:ascii="Calibri" w:eastAsia="Times New Roman" w:hAnsi="Calibri" w:cs="Calibri"/>
          <w:color w:val="000000" w:themeColor="text1"/>
          <w:sz w:val="24"/>
          <w:szCs w:val="24"/>
        </w:rPr>
        <w:t xml:space="preserve"> maintain</w:t>
      </w:r>
      <w:r w:rsidR="00117911">
        <w:rPr>
          <w:rFonts w:ascii="Calibri" w:eastAsia="Times New Roman" w:hAnsi="Calibri" w:cs="Calibri"/>
          <w:color w:val="000000" w:themeColor="text1"/>
          <w:sz w:val="24"/>
          <w:szCs w:val="24"/>
        </w:rPr>
        <w:t>s</w:t>
      </w:r>
      <w:r w:rsidRPr="00AB4EB8">
        <w:rPr>
          <w:rFonts w:ascii="Calibri" w:eastAsia="Times New Roman" w:hAnsi="Calibri" w:cs="Calibri"/>
          <w:color w:val="000000" w:themeColor="text1"/>
          <w:sz w:val="24"/>
          <w:szCs w:val="24"/>
        </w:rPr>
        <w:t xml:space="preserve"> statistical independenc</w:t>
      </w:r>
      <w:r w:rsidR="009B5944">
        <w:rPr>
          <w:rFonts w:ascii="Calibri" w:eastAsia="Times New Roman" w:hAnsi="Calibri" w:cs="Calibri"/>
          <w:color w:val="000000" w:themeColor="text1"/>
          <w:sz w:val="24"/>
          <w:szCs w:val="24"/>
        </w:rPr>
        <w:t>e</w:t>
      </w:r>
      <w:r w:rsidRPr="00AB4EB8">
        <w:rPr>
          <w:rFonts w:ascii="Calibri" w:eastAsia="Times New Roman" w:hAnsi="Calibri" w:cs="Calibri"/>
          <w:color w:val="000000" w:themeColor="text1"/>
          <w:sz w:val="24"/>
          <w:szCs w:val="24"/>
        </w:rPr>
        <w:t xml:space="preserve">. </w:t>
      </w:r>
    </w:p>
    <w:p w14:paraId="196CAA61" w14:textId="7C6EDAEA" w:rsidR="00AB4EB8" w:rsidRPr="00AB4EB8" w:rsidRDefault="00AB4EB8" w:rsidP="00CC5622">
      <w:pPr>
        <w:spacing w:after="0" w:line="480" w:lineRule="auto"/>
        <w:ind w:firstLine="720"/>
        <w:contextualSpacing/>
        <w:rPr>
          <w:rFonts w:ascii="Calibri" w:eastAsia="Times New Roman" w:hAnsi="Calibri" w:cs="Calibri"/>
          <w:color w:val="000000" w:themeColor="text1"/>
          <w:sz w:val="24"/>
          <w:szCs w:val="24"/>
        </w:rPr>
      </w:pPr>
      <w:r w:rsidRPr="00AB4EB8">
        <w:rPr>
          <w:rFonts w:ascii="Calibri" w:eastAsia="Times New Roman" w:hAnsi="Calibri" w:cs="Calibri"/>
          <w:color w:val="000000" w:themeColor="text1"/>
          <w:sz w:val="24"/>
          <w:szCs w:val="24"/>
        </w:rPr>
        <w:t xml:space="preserve">These statistical outcomes reflect deeper behavioral realities of asset pricing. The failure of static lookback windows during the 2008 financial crisis is formally explained by Brunnermeier and Pedersen's (2009) liquidity framework, which demonstrates that market liquidity and funding liquidity are deeply intertwined. Traditional rolling models assume externally originating market liquidity where asset liquidation is frictionless and price independent. However, when financial equities experience sudden shocks, asset values collapse, instantaneously triggering margin calls and tightening collateral constraints. As leveraged market participants are forced into fire sales to meet cash demands, asset prices are </w:t>
      </w:r>
      <w:r w:rsidRPr="00AB4EB8">
        <w:rPr>
          <w:rFonts w:ascii="Calibri" w:eastAsia="Times New Roman" w:hAnsi="Calibri" w:cs="Calibri"/>
          <w:color w:val="000000" w:themeColor="text1"/>
          <w:sz w:val="24"/>
          <w:szCs w:val="24"/>
        </w:rPr>
        <w:lastRenderedPageBreak/>
        <w:t xml:space="preserve">further depressed and bid-ask spreads widen far beyond historical unweighted parameter estimates, resulting in severe exception clustering. </w:t>
      </w:r>
    </w:p>
    <w:p w14:paraId="78D0FDA9" w14:textId="65A6F859" w:rsidR="00AB4EB8" w:rsidRPr="00AB4EB8" w:rsidRDefault="0092147E" w:rsidP="00CC5622">
      <w:pPr>
        <w:spacing w:after="0" w:line="480" w:lineRule="auto"/>
        <w:ind w:firstLine="720"/>
        <w:contextualSpacing/>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T</w:t>
      </w:r>
      <w:r w:rsidR="00AB4EB8" w:rsidRPr="00AB4EB8">
        <w:rPr>
          <w:rFonts w:ascii="Calibri" w:eastAsia="Times New Roman" w:hAnsi="Calibri" w:cs="Calibri"/>
          <w:color w:val="000000" w:themeColor="text1"/>
          <w:sz w:val="24"/>
          <w:szCs w:val="24"/>
        </w:rPr>
        <w:t xml:space="preserve">he success of GJR-GARCH and </w:t>
      </w:r>
      <w:r w:rsidR="00AF088B">
        <w:rPr>
          <w:rFonts w:ascii="Calibri" w:eastAsia="Times New Roman" w:hAnsi="Calibri" w:cs="Calibri"/>
          <w:color w:val="000000" w:themeColor="text1"/>
          <w:sz w:val="24"/>
          <w:szCs w:val="24"/>
        </w:rPr>
        <w:t>FHS</w:t>
      </w:r>
      <w:r w:rsidR="00AB4EB8" w:rsidRPr="00AB4EB8">
        <w:rPr>
          <w:rFonts w:ascii="Calibri" w:eastAsia="Times New Roman" w:hAnsi="Calibri" w:cs="Calibri"/>
          <w:color w:val="000000" w:themeColor="text1"/>
          <w:sz w:val="24"/>
          <w:szCs w:val="24"/>
        </w:rPr>
        <w:t xml:space="preserve"> model</w:t>
      </w:r>
      <w:r w:rsidR="00AF088B">
        <w:rPr>
          <w:rFonts w:ascii="Calibri" w:eastAsia="Times New Roman" w:hAnsi="Calibri" w:cs="Calibri"/>
          <w:color w:val="000000" w:themeColor="text1"/>
          <w:sz w:val="24"/>
          <w:szCs w:val="24"/>
        </w:rPr>
        <w:t>’</w:t>
      </w:r>
      <w:r w:rsidR="00AB4EB8" w:rsidRPr="00AB4EB8">
        <w:rPr>
          <w:rFonts w:ascii="Calibri" w:eastAsia="Times New Roman" w:hAnsi="Calibri" w:cs="Calibri"/>
          <w:color w:val="000000" w:themeColor="text1"/>
          <w:sz w:val="24"/>
          <w:szCs w:val="24"/>
        </w:rPr>
        <w:t>s captur</w:t>
      </w:r>
      <w:r>
        <w:rPr>
          <w:rFonts w:ascii="Calibri" w:eastAsia="Times New Roman" w:hAnsi="Calibri" w:cs="Calibri"/>
          <w:color w:val="000000" w:themeColor="text1"/>
          <w:sz w:val="24"/>
          <w:szCs w:val="24"/>
        </w:rPr>
        <w:t>e of</w:t>
      </w:r>
      <w:r w:rsidR="00AB4EB8" w:rsidRPr="00AB4EB8">
        <w:rPr>
          <w:rFonts w:ascii="Calibri" w:eastAsia="Times New Roman" w:hAnsi="Calibri" w:cs="Calibri"/>
          <w:color w:val="000000" w:themeColor="text1"/>
          <w:sz w:val="24"/>
          <w:szCs w:val="24"/>
        </w:rPr>
        <w:t xml:space="preserve"> heavy-tailed risk highlights the presence of asymmetric volatility and </w:t>
      </w:r>
      <w:r w:rsidR="007B6B1D">
        <w:rPr>
          <w:rFonts w:ascii="Calibri" w:eastAsia="Times New Roman" w:hAnsi="Calibri" w:cs="Calibri"/>
          <w:color w:val="000000" w:themeColor="text1"/>
          <w:sz w:val="24"/>
          <w:szCs w:val="24"/>
        </w:rPr>
        <w:t>human</w:t>
      </w:r>
      <w:r w:rsidR="00AB4EB8" w:rsidRPr="00AB4EB8">
        <w:rPr>
          <w:rFonts w:ascii="Calibri" w:eastAsia="Times New Roman" w:hAnsi="Calibri" w:cs="Calibri"/>
          <w:color w:val="000000" w:themeColor="text1"/>
          <w:sz w:val="24"/>
          <w:szCs w:val="24"/>
        </w:rPr>
        <w:t xml:space="preserve"> biases. Financial equities exhibit strong leverage effects where negative return shocks induce a sharper, disproportionate increase in future downward volatility compared to positive shocks of equivalent magnitude. GJR-GARCH succeeds because it</w:t>
      </w:r>
      <w:r w:rsidR="009916C8">
        <w:rPr>
          <w:rFonts w:ascii="Calibri" w:eastAsia="Times New Roman" w:hAnsi="Calibri" w:cs="Calibri"/>
          <w:color w:val="000000" w:themeColor="text1"/>
          <w:sz w:val="24"/>
          <w:szCs w:val="24"/>
        </w:rPr>
        <w:t xml:space="preserve"> </w:t>
      </w:r>
      <w:r w:rsidR="00AB4EB8" w:rsidRPr="00AB4EB8">
        <w:rPr>
          <w:rFonts w:ascii="Calibri" w:eastAsia="Times New Roman" w:hAnsi="Calibri" w:cs="Calibri"/>
          <w:color w:val="000000" w:themeColor="text1"/>
          <w:sz w:val="24"/>
          <w:szCs w:val="24"/>
        </w:rPr>
        <w:t xml:space="preserve">models this asymmetric parameter, whereas standard rolling windows treat upward and downward deviations symmetrically. Furthermore, as outlined in Kahneman and Tversky's (1979) Prospect Theory, market participants exhibit biases where the subjective probability of extreme macroeconomic shocks decays as the duration of economic stability lengthens. Historical lookback windows become overly influenced by long periods of calm market behavior, underweighting tail states until sufficient time has passed. </w:t>
      </w:r>
    </w:p>
    <w:p w14:paraId="04A045F8" w14:textId="6E44CB55" w:rsidR="00AB4EB8" w:rsidRPr="00AB4EB8" w:rsidRDefault="005B167A" w:rsidP="00CC5622">
      <w:pPr>
        <w:spacing w:after="0" w:line="480" w:lineRule="auto"/>
        <w:ind w:firstLine="720"/>
        <w:contextualSpacing/>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T</w:t>
      </w:r>
      <w:r w:rsidR="00AB4EB8" w:rsidRPr="00AB4EB8">
        <w:rPr>
          <w:rFonts w:ascii="Calibri" w:eastAsia="Times New Roman" w:hAnsi="Calibri" w:cs="Calibri"/>
          <w:color w:val="000000" w:themeColor="text1"/>
          <w:sz w:val="24"/>
          <w:szCs w:val="24"/>
        </w:rPr>
        <w:t xml:space="preserve">hese findings prove that risk is a dynamic and reflexive function of market </w:t>
      </w:r>
      <w:r>
        <w:rPr>
          <w:rFonts w:ascii="Calibri" w:eastAsia="Times New Roman" w:hAnsi="Calibri" w:cs="Calibri"/>
          <w:color w:val="000000" w:themeColor="text1"/>
          <w:sz w:val="24"/>
          <w:szCs w:val="24"/>
        </w:rPr>
        <w:t>behavior</w:t>
      </w:r>
      <w:r w:rsidR="00AB4EB8" w:rsidRPr="00AB4EB8">
        <w:rPr>
          <w:rFonts w:ascii="Calibri" w:eastAsia="Times New Roman" w:hAnsi="Calibri" w:cs="Calibri"/>
          <w:color w:val="000000" w:themeColor="text1"/>
          <w:sz w:val="24"/>
          <w:szCs w:val="24"/>
        </w:rPr>
        <w:t xml:space="preserve"> rather than a constant statistical parameter. Portfolio construction </w:t>
      </w:r>
      <w:r>
        <w:rPr>
          <w:rFonts w:ascii="Calibri" w:eastAsia="Times New Roman" w:hAnsi="Calibri" w:cs="Calibri"/>
          <w:color w:val="000000" w:themeColor="text1"/>
          <w:sz w:val="24"/>
          <w:szCs w:val="24"/>
        </w:rPr>
        <w:t xml:space="preserve">also </w:t>
      </w:r>
      <w:r w:rsidR="00AB4EB8" w:rsidRPr="00AB4EB8">
        <w:rPr>
          <w:rFonts w:ascii="Calibri" w:eastAsia="Times New Roman" w:hAnsi="Calibri" w:cs="Calibri"/>
          <w:color w:val="000000" w:themeColor="text1"/>
          <w:sz w:val="24"/>
          <w:szCs w:val="24"/>
        </w:rPr>
        <w:t xml:space="preserve">plays an </w:t>
      </w:r>
      <w:r>
        <w:rPr>
          <w:rFonts w:ascii="Calibri" w:eastAsia="Times New Roman" w:hAnsi="Calibri" w:cs="Calibri"/>
          <w:color w:val="000000" w:themeColor="text1"/>
          <w:sz w:val="24"/>
          <w:szCs w:val="24"/>
        </w:rPr>
        <w:t xml:space="preserve">important </w:t>
      </w:r>
      <w:r w:rsidR="00AB4EB8" w:rsidRPr="00AB4EB8">
        <w:rPr>
          <w:rFonts w:ascii="Calibri" w:eastAsia="Times New Roman" w:hAnsi="Calibri" w:cs="Calibri"/>
          <w:color w:val="000000" w:themeColor="text1"/>
          <w:sz w:val="24"/>
          <w:szCs w:val="24"/>
        </w:rPr>
        <w:t xml:space="preserve">role in managing this exposure. As demonstrated by the contrast between the concentrated financials portfolio and the multi-asset allocation, cross-asset decorrelation buffers structural shocks and dampens volatility scaling, allowing </w:t>
      </w:r>
      <w:r w:rsidR="00A62DDD">
        <w:rPr>
          <w:rFonts w:ascii="Calibri" w:eastAsia="Times New Roman" w:hAnsi="Calibri" w:cs="Calibri"/>
          <w:color w:val="000000" w:themeColor="text1"/>
          <w:sz w:val="24"/>
          <w:szCs w:val="24"/>
        </w:rPr>
        <w:t xml:space="preserve">the </w:t>
      </w:r>
      <w:r w:rsidR="00AF088B">
        <w:rPr>
          <w:rFonts w:ascii="Calibri" w:eastAsia="Times New Roman" w:hAnsi="Calibri" w:cs="Calibri"/>
          <w:color w:val="000000" w:themeColor="text1"/>
          <w:sz w:val="24"/>
          <w:szCs w:val="24"/>
        </w:rPr>
        <w:t>FHS</w:t>
      </w:r>
      <w:r w:rsidR="00AB4EB8" w:rsidRPr="00AB4EB8">
        <w:rPr>
          <w:rFonts w:ascii="Calibri" w:eastAsia="Times New Roman" w:hAnsi="Calibri" w:cs="Calibri"/>
          <w:color w:val="000000" w:themeColor="text1"/>
          <w:sz w:val="24"/>
          <w:szCs w:val="24"/>
        </w:rPr>
        <w:t xml:space="preserve"> </w:t>
      </w:r>
      <w:r w:rsidR="00A62DDD">
        <w:rPr>
          <w:rFonts w:ascii="Calibri" w:eastAsia="Times New Roman" w:hAnsi="Calibri" w:cs="Calibri"/>
          <w:color w:val="000000" w:themeColor="text1"/>
          <w:sz w:val="24"/>
          <w:szCs w:val="24"/>
        </w:rPr>
        <w:t xml:space="preserve">model </w:t>
      </w:r>
      <w:r w:rsidR="00AB4EB8" w:rsidRPr="00AB4EB8">
        <w:rPr>
          <w:rFonts w:ascii="Calibri" w:eastAsia="Times New Roman" w:hAnsi="Calibri" w:cs="Calibri"/>
          <w:color w:val="000000" w:themeColor="text1"/>
          <w:sz w:val="24"/>
          <w:szCs w:val="24"/>
        </w:rPr>
        <w:t xml:space="preserve">to achieve proper statistical calibration and ensure institutional risk protection. </w:t>
      </w:r>
    </w:p>
    <w:p w14:paraId="39452FBC" w14:textId="77777777" w:rsidR="001E70D3" w:rsidRDefault="001E70D3" w:rsidP="006E12EE">
      <w:pPr>
        <w:spacing w:after="0" w:line="480" w:lineRule="auto"/>
        <w:contextualSpacing/>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Results</w:t>
      </w:r>
    </w:p>
    <w:p w14:paraId="44470FDF" w14:textId="69BA82E6" w:rsidR="00D50E06" w:rsidRPr="00D50E06" w:rsidRDefault="00D50E06" w:rsidP="00D50E06">
      <w:pPr>
        <w:spacing w:after="0" w:line="480" w:lineRule="auto"/>
        <w:ind w:firstLine="720"/>
        <w:contextualSpacing/>
        <w:rPr>
          <w:rFonts w:ascii="Calibri" w:eastAsia="Times New Roman" w:hAnsi="Calibri" w:cs="Calibri"/>
          <w:color w:val="000000" w:themeColor="text1"/>
          <w:sz w:val="24"/>
          <w:szCs w:val="24"/>
        </w:rPr>
      </w:pPr>
      <w:r w:rsidRPr="00D50E06">
        <w:rPr>
          <w:rFonts w:ascii="Calibri" w:eastAsia="Times New Roman" w:hAnsi="Calibri" w:cs="Calibri"/>
          <w:color w:val="000000" w:themeColor="text1"/>
          <w:sz w:val="24"/>
          <w:szCs w:val="24"/>
        </w:rPr>
        <w:t xml:space="preserve">The </w:t>
      </w:r>
      <w:r w:rsidR="00ED6321">
        <w:rPr>
          <w:rFonts w:ascii="Calibri" w:eastAsia="Times New Roman" w:hAnsi="Calibri" w:cs="Calibri"/>
          <w:color w:val="000000" w:themeColor="text1"/>
          <w:sz w:val="24"/>
          <w:szCs w:val="24"/>
        </w:rPr>
        <w:t>results</w:t>
      </w:r>
      <w:r w:rsidRPr="00D50E06">
        <w:rPr>
          <w:rFonts w:ascii="Calibri" w:eastAsia="Times New Roman" w:hAnsi="Calibri" w:cs="Calibri"/>
          <w:color w:val="000000" w:themeColor="text1"/>
          <w:sz w:val="24"/>
          <w:szCs w:val="24"/>
        </w:rPr>
        <w:t xml:space="preserve"> </w:t>
      </w:r>
      <w:r w:rsidR="007D5F03">
        <w:rPr>
          <w:rFonts w:ascii="Calibri" w:eastAsia="Times New Roman" w:hAnsi="Calibri" w:cs="Calibri"/>
          <w:color w:val="000000" w:themeColor="text1"/>
          <w:sz w:val="24"/>
          <w:szCs w:val="24"/>
        </w:rPr>
        <w:t>show</w:t>
      </w:r>
      <w:r w:rsidRPr="00D50E06">
        <w:rPr>
          <w:rFonts w:ascii="Calibri" w:eastAsia="Times New Roman" w:hAnsi="Calibri" w:cs="Calibri"/>
          <w:color w:val="000000" w:themeColor="text1"/>
          <w:sz w:val="24"/>
          <w:szCs w:val="24"/>
        </w:rPr>
        <w:t xml:space="preserve"> performance </w:t>
      </w:r>
      <w:r w:rsidR="001B53B6">
        <w:rPr>
          <w:rFonts w:ascii="Calibri" w:eastAsia="Times New Roman" w:hAnsi="Calibri" w:cs="Calibri"/>
          <w:color w:val="000000" w:themeColor="text1"/>
          <w:sz w:val="24"/>
          <w:szCs w:val="24"/>
        </w:rPr>
        <w:t>differences</w:t>
      </w:r>
      <w:r w:rsidRPr="00D50E06">
        <w:rPr>
          <w:rFonts w:ascii="Calibri" w:eastAsia="Times New Roman" w:hAnsi="Calibri" w:cs="Calibri"/>
          <w:color w:val="000000" w:themeColor="text1"/>
          <w:sz w:val="24"/>
          <w:szCs w:val="24"/>
        </w:rPr>
        <w:t xml:space="preserve"> between static lookback windows and dynamic volatility models across both asset allocation </w:t>
      </w:r>
      <w:r w:rsidR="00FA420E">
        <w:rPr>
          <w:rFonts w:ascii="Calibri" w:eastAsia="Times New Roman" w:hAnsi="Calibri" w:cs="Calibri"/>
          <w:color w:val="000000" w:themeColor="text1"/>
          <w:sz w:val="24"/>
          <w:szCs w:val="24"/>
        </w:rPr>
        <w:t>portfolios</w:t>
      </w:r>
      <w:r w:rsidR="004E3FFF">
        <w:rPr>
          <w:rFonts w:ascii="Calibri" w:eastAsia="Times New Roman" w:hAnsi="Calibri" w:cs="Calibri"/>
          <w:color w:val="000000" w:themeColor="text1"/>
          <w:sz w:val="24"/>
          <w:szCs w:val="24"/>
        </w:rPr>
        <w:t xml:space="preserve"> (</w:t>
      </w:r>
      <w:r w:rsidRPr="00D50E06">
        <w:rPr>
          <w:rFonts w:ascii="Calibri" w:eastAsia="Times New Roman" w:hAnsi="Calibri" w:cs="Calibri"/>
          <w:color w:val="000000" w:themeColor="text1"/>
          <w:sz w:val="24"/>
          <w:szCs w:val="24"/>
        </w:rPr>
        <w:t>Appendix A</w:t>
      </w:r>
      <w:r w:rsidR="004E3FFF">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 xml:space="preserve"> and individual visual </w:t>
      </w:r>
      <w:r w:rsidR="004E3FFF">
        <w:rPr>
          <w:rFonts w:ascii="Calibri" w:eastAsia="Times New Roman" w:hAnsi="Calibri" w:cs="Calibri"/>
          <w:color w:val="000000" w:themeColor="text1"/>
          <w:sz w:val="24"/>
          <w:szCs w:val="24"/>
        </w:rPr>
        <w:t xml:space="preserve">results </w:t>
      </w:r>
      <w:r w:rsidR="00D92E04">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Appendices B.1 and B.2</w:t>
      </w:r>
      <w:r w:rsidR="00D92E04">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 xml:space="preserve">. For the concentrated financials portfolio, the rolling </w:t>
      </w:r>
      <w:r w:rsidRPr="00D50E06">
        <w:rPr>
          <w:rFonts w:ascii="Calibri" w:eastAsia="Times New Roman" w:hAnsi="Calibri" w:cs="Calibri"/>
          <w:color w:val="000000" w:themeColor="text1"/>
          <w:sz w:val="24"/>
          <w:szCs w:val="24"/>
        </w:rPr>
        <w:lastRenderedPageBreak/>
        <w:t xml:space="preserve">historical and rolling parametric models fail the Kupiec Proportion of Failures test due to lagged volatility responses, generating excessive exceptions during the 2008 financial crash. Specifically, this portfolio exceeds the 95 percent </w:t>
      </w:r>
      <w:r w:rsidR="00381FBB">
        <w:rPr>
          <w:rFonts w:ascii="Calibri" w:eastAsia="Times New Roman" w:hAnsi="Calibri" w:cs="Calibri"/>
          <w:color w:val="000000" w:themeColor="text1"/>
          <w:sz w:val="24"/>
          <w:szCs w:val="24"/>
        </w:rPr>
        <w:t>VaR</w:t>
      </w:r>
      <w:r w:rsidRPr="00D50E06">
        <w:rPr>
          <w:rFonts w:ascii="Calibri" w:eastAsia="Times New Roman" w:hAnsi="Calibri" w:cs="Calibri"/>
          <w:color w:val="000000" w:themeColor="text1"/>
          <w:sz w:val="24"/>
          <w:szCs w:val="24"/>
        </w:rPr>
        <w:t xml:space="preserve"> threshold 46 times under the rolling historical model (Figure B.1.1; </w:t>
      </w:r>
      <w:r w:rsidR="00BA18C6">
        <w:rPr>
          <w:rFonts w:ascii="Calibri" w:eastAsia="Times New Roman" w:hAnsi="Calibri" w:cs="Calibri"/>
          <w:i/>
          <w:iCs/>
          <w:color w:val="000000" w:themeColor="text1"/>
          <w:sz w:val="24"/>
          <w:szCs w:val="24"/>
        </w:rPr>
        <w:t xml:space="preserve">p </w:t>
      </w:r>
      <w:r w:rsidR="00BA18C6" w:rsidRPr="000661A8">
        <w:rPr>
          <w:rFonts w:ascii="Calibri" w:eastAsia="Times New Roman" w:hAnsi="Calibri" w:cs="Calibri"/>
          <w:color w:val="000000" w:themeColor="text1"/>
          <w:sz w:val="24"/>
          <w:szCs w:val="24"/>
        </w:rPr>
        <w:t>= 0.0001</w:t>
      </w:r>
      <w:r w:rsidR="00BA18C6" w:rsidRPr="000B3FAA">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 xml:space="preserve">, 44 times under the rolling parametric model (Figure B.1.2; </w:t>
      </w:r>
      <w:r w:rsidR="00BA18C6">
        <w:rPr>
          <w:rFonts w:ascii="Calibri" w:eastAsia="Times New Roman" w:hAnsi="Calibri" w:cs="Calibri"/>
          <w:i/>
          <w:iCs/>
          <w:color w:val="000000" w:themeColor="text1"/>
          <w:sz w:val="24"/>
          <w:szCs w:val="24"/>
        </w:rPr>
        <w:t xml:space="preserve">p </w:t>
      </w:r>
      <w:r w:rsidR="00BA18C6" w:rsidRPr="000661A8">
        <w:rPr>
          <w:rFonts w:ascii="Calibri" w:eastAsia="Times New Roman" w:hAnsi="Calibri" w:cs="Calibri"/>
          <w:color w:val="000000" w:themeColor="text1"/>
          <w:sz w:val="24"/>
          <w:szCs w:val="24"/>
        </w:rPr>
        <w:t xml:space="preserve">= </w:t>
      </w:r>
      <w:r w:rsidR="000661A8" w:rsidRPr="000661A8">
        <w:rPr>
          <w:rFonts w:ascii="Calibri" w:eastAsia="Times New Roman" w:hAnsi="Calibri" w:cs="Calibri"/>
          <w:color w:val="000000" w:themeColor="text1"/>
          <w:sz w:val="24"/>
          <w:szCs w:val="24"/>
        </w:rPr>
        <w:t>0.0004</w:t>
      </w:r>
      <w:r w:rsidR="00FD138B">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 xml:space="preserve">, and 37 times under the </w:t>
      </w:r>
      <w:r w:rsidR="00AF088B">
        <w:rPr>
          <w:rFonts w:ascii="Calibri" w:eastAsia="Times New Roman" w:hAnsi="Calibri" w:cs="Calibri"/>
          <w:color w:val="000000" w:themeColor="text1"/>
          <w:sz w:val="24"/>
          <w:szCs w:val="24"/>
        </w:rPr>
        <w:t>FHS</w:t>
      </w:r>
      <w:r w:rsidRPr="00D50E06">
        <w:rPr>
          <w:rFonts w:ascii="Calibri" w:eastAsia="Times New Roman" w:hAnsi="Calibri" w:cs="Calibri"/>
          <w:color w:val="000000" w:themeColor="text1"/>
          <w:sz w:val="24"/>
          <w:szCs w:val="24"/>
        </w:rPr>
        <w:t xml:space="preserve"> model (Figure B.1.5; </w:t>
      </w:r>
      <w:r w:rsidR="000661A8">
        <w:rPr>
          <w:rFonts w:ascii="Calibri" w:eastAsia="Times New Roman" w:hAnsi="Calibri" w:cs="Calibri"/>
          <w:i/>
          <w:iCs/>
          <w:color w:val="000000" w:themeColor="text1"/>
          <w:sz w:val="24"/>
          <w:szCs w:val="24"/>
        </w:rPr>
        <w:t xml:space="preserve">p </w:t>
      </w:r>
      <w:r w:rsidR="000661A8" w:rsidRPr="000661A8">
        <w:rPr>
          <w:rFonts w:ascii="Calibri" w:eastAsia="Times New Roman" w:hAnsi="Calibri" w:cs="Calibri"/>
          <w:color w:val="000000" w:themeColor="text1"/>
          <w:sz w:val="24"/>
          <w:szCs w:val="24"/>
        </w:rPr>
        <w:t>= 0.0224</w:t>
      </w:r>
      <w:r w:rsidRPr="00D50E06">
        <w:rPr>
          <w:rFonts w:ascii="Calibri" w:eastAsia="Times New Roman" w:hAnsi="Calibri" w:cs="Calibri"/>
          <w:color w:val="000000" w:themeColor="text1"/>
          <w:sz w:val="24"/>
          <w:szCs w:val="24"/>
        </w:rPr>
        <w:t xml:space="preserve">). In contrast, the </w:t>
      </w:r>
      <w:r w:rsidR="006E3577">
        <w:rPr>
          <w:rFonts w:ascii="Calibri" w:eastAsia="Times New Roman" w:hAnsi="Calibri" w:cs="Calibri"/>
          <w:color w:val="000000" w:themeColor="text1"/>
          <w:sz w:val="24"/>
          <w:szCs w:val="24"/>
        </w:rPr>
        <w:t>D</w:t>
      </w:r>
      <w:r w:rsidRPr="00D50E06">
        <w:rPr>
          <w:rFonts w:ascii="Calibri" w:eastAsia="Times New Roman" w:hAnsi="Calibri" w:cs="Calibri"/>
          <w:color w:val="000000" w:themeColor="text1"/>
          <w:sz w:val="24"/>
          <w:szCs w:val="24"/>
        </w:rPr>
        <w:t xml:space="preserve">ynamic </w:t>
      </w:r>
      <w:r w:rsidR="00E946DE">
        <w:rPr>
          <w:rFonts w:ascii="Calibri" w:eastAsia="Times New Roman" w:hAnsi="Calibri" w:cs="Calibri"/>
          <w:color w:val="000000" w:themeColor="text1"/>
          <w:sz w:val="24"/>
          <w:szCs w:val="24"/>
        </w:rPr>
        <w:t>EWMA</w:t>
      </w:r>
      <w:r w:rsidRPr="00D50E06">
        <w:rPr>
          <w:rFonts w:ascii="Calibri" w:eastAsia="Times New Roman" w:hAnsi="Calibri" w:cs="Calibri"/>
          <w:color w:val="000000" w:themeColor="text1"/>
          <w:sz w:val="24"/>
          <w:szCs w:val="24"/>
        </w:rPr>
        <w:t xml:space="preserve"> model (Figure B.1.3) and the GJR-</w:t>
      </w:r>
      <w:proofErr w:type="gramStart"/>
      <w:r w:rsidRPr="00D50E06">
        <w:rPr>
          <w:rFonts w:ascii="Calibri" w:eastAsia="Times New Roman" w:hAnsi="Calibri" w:cs="Calibri"/>
          <w:color w:val="000000" w:themeColor="text1"/>
          <w:sz w:val="24"/>
          <w:szCs w:val="24"/>
        </w:rPr>
        <w:t>GARCH(</w:t>
      </w:r>
      <w:proofErr w:type="gramEnd"/>
      <w:r w:rsidRPr="00D50E06">
        <w:rPr>
          <w:rFonts w:ascii="Calibri" w:eastAsia="Times New Roman" w:hAnsi="Calibri" w:cs="Calibri"/>
          <w:color w:val="000000" w:themeColor="text1"/>
          <w:sz w:val="24"/>
          <w:szCs w:val="24"/>
        </w:rPr>
        <w:t xml:space="preserve">1,1) model (Figure B.1.4) successfully </w:t>
      </w:r>
      <w:proofErr w:type="gramStart"/>
      <w:r w:rsidRPr="00D50E06">
        <w:rPr>
          <w:rFonts w:ascii="Calibri" w:eastAsia="Times New Roman" w:hAnsi="Calibri" w:cs="Calibri"/>
          <w:color w:val="000000" w:themeColor="text1"/>
          <w:sz w:val="24"/>
          <w:szCs w:val="24"/>
        </w:rPr>
        <w:t>pass</w:t>
      </w:r>
      <w:proofErr w:type="gramEnd"/>
      <w:r w:rsidRPr="00D50E06">
        <w:rPr>
          <w:rFonts w:ascii="Calibri" w:eastAsia="Times New Roman" w:hAnsi="Calibri" w:cs="Calibri"/>
          <w:color w:val="000000" w:themeColor="text1"/>
          <w:sz w:val="24"/>
          <w:szCs w:val="24"/>
        </w:rPr>
        <w:t xml:space="preserve"> the Kupiec test with 34 breaches each </w:t>
      </w:r>
      <w:r w:rsidR="00AC090B">
        <w:rPr>
          <w:rFonts w:ascii="Calibri" w:eastAsia="Times New Roman" w:hAnsi="Calibri" w:cs="Calibri"/>
          <w:color w:val="000000" w:themeColor="text1"/>
          <w:sz w:val="24"/>
          <w:szCs w:val="24"/>
        </w:rPr>
        <w:t>(</w:t>
      </w:r>
      <w:r w:rsidR="000661A8">
        <w:rPr>
          <w:rFonts w:ascii="Calibri" w:eastAsia="Times New Roman" w:hAnsi="Calibri" w:cs="Calibri"/>
          <w:i/>
          <w:iCs/>
          <w:color w:val="000000" w:themeColor="text1"/>
          <w:sz w:val="24"/>
          <w:szCs w:val="24"/>
        </w:rPr>
        <w:t xml:space="preserve">p </w:t>
      </w:r>
      <w:r w:rsidR="000661A8">
        <w:rPr>
          <w:rFonts w:ascii="Calibri" w:eastAsia="Times New Roman" w:hAnsi="Calibri" w:cs="Calibri"/>
          <w:color w:val="000000" w:themeColor="text1"/>
          <w:sz w:val="24"/>
          <w:szCs w:val="24"/>
        </w:rPr>
        <w:t>= 0.0830</w:t>
      </w:r>
      <w:r w:rsidRPr="00D50E06">
        <w:rPr>
          <w:rFonts w:ascii="Calibri" w:eastAsia="Times New Roman" w:hAnsi="Calibri" w:cs="Calibri"/>
          <w:color w:val="000000" w:themeColor="text1"/>
          <w:sz w:val="24"/>
          <w:szCs w:val="24"/>
        </w:rPr>
        <w:t>), effectively eliminating the penalties and artificial risk suppression characteristic of equal weight windows.</w:t>
      </w:r>
    </w:p>
    <w:p w14:paraId="7538A3FE" w14:textId="54BA71E3" w:rsidR="00D50E06" w:rsidRPr="00D50E06" w:rsidRDefault="00D50E06" w:rsidP="00D50E06">
      <w:pPr>
        <w:spacing w:after="0" w:line="480" w:lineRule="auto"/>
        <w:ind w:firstLine="720"/>
        <w:contextualSpacing/>
        <w:rPr>
          <w:rFonts w:ascii="Calibri" w:eastAsia="Times New Roman" w:hAnsi="Calibri" w:cs="Calibri"/>
          <w:color w:val="000000" w:themeColor="text1"/>
          <w:sz w:val="24"/>
          <w:szCs w:val="24"/>
        </w:rPr>
      </w:pPr>
      <w:r w:rsidRPr="00D50E06">
        <w:rPr>
          <w:rFonts w:ascii="Calibri" w:eastAsia="Times New Roman" w:hAnsi="Calibri" w:cs="Calibri"/>
          <w:color w:val="000000" w:themeColor="text1"/>
          <w:sz w:val="24"/>
          <w:szCs w:val="24"/>
        </w:rPr>
        <w:t xml:space="preserve">For the diversified multi-asset portfolio, the rolling historical model records 29 breaches (Figure B.2.1; </w:t>
      </w:r>
      <w:r w:rsidR="00050490">
        <w:rPr>
          <w:rFonts w:ascii="Calibri" w:eastAsia="Times New Roman" w:hAnsi="Calibri" w:cs="Calibri"/>
          <w:i/>
          <w:iCs/>
          <w:color w:val="000000" w:themeColor="text1"/>
          <w:sz w:val="24"/>
          <w:szCs w:val="24"/>
        </w:rPr>
        <w:t xml:space="preserve">p </w:t>
      </w:r>
      <w:r w:rsidR="00050490">
        <w:rPr>
          <w:rFonts w:ascii="Calibri" w:eastAsia="Times New Roman" w:hAnsi="Calibri" w:cs="Calibri"/>
          <w:color w:val="000000" w:themeColor="text1"/>
          <w:sz w:val="24"/>
          <w:szCs w:val="24"/>
        </w:rPr>
        <w:t>= 0.4352</w:t>
      </w:r>
      <w:r w:rsidRPr="00D50E06">
        <w:rPr>
          <w:rFonts w:ascii="Calibri" w:eastAsia="Times New Roman" w:hAnsi="Calibri" w:cs="Calibri"/>
          <w:color w:val="000000" w:themeColor="text1"/>
          <w:sz w:val="24"/>
          <w:szCs w:val="24"/>
        </w:rPr>
        <w:t xml:space="preserve">), the rolling parametric model records 31 breaches (Figure B.2.2; </w:t>
      </w:r>
      <w:r w:rsidR="00050490">
        <w:rPr>
          <w:rFonts w:ascii="Calibri" w:eastAsia="Times New Roman" w:hAnsi="Calibri" w:cs="Calibri"/>
          <w:i/>
          <w:iCs/>
          <w:color w:val="000000" w:themeColor="text1"/>
          <w:sz w:val="24"/>
          <w:szCs w:val="24"/>
        </w:rPr>
        <w:t>p</w:t>
      </w:r>
      <w:r w:rsidR="00050490">
        <w:rPr>
          <w:rFonts w:ascii="Calibri" w:eastAsia="Times New Roman" w:hAnsi="Calibri" w:cs="Calibri"/>
          <w:color w:val="000000" w:themeColor="text1"/>
          <w:sz w:val="24"/>
          <w:szCs w:val="24"/>
        </w:rPr>
        <w:t xml:space="preserve"> = </w:t>
      </w:r>
      <w:r w:rsidR="00534970">
        <w:rPr>
          <w:rFonts w:ascii="Calibri" w:eastAsia="Times New Roman" w:hAnsi="Calibri" w:cs="Calibri"/>
          <w:color w:val="000000" w:themeColor="text1"/>
          <w:sz w:val="24"/>
          <w:szCs w:val="24"/>
        </w:rPr>
        <w:t>0.2431</w:t>
      </w:r>
      <w:r w:rsidRPr="00D50E06">
        <w:rPr>
          <w:rFonts w:ascii="Calibri" w:eastAsia="Times New Roman" w:hAnsi="Calibri" w:cs="Calibri"/>
          <w:color w:val="000000" w:themeColor="text1"/>
          <w:sz w:val="24"/>
          <w:szCs w:val="24"/>
        </w:rPr>
        <w:t xml:space="preserve">), the </w:t>
      </w:r>
      <w:r w:rsidR="00E946DE">
        <w:rPr>
          <w:rFonts w:ascii="Calibri" w:eastAsia="Times New Roman" w:hAnsi="Calibri" w:cs="Calibri"/>
          <w:color w:val="000000" w:themeColor="text1"/>
          <w:sz w:val="24"/>
          <w:szCs w:val="24"/>
        </w:rPr>
        <w:t>EWMA</w:t>
      </w:r>
      <w:r w:rsidRPr="00D50E06">
        <w:rPr>
          <w:rFonts w:ascii="Calibri" w:eastAsia="Times New Roman" w:hAnsi="Calibri" w:cs="Calibri"/>
          <w:color w:val="000000" w:themeColor="text1"/>
          <w:sz w:val="24"/>
          <w:szCs w:val="24"/>
        </w:rPr>
        <w:t xml:space="preserve"> records 26 breaches (Figure B.2.3; </w:t>
      </w:r>
      <w:proofErr w:type="gramStart"/>
      <w:r w:rsidR="00534970">
        <w:rPr>
          <w:rFonts w:ascii="Calibri" w:eastAsia="Times New Roman" w:hAnsi="Calibri" w:cs="Calibri"/>
          <w:i/>
          <w:iCs/>
          <w:color w:val="000000" w:themeColor="text1"/>
          <w:sz w:val="24"/>
          <w:szCs w:val="24"/>
        </w:rPr>
        <w:t xml:space="preserve">p </w:t>
      </w:r>
      <w:r w:rsidR="00534970">
        <w:rPr>
          <w:rFonts w:ascii="Calibri" w:eastAsia="Times New Roman" w:hAnsi="Calibri" w:cs="Calibri"/>
          <w:color w:val="000000" w:themeColor="text1"/>
          <w:sz w:val="24"/>
          <w:szCs w:val="24"/>
        </w:rPr>
        <w:t xml:space="preserve"> =</w:t>
      </w:r>
      <w:proofErr w:type="gramEnd"/>
      <w:r w:rsidR="00534970">
        <w:rPr>
          <w:rFonts w:ascii="Calibri" w:eastAsia="Times New Roman" w:hAnsi="Calibri" w:cs="Calibri"/>
          <w:color w:val="000000" w:themeColor="text1"/>
          <w:sz w:val="24"/>
          <w:szCs w:val="24"/>
        </w:rPr>
        <w:t xml:space="preserve"> 0.8546</w:t>
      </w:r>
      <w:r w:rsidRPr="00D50E06">
        <w:rPr>
          <w:rFonts w:ascii="Calibri" w:eastAsia="Times New Roman" w:hAnsi="Calibri" w:cs="Calibri"/>
          <w:color w:val="000000" w:themeColor="text1"/>
          <w:sz w:val="24"/>
          <w:szCs w:val="24"/>
        </w:rPr>
        <w:t>), the GJR-</w:t>
      </w:r>
      <w:proofErr w:type="gramStart"/>
      <w:r w:rsidRPr="00D50E06">
        <w:rPr>
          <w:rFonts w:ascii="Calibri" w:eastAsia="Times New Roman" w:hAnsi="Calibri" w:cs="Calibri"/>
          <w:color w:val="000000" w:themeColor="text1"/>
          <w:sz w:val="24"/>
          <w:szCs w:val="24"/>
        </w:rPr>
        <w:t>GARCH(</w:t>
      </w:r>
      <w:proofErr w:type="gramEnd"/>
      <w:r w:rsidRPr="00D50E06">
        <w:rPr>
          <w:rFonts w:ascii="Calibri" w:eastAsia="Times New Roman" w:hAnsi="Calibri" w:cs="Calibri"/>
          <w:color w:val="000000" w:themeColor="text1"/>
          <w:sz w:val="24"/>
          <w:szCs w:val="24"/>
        </w:rPr>
        <w:t xml:space="preserve">1,1) model records 39 breaches (Figure B.2.4; </w:t>
      </w:r>
      <w:r w:rsidR="00534970">
        <w:rPr>
          <w:rFonts w:ascii="Calibri" w:eastAsia="Times New Roman" w:hAnsi="Calibri" w:cs="Calibri"/>
          <w:i/>
          <w:iCs/>
          <w:color w:val="000000" w:themeColor="text1"/>
          <w:sz w:val="24"/>
          <w:szCs w:val="24"/>
        </w:rPr>
        <w:t xml:space="preserve">p </w:t>
      </w:r>
      <w:r w:rsidR="00534970">
        <w:rPr>
          <w:rFonts w:ascii="Calibri" w:eastAsia="Times New Roman" w:hAnsi="Calibri" w:cs="Calibri"/>
          <w:color w:val="000000" w:themeColor="text1"/>
          <w:sz w:val="24"/>
          <w:szCs w:val="24"/>
        </w:rPr>
        <w:t>= 0.0082</w:t>
      </w:r>
      <w:r w:rsidRPr="00D50E06">
        <w:rPr>
          <w:rFonts w:ascii="Calibri" w:eastAsia="Times New Roman" w:hAnsi="Calibri" w:cs="Calibri"/>
          <w:color w:val="000000" w:themeColor="text1"/>
          <w:sz w:val="24"/>
          <w:szCs w:val="24"/>
        </w:rPr>
        <w:t xml:space="preserve">), and the </w:t>
      </w:r>
      <w:r w:rsidR="00AF088B">
        <w:rPr>
          <w:rFonts w:ascii="Calibri" w:eastAsia="Times New Roman" w:hAnsi="Calibri" w:cs="Calibri"/>
          <w:color w:val="000000" w:themeColor="text1"/>
          <w:sz w:val="24"/>
          <w:szCs w:val="24"/>
        </w:rPr>
        <w:t>FHS</w:t>
      </w:r>
      <w:r w:rsidRPr="00D50E06">
        <w:rPr>
          <w:rFonts w:ascii="Calibri" w:eastAsia="Times New Roman" w:hAnsi="Calibri" w:cs="Calibri"/>
          <w:color w:val="000000" w:themeColor="text1"/>
          <w:sz w:val="24"/>
          <w:szCs w:val="24"/>
        </w:rPr>
        <w:t xml:space="preserve"> records 30 breaches (Figure B.2.5; </w:t>
      </w:r>
      <w:r w:rsidR="00534970">
        <w:rPr>
          <w:rFonts w:ascii="Calibri" w:eastAsia="Times New Roman" w:hAnsi="Calibri" w:cs="Calibri"/>
          <w:i/>
          <w:iCs/>
          <w:color w:val="000000" w:themeColor="text1"/>
          <w:sz w:val="24"/>
          <w:szCs w:val="24"/>
        </w:rPr>
        <w:t xml:space="preserve">p </w:t>
      </w:r>
      <w:r w:rsidR="00534970">
        <w:rPr>
          <w:rFonts w:ascii="Calibri" w:eastAsia="Times New Roman" w:hAnsi="Calibri" w:cs="Calibri"/>
          <w:color w:val="000000" w:themeColor="text1"/>
          <w:sz w:val="24"/>
          <w:szCs w:val="24"/>
        </w:rPr>
        <w:t>= 0.3296)</w:t>
      </w:r>
      <w:r w:rsidRPr="00D50E06">
        <w:rPr>
          <w:rFonts w:ascii="Calibri" w:eastAsia="Times New Roman" w:hAnsi="Calibri" w:cs="Calibri"/>
          <w:color w:val="000000" w:themeColor="text1"/>
          <w:sz w:val="24"/>
          <w:szCs w:val="24"/>
        </w:rPr>
        <w:t>. Furthermore, the static rolling models fail the Christoffersen independence test for this allocation (</w:t>
      </w:r>
      <w:r w:rsidR="00534970">
        <w:rPr>
          <w:rFonts w:ascii="Calibri" w:eastAsia="Times New Roman" w:hAnsi="Calibri" w:cs="Calibri"/>
          <w:i/>
          <w:iCs/>
          <w:color w:val="000000" w:themeColor="text1"/>
          <w:sz w:val="24"/>
          <w:szCs w:val="24"/>
        </w:rPr>
        <w:t>p</w:t>
      </w:r>
      <w:r w:rsidRPr="00534970">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 xml:space="preserve">values of </w:t>
      </w:r>
      <w:r w:rsidR="00534970">
        <w:rPr>
          <w:rFonts w:ascii="Calibri" w:eastAsia="Times New Roman" w:hAnsi="Calibri" w:cs="Calibri"/>
          <w:color w:val="000000" w:themeColor="text1"/>
          <w:sz w:val="24"/>
          <w:szCs w:val="24"/>
        </w:rPr>
        <w:t>0.0005</w:t>
      </w:r>
      <w:r w:rsidRPr="00D50E06">
        <w:rPr>
          <w:rFonts w:ascii="Calibri" w:eastAsia="Times New Roman" w:hAnsi="Calibri" w:cs="Calibri"/>
          <w:color w:val="000000" w:themeColor="text1"/>
          <w:sz w:val="24"/>
          <w:szCs w:val="24"/>
        </w:rPr>
        <w:t xml:space="preserve"> and </w:t>
      </w:r>
      <w:r w:rsidR="00534970">
        <w:rPr>
          <w:rFonts w:ascii="Calibri" w:eastAsia="Times New Roman" w:hAnsi="Calibri" w:cs="Calibri"/>
          <w:color w:val="000000" w:themeColor="text1"/>
          <w:sz w:val="24"/>
          <w:szCs w:val="24"/>
        </w:rPr>
        <w:t>0.0077</w:t>
      </w:r>
      <w:r w:rsidR="00D4095E">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 xml:space="preserve"> respectively), invalidating the assumption of independent and identically distributed exceptions due to clustering. Conversely, the </w:t>
      </w:r>
      <w:r w:rsidR="006E3577">
        <w:rPr>
          <w:rFonts w:ascii="Calibri" w:eastAsia="Times New Roman" w:hAnsi="Calibri" w:cs="Calibri"/>
          <w:color w:val="000000" w:themeColor="text1"/>
          <w:sz w:val="24"/>
          <w:szCs w:val="24"/>
        </w:rPr>
        <w:t>D</w:t>
      </w:r>
      <w:r w:rsidRPr="00D50E06">
        <w:rPr>
          <w:rFonts w:ascii="Calibri" w:eastAsia="Times New Roman" w:hAnsi="Calibri" w:cs="Calibri"/>
          <w:color w:val="000000" w:themeColor="text1"/>
          <w:sz w:val="24"/>
          <w:szCs w:val="24"/>
        </w:rPr>
        <w:t xml:space="preserve">ynamic </w:t>
      </w:r>
      <w:r w:rsidR="00E946DE">
        <w:rPr>
          <w:rFonts w:ascii="Calibri" w:eastAsia="Times New Roman" w:hAnsi="Calibri" w:cs="Calibri"/>
          <w:color w:val="000000" w:themeColor="text1"/>
          <w:sz w:val="24"/>
          <w:szCs w:val="24"/>
        </w:rPr>
        <w:t>EWMA</w:t>
      </w:r>
      <w:r w:rsidRPr="00D50E06">
        <w:rPr>
          <w:rFonts w:ascii="Calibri" w:eastAsia="Times New Roman" w:hAnsi="Calibri" w:cs="Calibri"/>
          <w:color w:val="000000" w:themeColor="text1"/>
          <w:sz w:val="24"/>
          <w:szCs w:val="24"/>
        </w:rPr>
        <w:t>, GJR-</w:t>
      </w:r>
      <w:proofErr w:type="gramStart"/>
      <w:r w:rsidRPr="00D50E06">
        <w:rPr>
          <w:rFonts w:ascii="Calibri" w:eastAsia="Times New Roman" w:hAnsi="Calibri" w:cs="Calibri"/>
          <w:color w:val="000000" w:themeColor="text1"/>
          <w:sz w:val="24"/>
          <w:szCs w:val="24"/>
        </w:rPr>
        <w:t>GARCH(</w:t>
      </w:r>
      <w:proofErr w:type="gramEnd"/>
      <w:r w:rsidRPr="00D50E06">
        <w:rPr>
          <w:rFonts w:ascii="Calibri" w:eastAsia="Times New Roman" w:hAnsi="Calibri" w:cs="Calibri"/>
          <w:color w:val="000000" w:themeColor="text1"/>
          <w:sz w:val="24"/>
          <w:szCs w:val="24"/>
        </w:rPr>
        <w:t xml:space="preserve">1,1), and </w:t>
      </w:r>
      <w:r w:rsidR="00AF088B">
        <w:rPr>
          <w:rFonts w:ascii="Calibri" w:eastAsia="Times New Roman" w:hAnsi="Calibri" w:cs="Calibri"/>
          <w:color w:val="000000" w:themeColor="text1"/>
          <w:sz w:val="24"/>
          <w:szCs w:val="24"/>
        </w:rPr>
        <w:t>FHS</w:t>
      </w:r>
      <w:r w:rsidRPr="00D50E06">
        <w:rPr>
          <w:rFonts w:ascii="Calibri" w:eastAsia="Times New Roman" w:hAnsi="Calibri" w:cs="Calibri"/>
          <w:color w:val="000000" w:themeColor="text1"/>
          <w:sz w:val="24"/>
          <w:szCs w:val="24"/>
        </w:rPr>
        <w:t xml:space="preserve"> frameworks maintain statistical independence </w:t>
      </w:r>
      <w:r w:rsidR="00BE6802">
        <w:rPr>
          <w:rFonts w:ascii="Calibri" w:eastAsia="Times New Roman" w:hAnsi="Calibri" w:cs="Calibri"/>
          <w:color w:val="000000" w:themeColor="text1"/>
          <w:sz w:val="24"/>
          <w:szCs w:val="24"/>
        </w:rPr>
        <w:t>with</w:t>
      </w:r>
      <w:r w:rsidRPr="00D50E06">
        <w:rPr>
          <w:rFonts w:ascii="Calibri" w:eastAsia="Times New Roman" w:hAnsi="Calibri" w:cs="Calibri"/>
          <w:color w:val="000000" w:themeColor="text1"/>
          <w:sz w:val="24"/>
          <w:szCs w:val="24"/>
        </w:rPr>
        <w:t xml:space="preserve"> Christoffersen independence </w:t>
      </w:r>
      <w:r w:rsidR="00D4095E" w:rsidRPr="00D4095E">
        <w:rPr>
          <w:rFonts w:ascii="Calibri" w:eastAsia="Times New Roman" w:hAnsi="Calibri" w:cs="Calibri"/>
          <w:color w:val="000000" w:themeColor="text1"/>
          <w:sz w:val="24"/>
          <w:szCs w:val="24"/>
        </w:rPr>
        <w:t>p</w:t>
      </w:r>
      <w:r w:rsidR="00D4095E">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 xml:space="preserve">values of </w:t>
      </w:r>
      <w:r w:rsidR="00D4095E">
        <w:rPr>
          <w:rFonts w:ascii="Calibri" w:eastAsia="Times New Roman" w:hAnsi="Calibri" w:cs="Calibri"/>
          <w:color w:val="000000" w:themeColor="text1"/>
          <w:sz w:val="24"/>
          <w:szCs w:val="24"/>
        </w:rPr>
        <w:t>0.5440</w:t>
      </w:r>
      <w:r w:rsidRPr="00D50E06">
        <w:rPr>
          <w:rFonts w:ascii="Calibri" w:eastAsia="Times New Roman" w:hAnsi="Calibri" w:cs="Calibri"/>
          <w:color w:val="000000" w:themeColor="text1"/>
          <w:sz w:val="24"/>
          <w:szCs w:val="24"/>
        </w:rPr>
        <w:t xml:space="preserve">, </w:t>
      </w:r>
      <w:r w:rsidR="00D4095E">
        <w:rPr>
          <w:rFonts w:ascii="Calibri" w:eastAsia="Times New Roman" w:hAnsi="Calibri" w:cs="Calibri"/>
          <w:color w:val="000000" w:themeColor="text1"/>
          <w:sz w:val="24"/>
          <w:szCs w:val="24"/>
        </w:rPr>
        <w:t>0.9790</w:t>
      </w:r>
      <w:r w:rsidRPr="00D50E06">
        <w:rPr>
          <w:rFonts w:ascii="Calibri" w:eastAsia="Times New Roman" w:hAnsi="Calibri" w:cs="Calibri"/>
          <w:color w:val="000000" w:themeColor="text1"/>
          <w:sz w:val="24"/>
          <w:szCs w:val="24"/>
        </w:rPr>
        <w:t xml:space="preserve">, and </w:t>
      </w:r>
      <w:r w:rsidR="00D4095E">
        <w:rPr>
          <w:rFonts w:ascii="Calibri" w:eastAsia="Times New Roman" w:hAnsi="Calibri" w:cs="Calibri"/>
          <w:color w:val="000000" w:themeColor="text1"/>
          <w:sz w:val="24"/>
          <w:szCs w:val="24"/>
        </w:rPr>
        <w:t>0.8352</w:t>
      </w:r>
      <w:r w:rsidR="00BE6802">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 xml:space="preserve"> respectively, confirming that asset decorrelation and conditional volatility scaling stabilize exception distributions over time.</w:t>
      </w:r>
    </w:p>
    <w:p w14:paraId="2139465E" w14:textId="14DFE4DC" w:rsidR="007F4F17" w:rsidRPr="007F4F17" w:rsidRDefault="007F4F17" w:rsidP="007F4F17">
      <w:pPr>
        <w:spacing w:after="0" w:line="480" w:lineRule="auto"/>
        <w:contextualSpacing/>
        <w:rPr>
          <w:rFonts w:ascii="Calibri" w:eastAsia="Times New Roman" w:hAnsi="Calibri" w:cs="Calibri"/>
          <w:b/>
          <w:bCs/>
          <w:color w:val="000000" w:themeColor="text1"/>
          <w:sz w:val="24"/>
          <w:szCs w:val="24"/>
        </w:rPr>
      </w:pPr>
      <w:r w:rsidRPr="007F4F17">
        <w:rPr>
          <w:rFonts w:ascii="Calibri" w:eastAsia="Times New Roman" w:hAnsi="Calibri" w:cs="Calibri"/>
          <w:b/>
          <w:bCs/>
          <w:color w:val="000000" w:themeColor="text1"/>
          <w:sz w:val="24"/>
          <w:szCs w:val="24"/>
        </w:rPr>
        <w:t>Conclusion</w:t>
      </w:r>
      <w:r w:rsidR="00AB3906">
        <w:rPr>
          <w:rFonts w:ascii="Calibri" w:eastAsia="Times New Roman" w:hAnsi="Calibri" w:cs="Calibri"/>
          <w:b/>
          <w:bCs/>
          <w:color w:val="000000" w:themeColor="text1"/>
          <w:sz w:val="24"/>
          <w:szCs w:val="24"/>
        </w:rPr>
        <w:t>/Discussion</w:t>
      </w:r>
    </w:p>
    <w:p w14:paraId="2D4D4171" w14:textId="53CF3FAE" w:rsidR="007F4F17" w:rsidRPr="007F4F17" w:rsidRDefault="007F4F17" w:rsidP="007F4F17">
      <w:pPr>
        <w:spacing w:after="0" w:line="480" w:lineRule="auto"/>
        <w:ind w:firstLine="720"/>
        <w:contextualSpacing/>
        <w:rPr>
          <w:rFonts w:ascii="Calibri" w:eastAsia="Times New Roman" w:hAnsi="Calibri" w:cs="Calibri"/>
          <w:color w:val="000000" w:themeColor="text1"/>
          <w:sz w:val="24"/>
          <w:szCs w:val="24"/>
        </w:rPr>
      </w:pPr>
      <w:r w:rsidRPr="007F4F17">
        <w:rPr>
          <w:rFonts w:ascii="Calibri" w:eastAsia="Times New Roman" w:hAnsi="Calibri" w:cs="Calibri"/>
          <w:color w:val="000000" w:themeColor="text1"/>
          <w:sz w:val="24"/>
          <w:szCs w:val="24"/>
        </w:rPr>
        <w:t xml:space="preserve">This study demonstrates that </w:t>
      </w:r>
      <w:r w:rsidR="000A373C" w:rsidRPr="007F4F17">
        <w:rPr>
          <w:rFonts w:ascii="Calibri" w:eastAsia="Times New Roman" w:hAnsi="Calibri" w:cs="Calibri"/>
          <w:color w:val="000000" w:themeColor="text1"/>
          <w:sz w:val="24"/>
          <w:szCs w:val="24"/>
        </w:rPr>
        <w:t>conventional</w:t>
      </w:r>
      <w:r w:rsidRPr="007F4F17">
        <w:rPr>
          <w:rFonts w:ascii="Calibri" w:eastAsia="Times New Roman" w:hAnsi="Calibri" w:cs="Calibri"/>
          <w:color w:val="000000" w:themeColor="text1"/>
          <w:sz w:val="24"/>
          <w:szCs w:val="24"/>
        </w:rPr>
        <w:t xml:space="preserve"> risk management models </w:t>
      </w:r>
      <w:r w:rsidR="001E6CA3">
        <w:rPr>
          <w:rFonts w:ascii="Calibri" w:eastAsia="Times New Roman" w:hAnsi="Calibri" w:cs="Calibri"/>
          <w:color w:val="000000" w:themeColor="text1"/>
          <w:sz w:val="24"/>
          <w:szCs w:val="24"/>
        </w:rPr>
        <w:t>that use</w:t>
      </w:r>
      <w:r w:rsidRPr="007F4F17">
        <w:rPr>
          <w:rFonts w:ascii="Calibri" w:eastAsia="Times New Roman" w:hAnsi="Calibri" w:cs="Calibri"/>
          <w:color w:val="000000" w:themeColor="text1"/>
          <w:sz w:val="24"/>
          <w:szCs w:val="24"/>
        </w:rPr>
        <w:t xml:space="preserve"> static lookback windows and </w:t>
      </w:r>
      <w:r w:rsidR="000E7526">
        <w:rPr>
          <w:rFonts w:ascii="Calibri" w:eastAsia="Times New Roman" w:hAnsi="Calibri" w:cs="Calibri"/>
          <w:color w:val="000000" w:themeColor="text1"/>
          <w:sz w:val="24"/>
          <w:szCs w:val="24"/>
        </w:rPr>
        <w:t xml:space="preserve">normally </w:t>
      </w:r>
      <w:r w:rsidR="00E20399">
        <w:rPr>
          <w:rFonts w:ascii="Calibri" w:eastAsia="Times New Roman" w:hAnsi="Calibri" w:cs="Calibri"/>
          <w:color w:val="000000" w:themeColor="text1"/>
          <w:sz w:val="24"/>
          <w:szCs w:val="24"/>
        </w:rPr>
        <w:t>distributed</w:t>
      </w:r>
      <w:r w:rsidRPr="007F4F17">
        <w:rPr>
          <w:rFonts w:ascii="Calibri" w:eastAsia="Times New Roman" w:hAnsi="Calibri" w:cs="Calibri"/>
          <w:color w:val="000000" w:themeColor="text1"/>
          <w:sz w:val="24"/>
          <w:szCs w:val="24"/>
        </w:rPr>
        <w:t xml:space="preserve"> assumptions are inadequate for capturing </w:t>
      </w:r>
      <w:r w:rsidR="00BE6802">
        <w:rPr>
          <w:rFonts w:ascii="Calibri" w:eastAsia="Times New Roman" w:hAnsi="Calibri" w:cs="Calibri"/>
          <w:color w:val="000000" w:themeColor="text1"/>
          <w:sz w:val="24"/>
          <w:szCs w:val="24"/>
        </w:rPr>
        <w:t xml:space="preserve">periods </w:t>
      </w:r>
      <w:r w:rsidR="00BE6802">
        <w:rPr>
          <w:rFonts w:ascii="Calibri" w:eastAsia="Times New Roman" w:hAnsi="Calibri" w:cs="Calibri"/>
          <w:color w:val="000000" w:themeColor="text1"/>
          <w:sz w:val="24"/>
          <w:szCs w:val="24"/>
        </w:rPr>
        <w:lastRenderedPageBreak/>
        <w:t xml:space="preserve">of </w:t>
      </w:r>
      <w:r w:rsidRPr="007F4F17">
        <w:rPr>
          <w:rFonts w:ascii="Calibri" w:eastAsia="Times New Roman" w:hAnsi="Calibri" w:cs="Calibri"/>
          <w:color w:val="000000" w:themeColor="text1"/>
          <w:sz w:val="24"/>
          <w:szCs w:val="24"/>
        </w:rPr>
        <w:t xml:space="preserve">market panic. By evaluating </w:t>
      </w:r>
      <w:r w:rsidR="0083741F">
        <w:rPr>
          <w:rFonts w:ascii="Calibri" w:eastAsia="Times New Roman" w:hAnsi="Calibri" w:cs="Calibri"/>
          <w:color w:val="000000" w:themeColor="text1"/>
          <w:sz w:val="24"/>
          <w:szCs w:val="24"/>
        </w:rPr>
        <w:t xml:space="preserve">both </w:t>
      </w:r>
      <w:r w:rsidRPr="007F4F17">
        <w:rPr>
          <w:rFonts w:ascii="Calibri" w:eastAsia="Times New Roman" w:hAnsi="Calibri" w:cs="Calibri"/>
          <w:color w:val="000000" w:themeColor="text1"/>
          <w:sz w:val="24"/>
          <w:szCs w:val="24"/>
        </w:rPr>
        <w:t xml:space="preserve">a concentrated financials </w:t>
      </w:r>
      <w:r w:rsidR="004846F8">
        <w:rPr>
          <w:rFonts w:ascii="Calibri" w:eastAsia="Times New Roman" w:hAnsi="Calibri" w:cs="Calibri"/>
          <w:color w:val="000000" w:themeColor="text1"/>
          <w:sz w:val="24"/>
          <w:szCs w:val="24"/>
        </w:rPr>
        <w:t xml:space="preserve">portfolio </w:t>
      </w:r>
      <w:r w:rsidRPr="007F4F17">
        <w:rPr>
          <w:rFonts w:ascii="Calibri" w:eastAsia="Times New Roman" w:hAnsi="Calibri" w:cs="Calibri"/>
          <w:color w:val="000000" w:themeColor="text1"/>
          <w:sz w:val="24"/>
          <w:szCs w:val="24"/>
        </w:rPr>
        <w:t xml:space="preserve">and a diversified multi-asset </w:t>
      </w:r>
      <w:r w:rsidR="004C0A85">
        <w:rPr>
          <w:rFonts w:ascii="Calibri" w:eastAsia="Times New Roman" w:hAnsi="Calibri" w:cs="Calibri"/>
          <w:color w:val="000000" w:themeColor="text1"/>
          <w:sz w:val="24"/>
          <w:szCs w:val="24"/>
        </w:rPr>
        <w:t xml:space="preserve">portfolio </w:t>
      </w:r>
      <w:r w:rsidRPr="007F4F17">
        <w:rPr>
          <w:rFonts w:ascii="Calibri" w:eastAsia="Times New Roman" w:hAnsi="Calibri" w:cs="Calibri"/>
          <w:color w:val="000000" w:themeColor="text1"/>
          <w:sz w:val="24"/>
          <w:szCs w:val="24"/>
        </w:rPr>
        <w:t xml:space="preserve">through rolling historical, parametric, EWMA, GJR-GARCH, and </w:t>
      </w:r>
      <w:r w:rsidR="00AF088B">
        <w:rPr>
          <w:rFonts w:ascii="Calibri" w:eastAsia="Times New Roman" w:hAnsi="Calibri" w:cs="Calibri"/>
          <w:color w:val="000000" w:themeColor="text1"/>
          <w:sz w:val="24"/>
          <w:szCs w:val="24"/>
        </w:rPr>
        <w:t>FHS</w:t>
      </w:r>
      <w:r w:rsidRPr="007F4F17">
        <w:rPr>
          <w:rFonts w:ascii="Calibri" w:eastAsia="Times New Roman" w:hAnsi="Calibri" w:cs="Calibri"/>
          <w:color w:val="000000" w:themeColor="text1"/>
          <w:sz w:val="24"/>
          <w:szCs w:val="24"/>
        </w:rPr>
        <w:t xml:space="preserve"> </w:t>
      </w:r>
      <w:r w:rsidR="000B2174">
        <w:rPr>
          <w:rFonts w:ascii="Calibri" w:eastAsia="Times New Roman" w:hAnsi="Calibri" w:cs="Calibri"/>
          <w:color w:val="000000" w:themeColor="text1"/>
          <w:sz w:val="24"/>
          <w:szCs w:val="24"/>
        </w:rPr>
        <w:t>model</w:t>
      </w:r>
      <w:r w:rsidRPr="007F4F17">
        <w:rPr>
          <w:rFonts w:ascii="Calibri" w:eastAsia="Times New Roman" w:hAnsi="Calibri" w:cs="Calibri"/>
          <w:color w:val="000000" w:themeColor="text1"/>
          <w:sz w:val="24"/>
          <w:szCs w:val="24"/>
        </w:rPr>
        <w:t xml:space="preserve">, the </w:t>
      </w:r>
      <w:r w:rsidR="004C0A85">
        <w:rPr>
          <w:rFonts w:ascii="Calibri" w:eastAsia="Times New Roman" w:hAnsi="Calibri" w:cs="Calibri"/>
          <w:color w:val="000000" w:themeColor="text1"/>
          <w:sz w:val="24"/>
          <w:szCs w:val="24"/>
        </w:rPr>
        <w:t>results</w:t>
      </w:r>
      <w:r w:rsidRPr="007F4F17">
        <w:rPr>
          <w:rFonts w:ascii="Calibri" w:eastAsia="Times New Roman" w:hAnsi="Calibri" w:cs="Calibri"/>
          <w:color w:val="000000" w:themeColor="text1"/>
          <w:sz w:val="24"/>
          <w:szCs w:val="24"/>
        </w:rPr>
        <w:t xml:space="preserve"> confirm dynamic volatility scaling is </w:t>
      </w:r>
      <w:r w:rsidR="00B42460">
        <w:rPr>
          <w:rFonts w:ascii="Calibri" w:eastAsia="Times New Roman" w:hAnsi="Calibri" w:cs="Calibri"/>
          <w:color w:val="000000" w:themeColor="text1"/>
          <w:sz w:val="24"/>
          <w:szCs w:val="24"/>
        </w:rPr>
        <w:t>necessary</w:t>
      </w:r>
      <w:r w:rsidRPr="007F4F17">
        <w:rPr>
          <w:rFonts w:ascii="Calibri" w:eastAsia="Times New Roman" w:hAnsi="Calibri" w:cs="Calibri"/>
          <w:color w:val="000000" w:themeColor="text1"/>
          <w:sz w:val="24"/>
          <w:szCs w:val="24"/>
        </w:rPr>
        <w:t xml:space="preserve"> for </w:t>
      </w:r>
      <w:r w:rsidR="00BE1F6D">
        <w:rPr>
          <w:rFonts w:ascii="Calibri" w:eastAsia="Times New Roman" w:hAnsi="Calibri" w:cs="Calibri"/>
          <w:color w:val="000000" w:themeColor="text1"/>
          <w:sz w:val="24"/>
          <w:szCs w:val="24"/>
        </w:rPr>
        <w:t>reliable</w:t>
      </w:r>
      <w:r w:rsidRPr="007F4F17">
        <w:rPr>
          <w:rFonts w:ascii="Calibri" w:eastAsia="Times New Roman" w:hAnsi="Calibri" w:cs="Calibri"/>
          <w:color w:val="000000" w:themeColor="text1"/>
          <w:sz w:val="24"/>
          <w:szCs w:val="24"/>
        </w:rPr>
        <w:t xml:space="preserve"> risk measurement. Static models generate </w:t>
      </w:r>
      <w:r w:rsidR="00E62D0E">
        <w:rPr>
          <w:rFonts w:ascii="Calibri" w:eastAsia="Times New Roman" w:hAnsi="Calibri" w:cs="Calibri"/>
          <w:color w:val="000000" w:themeColor="text1"/>
          <w:sz w:val="24"/>
          <w:szCs w:val="24"/>
        </w:rPr>
        <w:t>significant</w:t>
      </w:r>
      <w:r w:rsidRPr="007F4F17">
        <w:rPr>
          <w:rFonts w:ascii="Calibri" w:eastAsia="Times New Roman" w:hAnsi="Calibri" w:cs="Calibri"/>
          <w:color w:val="000000" w:themeColor="text1"/>
          <w:sz w:val="24"/>
          <w:szCs w:val="24"/>
        </w:rPr>
        <w:t xml:space="preserve"> exception clustering and </w:t>
      </w:r>
      <w:r w:rsidR="007F5F31">
        <w:rPr>
          <w:rFonts w:ascii="Calibri" w:eastAsia="Times New Roman" w:hAnsi="Calibri" w:cs="Calibri"/>
          <w:color w:val="000000" w:themeColor="text1"/>
          <w:sz w:val="24"/>
          <w:szCs w:val="24"/>
        </w:rPr>
        <w:t>inaccurate</w:t>
      </w:r>
      <w:r w:rsidRPr="007F4F17">
        <w:rPr>
          <w:rFonts w:ascii="Calibri" w:eastAsia="Times New Roman" w:hAnsi="Calibri" w:cs="Calibri"/>
          <w:color w:val="000000" w:themeColor="text1"/>
          <w:sz w:val="24"/>
          <w:szCs w:val="24"/>
        </w:rPr>
        <w:t xml:space="preserve"> </w:t>
      </w:r>
      <w:r w:rsidR="00074F94">
        <w:rPr>
          <w:rFonts w:ascii="Calibri" w:eastAsia="Times New Roman" w:hAnsi="Calibri" w:cs="Calibri"/>
          <w:color w:val="000000" w:themeColor="text1"/>
          <w:sz w:val="24"/>
          <w:szCs w:val="24"/>
        </w:rPr>
        <w:t>VaR</w:t>
      </w:r>
      <w:r w:rsidRPr="007F4F17">
        <w:rPr>
          <w:rFonts w:ascii="Calibri" w:eastAsia="Times New Roman" w:hAnsi="Calibri" w:cs="Calibri"/>
          <w:color w:val="000000" w:themeColor="text1"/>
          <w:sz w:val="24"/>
          <w:szCs w:val="24"/>
        </w:rPr>
        <w:t xml:space="preserve"> estimates due to unweighted volatility lags, whereas models incorporating exponential decay and asymmetric leverage successfully pass Kupiec and Christoffersen backtesting criteria.</w:t>
      </w:r>
    </w:p>
    <w:p w14:paraId="77EE892C" w14:textId="10017FDA" w:rsidR="007F4F17" w:rsidRPr="007F4F17" w:rsidRDefault="007F4F17" w:rsidP="00AB3906">
      <w:pPr>
        <w:spacing w:after="0" w:line="480" w:lineRule="auto"/>
        <w:ind w:firstLine="720"/>
        <w:contextualSpacing/>
        <w:rPr>
          <w:rFonts w:ascii="Calibri" w:eastAsia="Times New Roman" w:hAnsi="Calibri" w:cs="Calibri"/>
          <w:color w:val="000000" w:themeColor="text1"/>
          <w:sz w:val="24"/>
          <w:szCs w:val="24"/>
        </w:rPr>
      </w:pPr>
      <w:r w:rsidRPr="007F4F17">
        <w:rPr>
          <w:rFonts w:ascii="Calibri" w:eastAsia="Times New Roman" w:hAnsi="Calibri" w:cs="Calibri"/>
          <w:color w:val="000000" w:themeColor="text1"/>
          <w:sz w:val="24"/>
          <w:szCs w:val="24"/>
        </w:rPr>
        <w:t xml:space="preserve">The results </w:t>
      </w:r>
      <w:r w:rsidR="0017159C">
        <w:rPr>
          <w:rFonts w:ascii="Calibri" w:eastAsia="Times New Roman" w:hAnsi="Calibri" w:cs="Calibri"/>
          <w:color w:val="000000" w:themeColor="text1"/>
          <w:sz w:val="24"/>
          <w:szCs w:val="24"/>
        </w:rPr>
        <w:t>emphasize</w:t>
      </w:r>
      <w:r w:rsidRPr="007F4F17">
        <w:rPr>
          <w:rFonts w:ascii="Calibri" w:eastAsia="Times New Roman" w:hAnsi="Calibri" w:cs="Calibri"/>
          <w:color w:val="000000" w:themeColor="text1"/>
          <w:sz w:val="24"/>
          <w:szCs w:val="24"/>
        </w:rPr>
        <w:t xml:space="preserve"> the reality that financial risk is a dynamic, reflexive </w:t>
      </w:r>
      <w:r w:rsidR="00DF320A">
        <w:rPr>
          <w:rFonts w:ascii="Calibri" w:eastAsia="Times New Roman" w:hAnsi="Calibri" w:cs="Calibri"/>
          <w:color w:val="000000" w:themeColor="text1"/>
          <w:sz w:val="24"/>
          <w:szCs w:val="24"/>
        </w:rPr>
        <w:t>response to market</w:t>
      </w:r>
      <w:r w:rsidRPr="007F4F17">
        <w:rPr>
          <w:rFonts w:ascii="Calibri" w:eastAsia="Times New Roman" w:hAnsi="Calibri" w:cs="Calibri"/>
          <w:color w:val="000000" w:themeColor="text1"/>
          <w:sz w:val="24"/>
          <w:szCs w:val="24"/>
        </w:rPr>
        <w:t xml:space="preserve"> </w:t>
      </w:r>
      <w:r w:rsidR="00FB0070">
        <w:rPr>
          <w:rFonts w:ascii="Calibri" w:eastAsia="Times New Roman" w:hAnsi="Calibri" w:cs="Calibri"/>
          <w:color w:val="000000" w:themeColor="text1"/>
          <w:sz w:val="24"/>
          <w:szCs w:val="24"/>
        </w:rPr>
        <w:t xml:space="preserve">behavior </w:t>
      </w:r>
      <w:r w:rsidRPr="007F4F17">
        <w:rPr>
          <w:rFonts w:ascii="Calibri" w:eastAsia="Times New Roman" w:hAnsi="Calibri" w:cs="Calibri"/>
          <w:color w:val="000000" w:themeColor="text1"/>
          <w:sz w:val="24"/>
          <w:szCs w:val="24"/>
        </w:rPr>
        <w:t xml:space="preserve">rather than </w:t>
      </w:r>
      <w:r w:rsidR="00826CCA">
        <w:rPr>
          <w:rFonts w:ascii="Calibri" w:eastAsia="Times New Roman" w:hAnsi="Calibri" w:cs="Calibri"/>
          <w:color w:val="000000" w:themeColor="text1"/>
          <w:sz w:val="24"/>
          <w:szCs w:val="24"/>
        </w:rPr>
        <w:t>predetermined</w:t>
      </w:r>
      <w:r w:rsidRPr="007F4F17">
        <w:rPr>
          <w:rFonts w:ascii="Calibri" w:eastAsia="Times New Roman" w:hAnsi="Calibri" w:cs="Calibri"/>
          <w:color w:val="000000" w:themeColor="text1"/>
          <w:sz w:val="24"/>
          <w:szCs w:val="24"/>
        </w:rPr>
        <w:t xml:space="preserve">. As established by Brunnermeier and Pedersen (2009), the failure of static lookback windows during the 2008 financial crisis stems from the interaction between market and funding liquidity, where sudden asset price </w:t>
      </w:r>
      <w:r w:rsidR="00345D25">
        <w:rPr>
          <w:rFonts w:ascii="Calibri" w:eastAsia="Times New Roman" w:hAnsi="Calibri" w:cs="Calibri"/>
          <w:color w:val="000000" w:themeColor="text1"/>
          <w:sz w:val="24"/>
          <w:szCs w:val="24"/>
        </w:rPr>
        <w:t>shocks</w:t>
      </w:r>
      <w:r w:rsidRPr="007F4F17">
        <w:rPr>
          <w:rFonts w:ascii="Calibri" w:eastAsia="Times New Roman" w:hAnsi="Calibri" w:cs="Calibri"/>
          <w:color w:val="000000" w:themeColor="text1"/>
          <w:sz w:val="24"/>
          <w:szCs w:val="24"/>
        </w:rPr>
        <w:t xml:space="preserve"> trigger margin </w:t>
      </w:r>
      <w:r w:rsidR="00221BDA">
        <w:rPr>
          <w:rFonts w:ascii="Calibri" w:eastAsia="Times New Roman" w:hAnsi="Calibri" w:cs="Calibri"/>
          <w:color w:val="000000" w:themeColor="text1"/>
          <w:sz w:val="24"/>
          <w:szCs w:val="24"/>
        </w:rPr>
        <w:t>call</w:t>
      </w:r>
      <w:r w:rsidR="00C02AA9">
        <w:rPr>
          <w:rFonts w:ascii="Calibri" w:eastAsia="Times New Roman" w:hAnsi="Calibri" w:cs="Calibri"/>
          <w:color w:val="000000" w:themeColor="text1"/>
          <w:sz w:val="24"/>
          <w:szCs w:val="24"/>
        </w:rPr>
        <w:t>s</w:t>
      </w:r>
      <w:r w:rsidR="00221BDA">
        <w:rPr>
          <w:rFonts w:ascii="Calibri" w:eastAsia="Times New Roman" w:hAnsi="Calibri" w:cs="Calibri"/>
          <w:color w:val="000000" w:themeColor="text1"/>
          <w:sz w:val="24"/>
          <w:szCs w:val="24"/>
        </w:rPr>
        <w:t xml:space="preserve"> </w:t>
      </w:r>
      <w:r w:rsidRPr="007F4F17">
        <w:rPr>
          <w:rFonts w:ascii="Calibri" w:eastAsia="Times New Roman" w:hAnsi="Calibri" w:cs="Calibri"/>
          <w:color w:val="000000" w:themeColor="text1"/>
          <w:sz w:val="24"/>
          <w:szCs w:val="24"/>
        </w:rPr>
        <w:t>and fire sale</w:t>
      </w:r>
      <w:r w:rsidR="00C02AA9">
        <w:rPr>
          <w:rFonts w:ascii="Calibri" w:eastAsia="Times New Roman" w:hAnsi="Calibri" w:cs="Calibri"/>
          <w:color w:val="000000" w:themeColor="text1"/>
          <w:sz w:val="24"/>
          <w:szCs w:val="24"/>
        </w:rPr>
        <w:t>s</w:t>
      </w:r>
      <w:r w:rsidR="002A358D">
        <w:rPr>
          <w:rFonts w:ascii="Calibri" w:eastAsia="Times New Roman" w:hAnsi="Calibri" w:cs="Calibri"/>
          <w:color w:val="000000" w:themeColor="text1"/>
          <w:sz w:val="24"/>
          <w:szCs w:val="24"/>
        </w:rPr>
        <w:t xml:space="preserve"> </w:t>
      </w:r>
      <w:r w:rsidRPr="007F4F17">
        <w:rPr>
          <w:rFonts w:ascii="Calibri" w:eastAsia="Times New Roman" w:hAnsi="Calibri" w:cs="Calibri"/>
          <w:color w:val="000000" w:themeColor="text1"/>
          <w:sz w:val="24"/>
          <w:szCs w:val="24"/>
        </w:rPr>
        <w:t xml:space="preserve">that outpace historical unweighted windows. Furthermore, the success of asymmetric volatility models </w:t>
      </w:r>
      <w:r w:rsidR="00DD6A40" w:rsidRPr="007F4F17">
        <w:rPr>
          <w:rFonts w:ascii="Calibri" w:eastAsia="Times New Roman" w:hAnsi="Calibri" w:cs="Calibri"/>
          <w:color w:val="000000" w:themeColor="text1"/>
          <w:sz w:val="24"/>
          <w:szCs w:val="24"/>
        </w:rPr>
        <w:t>emphasizes</w:t>
      </w:r>
      <w:r w:rsidRPr="007F4F17">
        <w:rPr>
          <w:rFonts w:ascii="Calibri" w:eastAsia="Times New Roman" w:hAnsi="Calibri" w:cs="Calibri"/>
          <w:color w:val="000000" w:themeColor="text1"/>
          <w:sz w:val="24"/>
          <w:szCs w:val="24"/>
        </w:rPr>
        <w:t xml:space="preserve"> the realities of asset pricing</w:t>
      </w:r>
      <w:r w:rsidR="005267D2">
        <w:rPr>
          <w:rFonts w:ascii="Calibri" w:eastAsia="Times New Roman" w:hAnsi="Calibri" w:cs="Calibri"/>
          <w:color w:val="000000" w:themeColor="text1"/>
          <w:sz w:val="24"/>
          <w:szCs w:val="24"/>
        </w:rPr>
        <w:t>:</w:t>
      </w:r>
      <w:r w:rsidRPr="007F4F17">
        <w:rPr>
          <w:rFonts w:ascii="Calibri" w:eastAsia="Times New Roman" w:hAnsi="Calibri" w:cs="Calibri"/>
          <w:color w:val="000000" w:themeColor="text1"/>
          <w:sz w:val="24"/>
          <w:szCs w:val="24"/>
        </w:rPr>
        <w:t xml:space="preserve"> negative return shocks </w:t>
      </w:r>
      <w:r w:rsidR="00580F45">
        <w:rPr>
          <w:rFonts w:ascii="Calibri" w:eastAsia="Times New Roman" w:hAnsi="Calibri" w:cs="Calibri"/>
          <w:color w:val="000000" w:themeColor="text1"/>
          <w:sz w:val="24"/>
          <w:szCs w:val="24"/>
        </w:rPr>
        <w:t>result in</w:t>
      </w:r>
      <w:r w:rsidRPr="007F4F17">
        <w:rPr>
          <w:rFonts w:ascii="Calibri" w:eastAsia="Times New Roman" w:hAnsi="Calibri" w:cs="Calibri"/>
          <w:color w:val="000000" w:themeColor="text1"/>
          <w:sz w:val="24"/>
          <w:szCs w:val="24"/>
        </w:rPr>
        <w:t xml:space="preserve"> sharp</w:t>
      </w:r>
      <w:r w:rsidR="0051428D">
        <w:rPr>
          <w:rFonts w:ascii="Calibri" w:eastAsia="Times New Roman" w:hAnsi="Calibri" w:cs="Calibri"/>
          <w:color w:val="000000" w:themeColor="text1"/>
          <w:sz w:val="24"/>
          <w:szCs w:val="24"/>
        </w:rPr>
        <w:t>er</w:t>
      </w:r>
      <w:r w:rsidRPr="007F4F17">
        <w:rPr>
          <w:rFonts w:ascii="Calibri" w:eastAsia="Times New Roman" w:hAnsi="Calibri" w:cs="Calibri"/>
          <w:color w:val="000000" w:themeColor="text1"/>
          <w:sz w:val="24"/>
          <w:szCs w:val="24"/>
        </w:rPr>
        <w:t xml:space="preserve"> increases in volatility </w:t>
      </w:r>
      <w:r w:rsidR="00FB394C">
        <w:rPr>
          <w:rFonts w:ascii="Calibri" w:eastAsia="Times New Roman" w:hAnsi="Calibri" w:cs="Calibri"/>
          <w:color w:val="000000" w:themeColor="text1"/>
          <w:sz w:val="24"/>
          <w:szCs w:val="24"/>
        </w:rPr>
        <w:t xml:space="preserve">than their positive counterparts </w:t>
      </w:r>
      <w:r w:rsidRPr="007F4F17">
        <w:rPr>
          <w:rFonts w:ascii="Calibri" w:eastAsia="Times New Roman" w:hAnsi="Calibri" w:cs="Calibri"/>
          <w:color w:val="000000" w:themeColor="text1"/>
          <w:sz w:val="24"/>
          <w:szCs w:val="24"/>
        </w:rPr>
        <w:t>that symmetric models fail to capture.</w:t>
      </w:r>
    </w:p>
    <w:p w14:paraId="506EFA32" w14:textId="317E738D" w:rsidR="007F4F17" w:rsidRDefault="007F4F17" w:rsidP="00AB3906">
      <w:pPr>
        <w:spacing w:after="0" w:line="480" w:lineRule="auto"/>
        <w:ind w:firstLine="720"/>
        <w:contextualSpacing/>
        <w:rPr>
          <w:rFonts w:ascii="Calibri" w:eastAsia="Times New Roman" w:hAnsi="Calibri" w:cs="Calibri"/>
          <w:color w:val="000000" w:themeColor="text1"/>
          <w:sz w:val="24"/>
          <w:szCs w:val="24"/>
        </w:rPr>
      </w:pPr>
      <w:r w:rsidRPr="007F4F17">
        <w:rPr>
          <w:rFonts w:ascii="Calibri" w:eastAsia="Times New Roman" w:hAnsi="Calibri" w:cs="Calibri"/>
          <w:color w:val="000000" w:themeColor="text1"/>
          <w:sz w:val="24"/>
          <w:szCs w:val="24"/>
        </w:rPr>
        <w:t xml:space="preserve">Beyond model selection, portfolio construction plays a critical role in shock absorption. </w:t>
      </w:r>
      <w:r w:rsidR="00700584" w:rsidRPr="00700584">
        <w:rPr>
          <w:rFonts w:ascii="Calibri" w:eastAsia="Times New Roman" w:hAnsi="Calibri" w:cs="Calibri"/>
          <w:color w:val="000000" w:themeColor="text1"/>
          <w:sz w:val="24"/>
          <w:szCs w:val="24"/>
        </w:rPr>
        <w:t>Cross-asset decorrelation buffers structural shocks, dampens volatility scaling, and enables models such as FHS to achieve proper statistical calibration.</w:t>
      </w:r>
      <w:r w:rsidRPr="007F4F17">
        <w:rPr>
          <w:rFonts w:ascii="Calibri" w:eastAsia="Times New Roman" w:hAnsi="Calibri" w:cs="Calibri"/>
          <w:color w:val="000000" w:themeColor="text1"/>
          <w:sz w:val="24"/>
          <w:szCs w:val="24"/>
        </w:rPr>
        <w:t xml:space="preserve"> Institutional risk management frameworks must therefore reject rudimentary normality assumptions and couple dynamic conditional volatility models with </w:t>
      </w:r>
      <w:r w:rsidR="008C4FE4">
        <w:rPr>
          <w:rFonts w:ascii="Calibri" w:eastAsia="Times New Roman" w:hAnsi="Calibri" w:cs="Calibri"/>
          <w:color w:val="000000" w:themeColor="text1"/>
          <w:sz w:val="24"/>
          <w:szCs w:val="24"/>
        </w:rPr>
        <w:t>ES</w:t>
      </w:r>
      <w:r w:rsidRPr="007F4F17">
        <w:rPr>
          <w:rFonts w:ascii="Calibri" w:eastAsia="Times New Roman" w:hAnsi="Calibri" w:cs="Calibri"/>
          <w:color w:val="000000" w:themeColor="text1"/>
          <w:sz w:val="24"/>
          <w:szCs w:val="24"/>
        </w:rPr>
        <w:t xml:space="preserve"> and </w:t>
      </w:r>
      <w:r w:rsidR="0083741F">
        <w:rPr>
          <w:rFonts w:ascii="Calibri" w:eastAsia="Times New Roman" w:hAnsi="Calibri" w:cs="Calibri"/>
          <w:color w:val="000000" w:themeColor="text1"/>
          <w:sz w:val="24"/>
          <w:szCs w:val="24"/>
        </w:rPr>
        <w:t>statistical</w:t>
      </w:r>
      <w:r w:rsidRPr="007F4F17">
        <w:rPr>
          <w:rFonts w:ascii="Calibri" w:eastAsia="Times New Roman" w:hAnsi="Calibri" w:cs="Calibri"/>
          <w:color w:val="000000" w:themeColor="text1"/>
          <w:sz w:val="24"/>
          <w:szCs w:val="24"/>
        </w:rPr>
        <w:t xml:space="preserve"> testing to adequately protect capital reserves against market turmoil.</w:t>
      </w:r>
    </w:p>
    <w:p w14:paraId="04EC2498" w14:textId="577176BC" w:rsidR="007B33D1" w:rsidRPr="007F4F17" w:rsidRDefault="007B33D1" w:rsidP="00AB3906">
      <w:pPr>
        <w:spacing w:after="0" w:line="480" w:lineRule="auto"/>
        <w:ind w:firstLine="720"/>
        <w:contextualSpacing/>
        <w:rPr>
          <w:rFonts w:ascii="Calibri" w:eastAsia="Times New Roman" w:hAnsi="Calibri" w:cs="Calibri"/>
          <w:color w:val="000000" w:themeColor="text1"/>
          <w:sz w:val="24"/>
          <w:szCs w:val="24"/>
        </w:rPr>
      </w:pPr>
      <w:r w:rsidRPr="007B33D1">
        <w:rPr>
          <w:rFonts w:ascii="Calibri" w:eastAsia="Times New Roman" w:hAnsi="Calibri" w:cs="Calibri"/>
          <w:color w:val="000000" w:themeColor="text1"/>
          <w:sz w:val="24"/>
          <w:szCs w:val="24"/>
        </w:rPr>
        <w:t xml:space="preserve">From an operational risk management perspective, these findings carry direct implications for capital allocation and portfolio construction. Traditional models that </w:t>
      </w:r>
      <w:r w:rsidRPr="007B33D1">
        <w:rPr>
          <w:rFonts w:ascii="Calibri" w:eastAsia="Times New Roman" w:hAnsi="Calibri" w:cs="Calibri"/>
          <w:color w:val="000000" w:themeColor="text1"/>
          <w:sz w:val="24"/>
          <w:szCs w:val="24"/>
        </w:rPr>
        <w:lastRenderedPageBreak/>
        <w:t xml:space="preserve">understate risk during calm periods force reactive capital </w:t>
      </w:r>
      <w:r w:rsidR="00924615">
        <w:rPr>
          <w:rFonts w:ascii="Calibri" w:eastAsia="Times New Roman" w:hAnsi="Calibri" w:cs="Calibri"/>
          <w:color w:val="000000" w:themeColor="text1"/>
          <w:sz w:val="24"/>
          <w:szCs w:val="24"/>
        </w:rPr>
        <w:t xml:space="preserve">tightening during </w:t>
      </w:r>
      <w:r w:rsidRPr="007B33D1">
        <w:rPr>
          <w:rFonts w:ascii="Calibri" w:eastAsia="Times New Roman" w:hAnsi="Calibri" w:cs="Calibri"/>
          <w:color w:val="000000" w:themeColor="text1"/>
          <w:sz w:val="24"/>
          <w:szCs w:val="24"/>
        </w:rPr>
        <w:t xml:space="preserve">crises whereas dynamic conditional models maintain stable exception profiles that </w:t>
      </w:r>
      <w:r w:rsidR="00924615">
        <w:rPr>
          <w:rFonts w:ascii="Calibri" w:eastAsia="Times New Roman" w:hAnsi="Calibri" w:cs="Calibri"/>
          <w:color w:val="000000" w:themeColor="text1"/>
          <w:sz w:val="24"/>
          <w:szCs w:val="24"/>
        </w:rPr>
        <w:t>can avoid</w:t>
      </w:r>
      <w:r w:rsidRPr="007B33D1">
        <w:rPr>
          <w:rFonts w:ascii="Calibri" w:eastAsia="Times New Roman" w:hAnsi="Calibri" w:cs="Calibri"/>
          <w:color w:val="000000" w:themeColor="text1"/>
          <w:sz w:val="24"/>
          <w:szCs w:val="24"/>
        </w:rPr>
        <w:t xml:space="preserve"> liquidity freezes. </w:t>
      </w:r>
      <w:r w:rsidR="004A1680">
        <w:rPr>
          <w:rFonts w:ascii="Calibri" w:eastAsia="Times New Roman" w:hAnsi="Calibri" w:cs="Calibri"/>
          <w:color w:val="000000" w:themeColor="text1"/>
          <w:sz w:val="24"/>
          <w:szCs w:val="24"/>
        </w:rPr>
        <w:t>Additionally</w:t>
      </w:r>
      <w:r w:rsidRPr="007B33D1">
        <w:rPr>
          <w:rFonts w:ascii="Calibri" w:eastAsia="Times New Roman" w:hAnsi="Calibri" w:cs="Calibri"/>
          <w:color w:val="000000" w:themeColor="text1"/>
          <w:sz w:val="24"/>
          <w:szCs w:val="24"/>
        </w:rPr>
        <w:t>, model effectiveness is heavily dictated by portfolio architecture</w:t>
      </w:r>
      <w:r w:rsidR="00AF3A38">
        <w:rPr>
          <w:rFonts w:ascii="Calibri" w:eastAsia="Times New Roman" w:hAnsi="Calibri" w:cs="Calibri"/>
          <w:color w:val="000000" w:themeColor="text1"/>
          <w:sz w:val="24"/>
          <w:szCs w:val="24"/>
        </w:rPr>
        <w:t>;</w:t>
      </w:r>
      <w:r w:rsidRPr="007B33D1">
        <w:rPr>
          <w:rFonts w:ascii="Calibri" w:eastAsia="Times New Roman" w:hAnsi="Calibri" w:cs="Calibri"/>
          <w:color w:val="000000" w:themeColor="text1"/>
          <w:sz w:val="24"/>
          <w:szCs w:val="24"/>
        </w:rPr>
        <w:t xml:space="preserve"> </w:t>
      </w:r>
      <w:r w:rsidR="00AF3A38">
        <w:rPr>
          <w:rFonts w:ascii="Calibri" w:eastAsia="Times New Roman" w:hAnsi="Calibri" w:cs="Calibri"/>
          <w:color w:val="000000" w:themeColor="text1"/>
          <w:sz w:val="24"/>
          <w:szCs w:val="24"/>
        </w:rPr>
        <w:t>a</w:t>
      </w:r>
      <w:r w:rsidRPr="007B33D1">
        <w:rPr>
          <w:rFonts w:ascii="Calibri" w:eastAsia="Times New Roman" w:hAnsi="Calibri" w:cs="Calibri"/>
          <w:color w:val="000000" w:themeColor="text1"/>
          <w:sz w:val="24"/>
          <w:szCs w:val="24"/>
        </w:rPr>
        <w:t>symmetric volatility models like GJR-GARCH capture severe leverage effects in concentrated equity allocations</w:t>
      </w:r>
      <w:r w:rsidR="001868A2">
        <w:rPr>
          <w:rFonts w:ascii="Calibri" w:eastAsia="Times New Roman" w:hAnsi="Calibri" w:cs="Calibri"/>
          <w:color w:val="000000" w:themeColor="text1"/>
          <w:sz w:val="24"/>
          <w:szCs w:val="24"/>
        </w:rPr>
        <w:t xml:space="preserve"> while</w:t>
      </w:r>
      <w:r w:rsidR="00AF3A38">
        <w:rPr>
          <w:rFonts w:ascii="Calibri" w:eastAsia="Times New Roman" w:hAnsi="Calibri" w:cs="Calibri"/>
          <w:color w:val="000000" w:themeColor="text1"/>
          <w:sz w:val="24"/>
          <w:szCs w:val="24"/>
        </w:rPr>
        <w:t xml:space="preserve"> </w:t>
      </w:r>
      <w:r w:rsidRPr="007B33D1">
        <w:rPr>
          <w:rFonts w:ascii="Calibri" w:eastAsia="Times New Roman" w:hAnsi="Calibri" w:cs="Calibri"/>
          <w:color w:val="000000" w:themeColor="text1"/>
          <w:sz w:val="24"/>
          <w:szCs w:val="24"/>
        </w:rPr>
        <w:t xml:space="preserve">the semi-parametric FHS model proves </w:t>
      </w:r>
      <w:r w:rsidR="00016C78">
        <w:rPr>
          <w:rFonts w:ascii="Calibri" w:eastAsia="Times New Roman" w:hAnsi="Calibri" w:cs="Calibri"/>
          <w:color w:val="000000" w:themeColor="text1"/>
          <w:sz w:val="24"/>
          <w:szCs w:val="24"/>
        </w:rPr>
        <w:t xml:space="preserve">to be the </w:t>
      </w:r>
      <w:r w:rsidRPr="007B33D1">
        <w:rPr>
          <w:rFonts w:ascii="Calibri" w:eastAsia="Times New Roman" w:hAnsi="Calibri" w:cs="Calibri"/>
          <w:color w:val="000000" w:themeColor="text1"/>
          <w:sz w:val="24"/>
          <w:szCs w:val="24"/>
        </w:rPr>
        <w:t>most consistent across diverse portfolios.</w:t>
      </w:r>
      <w:r w:rsidR="00F061CF" w:rsidRPr="00F061CF">
        <w:t xml:space="preserve"> </w:t>
      </w:r>
      <w:r w:rsidR="00F061CF">
        <w:t>R</w:t>
      </w:r>
      <w:r w:rsidR="00F061CF" w:rsidRPr="00F061CF">
        <w:rPr>
          <w:rFonts w:ascii="Calibri" w:eastAsia="Times New Roman" w:hAnsi="Calibri" w:cs="Calibri"/>
          <w:color w:val="000000" w:themeColor="text1"/>
          <w:sz w:val="24"/>
          <w:szCs w:val="24"/>
        </w:rPr>
        <w:t xml:space="preserve">isk management frameworks must therefore reject </w:t>
      </w:r>
      <w:r w:rsidR="00F061CF">
        <w:rPr>
          <w:rFonts w:ascii="Calibri" w:eastAsia="Times New Roman" w:hAnsi="Calibri" w:cs="Calibri"/>
          <w:color w:val="000000" w:themeColor="text1"/>
          <w:sz w:val="24"/>
          <w:szCs w:val="24"/>
        </w:rPr>
        <w:t xml:space="preserve">classical </w:t>
      </w:r>
      <w:r w:rsidR="00F061CF" w:rsidRPr="00F061CF">
        <w:rPr>
          <w:rFonts w:ascii="Calibri" w:eastAsia="Times New Roman" w:hAnsi="Calibri" w:cs="Calibri"/>
          <w:color w:val="000000" w:themeColor="text1"/>
          <w:sz w:val="24"/>
          <w:szCs w:val="24"/>
        </w:rPr>
        <w:t xml:space="preserve">normality assumptions and </w:t>
      </w:r>
      <w:r w:rsidR="00F061CF">
        <w:rPr>
          <w:rFonts w:ascii="Calibri" w:eastAsia="Times New Roman" w:hAnsi="Calibri" w:cs="Calibri"/>
          <w:color w:val="000000" w:themeColor="text1"/>
          <w:sz w:val="24"/>
          <w:szCs w:val="24"/>
        </w:rPr>
        <w:t xml:space="preserve">instead </w:t>
      </w:r>
      <w:r w:rsidR="00F061CF" w:rsidRPr="00F061CF">
        <w:rPr>
          <w:rFonts w:ascii="Calibri" w:eastAsia="Times New Roman" w:hAnsi="Calibri" w:cs="Calibri"/>
          <w:color w:val="000000" w:themeColor="text1"/>
          <w:sz w:val="24"/>
          <w:szCs w:val="24"/>
        </w:rPr>
        <w:t>couple dynamic conditional volatility models with ES and statistical testing to adequately protect capital reserves against market turmoil.</w:t>
      </w:r>
      <w:r w:rsidR="005E37D6">
        <w:rPr>
          <w:rFonts w:ascii="Calibri" w:eastAsia="Times New Roman" w:hAnsi="Calibri" w:cs="Calibri"/>
          <w:color w:val="000000" w:themeColor="text1"/>
          <w:sz w:val="24"/>
          <w:szCs w:val="24"/>
        </w:rPr>
        <w:t xml:space="preserve"> </w:t>
      </w:r>
    </w:p>
    <w:p w14:paraId="59D2D0AF" w14:textId="6C884681" w:rsidR="00172BB5" w:rsidRDefault="00421BB1" w:rsidP="00C0090D">
      <w:pPr>
        <w:spacing w:after="160" w:line="278" w:lineRule="auto"/>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br w:type="page"/>
      </w:r>
      <w:r w:rsidR="001E70D3">
        <w:rPr>
          <w:rFonts w:ascii="Calibri" w:eastAsia="Times New Roman" w:hAnsi="Calibri" w:cs="Calibri"/>
          <w:b/>
          <w:bCs/>
          <w:color w:val="000000" w:themeColor="text1"/>
          <w:sz w:val="24"/>
          <w:szCs w:val="24"/>
        </w:rPr>
        <w:lastRenderedPageBreak/>
        <w:t>Append</w:t>
      </w:r>
      <w:r w:rsidR="009406A4">
        <w:rPr>
          <w:rFonts w:ascii="Calibri" w:eastAsia="Times New Roman" w:hAnsi="Calibri" w:cs="Calibri"/>
          <w:b/>
          <w:bCs/>
          <w:color w:val="000000" w:themeColor="text1"/>
          <w:sz w:val="24"/>
          <w:szCs w:val="24"/>
        </w:rPr>
        <w:t>ix A</w:t>
      </w:r>
    </w:p>
    <w:p w14:paraId="616E48BC" w14:textId="1118BD73" w:rsidR="00EE48A1" w:rsidRPr="00A941D7" w:rsidRDefault="00EE48A1" w:rsidP="009406A4">
      <w:pPr>
        <w:spacing w:after="0" w:line="480" w:lineRule="auto"/>
        <w:contextualSpacing/>
        <w:jc w:val="center"/>
        <w:rPr>
          <w:rFonts w:ascii="Calibri" w:eastAsia="Times New Roman" w:hAnsi="Calibri" w:cs="Calibri"/>
          <w:b/>
          <w:bCs/>
          <w:color w:val="000000" w:themeColor="text1"/>
          <w:sz w:val="24"/>
          <w:szCs w:val="24"/>
        </w:rPr>
      </w:pPr>
      <w:r w:rsidRPr="00A941D7">
        <w:rPr>
          <w:rFonts w:ascii="Calibri" w:eastAsia="Times New Roman" w:hAnsi="Calibri" w:cs="Calibri"/>
          <w:b/>
          <w:bCs/>
          <w:color w:val="000000" w:themeColor="text1"/>
          <w:sz w:val="24"/>
          <w:szCs w:val="24"/>
        </w:rPr>
        <w:t>Descriptive Portfolio Statistics and Master Backtest Summary</w:t>
      </w:r>
    </w:p>
    <w:p w14:paraId="282EC494"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w:t>
      </w:r>
    </w:p>
    <w:p w14:paraId="25383011"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PORTFOLIO: 2008 Crisis - Concentrated Financials</w:t>
      </w:r>
    </w:p>
    <w:p w14:paraId="7798CEE5"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HORIZON:   2007-01-01 to 2009-12-31</w:t>
      </w:r>
    </w:p>
    <w:p w14:paraId="3C46156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w:t>
      </w:r>
    </w:p>
    <w:p w14:paraId="67B03E7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Confidence Level:            95.0%</w:t>
      </w:r>
    </w:p>
    <w:p w14:paraId="6F59A64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In-Sample Hist VaR:        6.30</w:t>
      </w:r>
      <w:proofErr w:type="gramStart"/>
      <w:r w:rsidRPr="00A941D7">
        <w:rPr>
          <w:rFonts w:ascii="Courier New" w:eastAsia="Times New Roman" w:hAnsi="Courier New" w:cs="Courier New"/>
          <w:color w:val="000000" w:themeColor="text1"/>
          <w:sz w:val="20"/>
          <w:szCs w:val="20"/>
        </w:rPr>
        <w:t>%  (</w:t>
      </w:r>
      <w:proofErr w:type="gramEnd"/>
      <w:r w:rsidRPr="00A941D7">
        <w:rPr>
          <w:rFonts w:ascii="Courier New" w:eastAsia="Times New Roman" w:hAnsi="Courier New" w:cs="Courier New"/>
          <w:color w:val="000000" w:themeColor="text1"/>
          <w:sz w:val="20"/>
          <w:szCs w:val="20"/>
        </w:rPr>
        <w:t>$62,951.68)</w:t>
      </w:r>
    </w:p>
    <w:p w14:paraId="5D4D21CC"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In-Sample Param VaR:       7.46</w:t>
      </w:r>
      <w:proofErr w:type="gramStart"/>
      <w:r w:rsidRPr="00A941D7">
        <w:rPr>
          <w:rFonts w:ascii="Courier New" w:eastAsia="Times New Roman" w:hAnsi="Courier New" w:cs="Courier New"/>
          <w:color w:val="000000" w:themeColor="text1"/>
          <w:sz w:val="20"/>
          <w:szCs w:val="20"/>
        </w:rPr>
        <w:t>%  (</w:t>
      </w:r>
      <w:proofErr w:type="gramEnd"/>
      <w:r w:rsidRPr="00A941D7">
        <w:rPr>
          <w:rFonts w:ascii="Courier New" w:eastAsia="Times New Roman" w:hAnsi="Courier New" w:cs="Courier New"/>
          <w:color w:val="000000" w:themeColor="text1"/>
          <w:sz w:val="20"/>
          <w:szCs w:val="20"/>
        </w:rPr>
        <w:t>$74,600.35)</w:t>
      </w:r>
    </w:p>
    <w:p w14:paraId="731682DF"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w:t>
      </w:r>
    </w:p>
    <w:p w14:paraId="41A79734"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ROLLING OUT-OF-SAMPLE BACKTEST (252-Day Window, 502 Out-of-Sample Days):</w:t>
      </w:r>
    </w:p>
    <w:p w14:paraId="556078D6"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1. Rolling Historical Simulation:</w:t>
      </w:r>
    </w:p>
    <w:p w14:paraId="71088680"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46 / 502 (9.16%)</w:t>
      </w:r>
    </w:p>
    <w:p w14:paraId="6F1CD7C1"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LR=14.861 (p=0.0001) -&gt; REJECT H0 (Miscalibrated exception rate)</w:t>
      </w:r>
    </w:p>
    <w:p w14:paraId="408DFFAC"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LR=0.469 (p=0.4933) -&gt; ACCEPT H0 (Exceptions are independent)</w:t>
      </w:r>
    </w:p>
    <w:p w14:paraId="22964D5E"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2. Rolling Parametric (Normal):</w:t>
      </w:r>
    </w:p>
    <w:p w14:paraId="7B22C77E"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44 / 502 (8.76%)</w:t>
      </w:r>
    </w:p>
    <w:p w14:paraId="004C1D65"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LR=12.355 (p=0.0004) -&gt; REJECT H0 (Miscalibrated exception rate)</w:t>
      </w:r>
    </w:p>
    <w:p w14:paraId="03105F7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LR=0.248 (p=0.6183) -&gt; ACCEPT H0 (Exceptions are independent)</w:t>
      </w:r>
    </w:p>
    <w:p w14:paraId="262B45C7"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3. Dynamic EWMA (</w:t>
      </w:r>
      <w:proofErr w:type="spellStart"/>
      <w:r w:rsidRPr="00A941D7">
        <w:rPr>
          <w:rFonts w:ascii="Courier New" w:eastAsia="Times New Roman" w:hAnsi="Courier New" w:cs="Courier New"/>
          <w:color w:val="000000" w:themeColor="text1"/>
          <w:sz w:val="20"/>
          <w:szCs w:val="20"/>
        </w:rPr>
        <w:t>RiskMetrics</w:t>
      </w:r>
      <w:proofErr w:type="spellEnd"/>
      <w:r w:rsidRPr="00A941D7">
        <w:rPr>
          <w:rFonts w:ascii="Courier New" w:eastAsia="Times New Roman" w:hAnsi="Courier New" w:cs="Courier New"/>
          <w:color w:val="000000" w:themeColor="text1"/>
          <w:sz w:val="20"/>
          <w:szCs w:val="20"/>
        </w:rPr>
        <w:t xml:space="preserve"> lambda=0.94):</w:t>
      </w:r>
    </w:p>
    <w:p w14:paraId="6520BA92"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34 / 502 (6.77%)</w:t>
      </w:r>
    </w:p>
    <w:p w14:paraId="33A26472"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LR=3.005 (p=0.0830) -&gt; ACCEPT H0 (Accurate calibration)</w:t>
      </w:r>
    </w:p>
    <w:p w14:paraId="77F42CB2"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LR=1.053 (p=0.3048) -&gt; ACCEPT H0 (Exceptions are independent)</w:t>
      </w:r>
    </w:p>
    <w:p w14:paraId="6D63AD36"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4. Dynamic GJR-</w:t>
      </w:r>
      <w:proofErr w:type="gramStart"/>
      <w:r w:rsidRPr="00A941D7">
        <w:rPr>
          <w:rFonts w:ascii="Courier New" w:eastAsia="Times New Roman" w:hAnsi="Courier New" w:cs="Courier New"/>
          <w:color w:val="000000" w:themeColor="text1"/>
          <w:sz w:val="20"/>
          <w:szCs w:val="20"/>
        </w:rPr>
        <w:t>GARCH(</w:t>
      </w:r>
      <w:proofErr w:type="gramEnd"/>
      <w:r w:rsidRPr="00A941D7">
        <w:rPr>
          <w:rFonts w:ascii="Courier New" w:eastAsia="Times New Roman" w:hAnsi="Courier New" w:cs="Courier New"/>
          <w:color w:val="000000" w:themeColor="text1"/>
          <w:sz w:val="20"/>
          <w:szCs w:val="20"/>
        </w:rPr>
        <w:t>1,1) (Asymmetric Leverage):</w:t>
      </w:r>
    </w:p>
    <w:p w14:paraId="23F8D6E5"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34 / 502 (6.77%)</w:t>
      </w:r>
    </w:p>
    <w:p w14:paraId="1C58E6C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LR=3.005 (p=0.0830) -&gt; ACCEPT H0 (Accurate calibration)</w:t>
      </w:r>
    </w:p>
    <w:p w14:paraId="199A6D76"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LR=1.207 (p=0.2720) -&gt; ACCEPT H0 (Exceptions are independent)</w:t>
      </w:r>
    </w:p>
    <w:p w14:paraId="5466036F"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5. Filtered Historical Simulation (FHS / GJR-GARCH Tail):</w:t>
      </w:r>
    </w:p>
    <w:p w14:paraId="689EA2AC"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37 / 502 (7.37%)</w:t>
      </w:r>
    </w:p>
    <w:p w14:paraId="28D3892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LR=5.215 (p=0.0224) -&gt; REJECT H0 (Miscalibrated exception rate)</w:t>
      </w:r>
    </w:p>
    <w:p w14:paraId="5641BA37"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LR=0.030 (p=0.8631) -&gt; ACCEPT H0 (Exceptions are independent)</w:t>
      </w:r>
    </w:p>
    <w:p w14:paraId="78A891FC"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p>
    <w:p w14:paraId="75F57697"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w:t>
      </w:r>
    </w:p>
    <w:p w14:paraId="64D37D68"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PORTFOLIO: 2008 Crisis - Multi-Asset Diverse</w:t>
      </w:r>
    </w:p>
    <w:p w14:paraId="207EF70B"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HORIZON:   2007-01-01 to 2009-12-31</w:t>
      </w:r>
    </w:p>
    <w:p w14:paraId="41D828ED"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w:t>
      </w:r>
    </w:p>
    <w:p w14:paraId="1CA6F453"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Confidence Level:            95.0%</w:t>
      </w:r>
    </w:p>
    <w:p w14:paraId="4BF7E107"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In-Sample Hist VaR:        1.27</w:t>
      </w:r>
      <w:proofErr w:type="gramStart"/>
      <w:r w:rsidRPr="00A941D7">
        <w:rPr>
          <w:rFonts w:ascii="Courier New" w:eastAsia="Times New Roman" w:hAnsi="Courier New" w:cs="Courier New"/>
          <w:color w:val="000000" w:themeColor="text1"/>
          <w:sz w:val="20"/>
          <w:szCs w:val="20"/>
        </w:rPr>
        <w:t>%  (</w:t>
      </w:r>
      <w:proofErr w:type="gramEnd"/>
      <w:r w:rsidRPr="00A941D7">
        <w:rPr>
          <w:rFonts w:ascii="Courier New" w:eastAsia="Times New Roman" w:hAnsi="Courier New" w:cs="Courier New"/>
          <w:color w:val="000000" w:themeColor="text1"/>
          <w:sz w:val="20"/>
          <w:szCs w:val="20"/>
        </w:rPr>
        <w:t>$12,675.18)</w:t>
      </w:r>
    </w:p>
    <w:p w14:paraId="7F80B151"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In-Sample Param VaR:       1.42</w:t>
      </w:r>
      <w:proofErr w:type="gramStart"/>
      <w:r w:rsidRPr="00A941D7">
        <w:rPr>
          <w:rFonts w:ascii="Courier New" w:eastAsia="Times New Roman" w:hAnsi="Courier New" w:cs="Courier New"/>
          <w:color w:val="000000" w:themeColor="text1"/>
          <w:sz w:val="20"/>
          <w:szCs w:val="20"/>
        </w:rPr>
        <w:t>%  (</w:t>
      </w:r>
      <w:proofErr w:type="gramEnd"/>
      <w:r w:rsidRPr="00A941D7">
        <w:rPr>
          <w:rFonts w:ascii="Courier New" w:eastAsia="Times New Roman" w:hAnsi="Courier New" w:cs="Courier New"/>
          <w:color w:val="000000" w:themeColor="text1"/>
          <w:sz w:val="20"/>
          <w:szCs w:val="20"/>
        </w:rPr>
        <w:t>$14,241.74)</w:t>
      </w:r>
    </w:p>
    <w:p w14:paraId="071F603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w:t>
      </w:r>
    </w:p>
    <w:p w14:paraId="59BB1E7B"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ROLLING OUT-OF-SAMPLE BACKTEST (252-Day Window, 502 Out-of-Sample Days):</w:t>
      </w:r>
    </w:p>
    <w:p w14:paraId="7A8D423A"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1. Rolling Historical Simulation:</w:t>
      </w:r>
    </w:p>
    <w:p w14:paraId="18329A57"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29 / 502 (5.78%)</w:t>
      </w:r>
    </w:p>
    <w:p w14:paraId="6857CB67"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lastRenderedPageBreak/>
        <w:t xml:space="preserve">     - Kupiec POF:           LR=0.609 (p=0.4352) -&gt; ACCEPT H0 (Accurate calibration)</w:t>
      </w:r>
    </w:p>
    <w:p w14:paraId="0B23196B"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LR=12.102 (p=0.0005) -&gt; REJECT H0 (Temporal clustering detected)</w:t>
      </w:r>
    </w:p>
    <w:p w14:paraId="5C92E008"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2. Rolling Parametric (Normal):</w:t>
      </w:r>
    </w:p>
    <w:p w14:paraId="09A97BA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31 / 502 (6.18%)</w:t>
      </w:r>
    </w:p>
    <w:p w14:paraId="45F9B353"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LR=1.363 (p=0.2431) -&gt; ACCEPT H0 (Accurate calibration)</w:t>
      </w:r>
    </w:p>
    <w:p w14:paraId="17614215"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LR=7.091 (p=0.0077) -&gt; REJECT H0 (Temporal clustering detected)</w:t>
      </w:r>
    </w:p>
    <w:p w14:paraId="0930EBAF"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3. Dynamic EWMA (</w:t>
      </w:r>
      <w:proofErr w:type="spellStart"/>
      <w:r w:rsidRPr="00A941D7">
        <w:rPr>
          <w:rFonts w:ascii="Courier New" w:eastAsia="Times New Roman" w:hAnsi="Courier New" w:cs="Courier New"/>
          <w:color w:val="000000" w:themeColor="text1"/>
          <w:sz w:val="20"/>
          <w:szCs w:val="20"/>
        </w:rPr>
        <w:t>RiskMetrics</w:t>
      </w:r>
      <w:proofErr w:type="spellEnd"/>
      <w:r w:rsidRPr="00A941D7">
        <w:rPr>
          <w:rFonts w:ascii="Courier New" w:eastAsia="Times New Roman" w:hAnsi="Courier New" w:cs="Courier New"/>
          <w:color w:val="000000" w:themeColor="text1"/>
          <w:sz w:val="20"/>
          <w:szCs w:val="20"/>
        </w:rPr>
        <w:t xml:space="preserve"> lambda=0.94):</w:t>
      </w:r>
    </w:p>
    <w:p w14:paraId="34CE5A10"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26 / 502 (5.18%)</w:t>
      </w:r>
    </w:p>
    <w:p w14:paraId="6B61E835"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LR=0.034 (p=0.8546) -&gt; ACCEPT H0 (Accurate calibration)</w:t>
      </w:r>
    </w:p>
    <w:p w14:paraId="261635A3"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LR=0.368 (p=0.5440) -&gt; ACCEPT H0 (Exceptions are independent)</w:t>
      </w:r>
    </w:p>
    <w:p w14:paraId="3D1475C6"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4. Dynamic GJR-</w:t>
      </w:r>
      <w:proofErr w:type="gramStart"/>
      <w:r w:rsidRPr="00A941D7">
        <w:rPr>
          <w:rFonts w:ascii="Courier New" w:eastAsia="Times New Roman" w:hAnsi="Courier New" w:cs="Courier New"/>
          <w:color w:val="000000" w:themeColor="text1"/>
          <w:sz w:val="20"/>
          <w:szCs w:val="20"/>
        </w:rPr>
        <w:t>GARCH(</w:t>
      </w:r>
      <w:proofErr w:type="gramEnd"/>
      <w:r w:rsidRPr="00A941D7">
        <w:rPr>
          <w:rFonts w:ascii="Courier New" w:eastAsia="Times New Roman" w:hAnsi="Courier New" w:cs="Courier New"/>
          <w:color w:val="000000" w:themeColor="text1"/>
          <w:sz w:val="20"/>
          <w:szCs w:val="20"/>
        </w:rPr>
        <w:t>1,1) (Asymmetric Leverage):</w:t>
      </w:r>
    </w:p>
    <w:p w14:paraId="54F6F250"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39 / 502 (7.77%)</w:t>
      </w:r>
    </w:p>
    <w:p w14:paraId="20BAC88C"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LR=6.983 (p=0.0082) -&gt; REJECT H0 (Miscalibrated exception rate)</w:t>
      </w:r>
    </w:p>
    <w:p w14:paraId="38AC6266"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LR=0.001 (p=0.9790) -&gt; ACCEPT H0 (Exceptions are independent)</w:t>
      </w:r>
    </w:p>
    <w:p w14:paraId="4847BE18"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5. Filtered Historical Simulation (FHS / GJR-GARCH Tail):</w:t>
      </w:r>
    </w:p>
    <w:p w14:paraId="03546CCC"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30 / 502 (5.98%)</w:t>
      </w:r>
    </w:p>
    <w:p w14:paraId="58DE8BED"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LR=0.950 (p=0.3296) -&gt; ACCEPT H0 (Accurate calibration)</w:t>
      </w:r>
    </w:p>
    <w:p w14:paraId="20117650" w14:textId="6CAAD751" w:rsidR="00EE48A1"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LR=0.043 (p=0.8352) -&gt; ACCEPT H0 (Exceptions are independent)</w:t>
      </w:r>
    </w:p>
    <w:p w14:paraId="1A5E3675"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p>
    <w:p w14:paraId="34FC385C" w14:textId="77777777" w:rsidR="001B73F8" w:rsidRDefault="001B73F8">
      <w:pPr>
        <w:spacing w:after="160" w:line="278" w:lineRule="auto"/>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br w:type="page"/>
      </w:r>
    </w:p>
    <w:p w14:paraId="1C1D67FE" w14:textId="5B039F1E" w:rsidR="009406A4" w:rsidRDefault="009406A4" w:rsidP="001B73F8">
      <w:pPr>
        <w:spacing w:after="0" w:line="480" w:lineRule="auto"/>
        <w:contextualSpacing/>
        <w:jc w:val="center"/>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lastRenderedPageBreak/>
        <w:t>Appendix B</w:t>
      </w:r>
    </w:p>
    <w:p w14:paraId="5B634FFC" w14:textId="1951324E" w:rsidR="009406A4" w:rsidRDefault="001B73F8" w:rsidP="001B73F8">
      <w:pPr>
        <w:spacing w:after="0" w:line="480" w:lineRule="auto"/>
        <w:contextualSpacing/>
        <w:jc w:val="center"/>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 xml:space="preserve">Portfolio </w:t>
      </w:r>
      <w:proofErr w:type="spellStart"/>
      <w:r>
        <w:rPr>
          <w:rFonts w:ascii="Calibri" w:eastAsia="Times New Roman" w:hAnsi="Calibri" w:cs="Calibri"/>
          <w:b/>
          <w:bCs/>
          <w:color w:val="000000" w:themeColor="text1"/>
          <w:sz w:val="24"/>
          <w:szCs w:val="24"/>
        </w:rPr>
        <w:t>Diagnositcs</w:t>
      </w:r>
      <w:proofErr w:type="spellEnd"/>
    </w:p>
    <w:p w14:paraId="2252E301" w14:textId="7D28AA62" w:rsidR="00AA4669" w:rsidRPr="00A941D7" w:rsidRDefault="00172BB5" w:rsidP="00172BB5">
      <w:pPr>
        <w:spacing w:after="0" w:line="480" w:lineRule="auto"/>
        <w:contextualSpacing/>
        <w:rPr>
          <w:rFonts w:ascii="Calibri" w:hAnsi="Calibri" w:cs="Calibri"/>
          <w:b/>
          <w:bCs/>
          <w:noProof/>
          <w:color w:val="000000" w:themeColor="text1"/>
          <w:sz w:val="24"/>
          <w:szCs w:val="24"/>
        </w:rPr>
      </w:pPr>
      <w:r w:rsidRPr="00A941D7">
        <w:rPr>
          <w:rFonts w:ascii="Calibri" w:eastAsia="Times New Roman" w:hAnsi="Calibri" w:cs="Calibri"/>
          <w:b/>
          <w:bCs/>
          <w:color w:val="000000" w:themeColor="text1"/>
          <w:sz w:val="24"/>
          <w:szCs w:val="24"/>
        </w:rPr>
        <w:t>Appendix B.1: Concentrated Financials Portfolio Diagnostics</w:t>
      </w:r>
    </w:p>
    <w:p w14:paraId="6DED0DDD" w14:textId="19D2445C" w:rsidR="00CA51FB" w:rsidRDefault="00AA4669" w:rsidP="00172BB5">
      <w:pPr>
        <w:spacing w:after="0" w:line="480" w:lineRule="auto"/>
        <w:contextualSpacing/>
        <w:rPr>
          <w:rFonts w:ascii="Calibri" w:eastAsia="Times New Roman" w:hAnsi="Calibri" w:cs="Calibri"/>
          <w:color w:val="000000" w:themeColor="text1"/>
          <w:sz w:val="24"/>
          <w:szCs w:val="24"/>
        </w:rPr>
      </w:pPr>
      <w:r w:rsidRPr="00AA4669">
        <w:rPr>
          <w:rFonts w:ascii="Calibri" w:eastAsia="Times New Roman" w:hAnsi="Calibri" w:cs="Calibri"/>
          <w:color w:val="000000" w:themeColor="text1"/>
          <w:sz w:val="24"/>
          <w:szCs w:val="24"/>
        </w:rPr>
        <w:t>Figure B.1.1: Rolling Historical Simulation (252-Day Window)</w:t>
      </w:r>
      <w:r w:rsidR="00CA51FB" w:rsidRPr="00AA4669">
        <w:rPr>
          <w:rFonts w:ascii="Calibri" w:hAnsi="Calibri" w:cs="Calibri"/>
          <w:noProof/>
          <w:color w:val="000000" w:themeColor="text1"/>
          <w:sz w:val="24"/>
          <w:szCs w:val="24"/>
        </w:rPr>
        <w:drawing>
          <wp:inline distT="0" distB="0" distL="0" distR="0" wp14:anchorId="1BB532F4" wp14:editId="73B91509">
            <wp:extent cx="5943600" cy="2943225"/>
            <wp:effectExtent l="0" t="0" r="0" b="9525"/>
            <wp:docPr id="1459333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02CC50FF" w14:textId="637038D5" w:rsidR="00AA4669" w:rsidRPr="00AA4669" w:rsidRDefault="00AA4669" w:rsidP="00172BB5">
      <w:pPr>
        <w:spacing w:after="0" w:line="480" w:lineRule="auto"/>
        <w:contextualSpacing/>
        <w:rPr>
          <w:rFonts w:ascii="Calibri" w:eastAsia="Times New Roman" w:hAnsi="Calibri" w:cs="Calibri"/>
          <w:color w:val="000000" w:themeColor="text1"/>
          <w:sz w:val="24"/>
          <w:szCs w:val="24"/>
        </w:rPr>
      </w:pPr>
      <w:r w:rsidRPr="00AA4669">
        <w:rPr>
          <w:rFonts w:ascii="Calibri" w:eastAsia="Times New Roman" w:hAnsi="Calibri" w:cs="Calibri"/>
          <w:color w:val="000000" w:themeColor="text1"/>
          <w:sz w:val="24"/>
          <w:szCs w:val="24"/>
        </w:rPr>
        <w:t>Figure B.1.2: Rolling Parametric Normal Model</w:t>
      </w:r>
    </w:p>
    <w:p w14:paraId="57157347" w14:textId="10D7189D" w:rsidR="00CA51FB" w:rsidRDefault="00CA51FB" w:rsidP="00CA51FB">
      <w:pPr>
        <w:spacing w:after="0" w:line="480" w:lineRule="auto"/>
        <w:contextualSpacing/>
        <w:jc w:val="center"/>
        <w:rPr>
          <w:rFonts w:ascii="Calibri" w:eastAsia="Times New Roman" w:hAnsi="Calibri" w:cs="Calibri"/>
          <w:b/>
          <w:bCs/>
          <w:color w:val="000000" w:themeColor="text1"/>
          <w:sz w:val="24"/>
          <w:szCs w:val="24"/>
        </w:rPr>
      </w:pPr>
      <w:r>
        <w:rPr>
          <w:rFonts w:ascii="Calibri" w:eastAsia="Times New Roman" w:hAnsi="Calibri" w:cs="Calibri"/>
          <w:b/>
          <w:bCs/>
          <w:noProof/>
          <w:color w:val="000000" w:themeColor="text1"/>
          <w:sz w:val="24"/>
          <w:szCs w:val="24"/>
        </w:rPr>
        <w:drawing>
          <wp:inline distT="0" distB="0" distL="0" distR="0" wp14:anchorId="6D56FA58" wp14:editId="12E84559">
            <wp:extent cx="5943600" cy="2943225"/>
            <wp:effectExtent l="0" t="0" r="0" b="9525"/>
            <wp:docPr id="1979826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6D72A518" w14:textId="6927A2DC" w:rsidR="00AA4669" w:rsidRPr="00AA4669" w:rsidRDefault="00AA4669" w:rsidP="00AA4669">
      <w:pPr>
        <w:spacing w:after="0" w:line="480" w:lineRule="auto"/>
        <w:contextualSpacing/>
        <w:rPr>
          <w:rFonts w:ascii="Calibri" w:eastAsia="Times New Roman" w:hAnsi="Calibri" w:cs="Calibri"/>
          <w:color w:val="000000" w:themeColor="text1"/>
          <w:sz w:val="24"/>
          <w:szCs w:val="24"/>
        </w:rPr>
      </w:pPr>
      <w:r w:rsidRPr="00AA4669">
        <w:rPr>
          <w:rFonts w:ascii="Calibri" w:eastAsia="Times New Roman" w:hAnsi="Calibri" w:cs="Calibri"/>
          <w:color w:val="000000" w:themeColor="text1"/>
          <w:sz w:val="24"/>
          <w:szCs w:val="24"/>
        </w:rPr>
        <w:lastRenderedPageBreak/>
        <w:t xml:space="preserve">Figure B.1.3: Dynamic Exponentially Weighted Moving Average (EWMA, </w:t>
      </w:r>
      <m:oMath>
        <m:r>
          <w:rPr>
            <w:rFonts w:ascii="Cambria Math" w:eastAsia="Times New Roman" w:hAnsi="Cambria Math" w:cs="Calibri"/>
            <w:color w:val="000000" w:themeColor="text1"/>
            <w:sz w:val="24"/>
            <w:szCs w:val="24"/>
          </w:rPr>
          <m:t>λ=0.94</m:t>
        </m:r>
      </m:oMath>
      <w:r w:rsidRPr="00AA4669">
        <w:rPr>
          <w:rFonts w:ascii="Calibri" w:eastAsia="Times New Roman" w:hAnsi="Calibri" w:cs="Calibri"/>
          <w:color w:val="000000" w:themeColor="text1"/>
          <w:sz w:val="24"/>
          <w:szCs w:val="24"/>
        </w:rPr>
        <w:t>)</w:t>
      </w:r>
    </w:p>
    <w:p w14:paraId="1D9F072F" w14:textId="3D052FA1" w:rsidR="00A6207B" w:rsidRDefault="00B31152" w:rsidP="00CA51FB">
      <w:pPr>
        <w:spacing w:after="0" w:line="480" w:lineRule="auto"/>
        <w:contextualSpacing/>
        <w:jc w:val="center"/>
        <w:rPr>
          <w:rFonts w:ascii="Calibri" w:eastAsia="Times New Roman" w:hAnsi="Calibri" w:cs="Calibri"/>
          <w:b/>
          <w:bCs/>
          <w:color w:val="000000" w:themeColor="text1"/>
          <w:sz w:val="24"/>
          <w:szCs w:val="24"/>
        </w:rPr>
      </w:pPr>
      <w:r>
        <w:rPr>
          <w:rFonts w:ascii="Calibri" w:eastAsia="Times New Roman" w:hAnsi="Calibri" w:cs="Calibri"/>
          <w:b/>
          <w:bCs/>
          <w:noProof/>
          <w:color w:val="000000" w:themeColor="text1"/>
          <w:sz w:val="24"/>
          <w:szCs w:val="24"/>
        </w:rPr>
        <w:drawing>
          <wp:inline distT="0" distB="0" distL="0" distR="0" wp14:anchorId="0EB36EDE" wp14:editId="7E240022">
            <wp:extent cx="5943600" cy="2943225"/>
            <wp:effectExtent l="0" t="0" r="0" b="9525"/>
            <wp:docPr id="332275740" name="Picture 4" descr="The image displays a line chart illustrating the dynamic Exponentially Weighted Moving Average (EWMA) Value at Risk (VaR) at a 95% confidence level, with specific data points for the years 2008-2010, highlighting financial returns and exce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75740" name="Picture 4" descr="The image displays a line chart illustrating the dynamic Exponentially Weighted Moving Average (EWMA) Value at Risk (VaR) at a 95% confidence level, with specific data points for the years 2008-2010, highlighting financial returns and exception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5D4CCC07" w14:textId="36678869" w:rsidR="00A6207B" w:rsidRPr="00A6207B" w:rsidRDefault="00A6207B" w:rsidP="00A6207B">
      <w:pPr>
        <w:spacing w:after="0" w:line="480" w:lineRule="auto"/>
        <w:contextualSpacing/>
        <w:rPr>
          <w:rFonts w:ascii="Calibri" w:hAnsi="Calibri" w:cs="Calibri"/>
          <w:color w:val="000000" w:themeColor="text1"/>
        </w:rPr>
      </w:pPr>
      <w:r w:rsidRPr="00A6207B">
        <w:rPr>
          <w:rFonts w:ascii="Calibri" w:eastAsia="Times New Roman" w:hAnsi="Calibri" w:cs="Calibri"/>
          <w:color w:val="000000" w:themeColor="text1"/>
          <w:sz w:val="24"/>
          <w:szCs w:val="24"/>
        </w:rPr>
        <w:t>Figure B.1.4: Dynamic GJR-</w:t>
      </w:r>
      <w:proofErr w:type="gramStart"/>
      <w:r w:rsidRPr="00A6207B">
        <w:rPr>
          <w:rFonts w:ascii="Calibri" w:eastAsia="Times New Roman" w:hAnsi="Calibri" w:cs="Calibri"/>
          <w:color w:val="000000" w:themeColor="text1"/>
          <w:sz w:val="24"/>
          <w:szCs w:val="24"/>
        </w:rPr>
        <w:t>GARCH(</w:t>
      </w:r>
      <w:proofErr w:type="gramEnd"/>
      <w:r w:rsidRPr="00A6207B">
        <w:rPr>
          <w:rFonts w:ascii="Calibri" w:eastAsia="Times New Roman" w:hAnsi="Calibri" w:cs="Calibri"/>
          <w:color w:val="000000" w:themeColor="text1"/>
          <w:sz w:val="24"/>
          <w:szCs w:val="24"/>
        </w:rPr>
        <w:t>1,1) Asymmetric Model</w:t>
      </w:r>
      <w:r w:rsidRPr="00A6207B">
        <w:rPr>
          <w:rFonts w:ascii="Calibri" w:hAnsi="Calibri" w:cs="Calibri"/>
          <w:color w:val="000000" w:themeColor="text1"/>
        </w:rPr>
        <w:t xml:space="preserve"> </w:t>
      </w:r>
      <w:r w:rsidR="00B31152">
        <w:rPr>
          <w:rFonts w:ascii="Calibri" w:eastAsia="Times New Roman" w:hAnsi="Calibri" w:cs="Calibri"/>
          <w:b/>
          <w:bCs/>
          <w:noProof/>
          <w:color w:val="000000" w:themeColor="text1"/>
          <w:sz w:val="24"/>
          <w:szCs w:val="24"/>
        </w:rPr>
        <w:drawing>
          <wp:inline distT="0" distB="0" distL="0" distR="0" wp14:anchorId="7AF351FE" wp14:editId="46261F5F">
            <wp:extent cx="5943600" cy="2943225"/>
            <wp:effectExtent l="0" t="0" r="0" b="9525"/>
            <wp:docPr id="955082000" name="Picture 5" descr="The image displays a graph with two lines, one representing daily returns (in percentages) and the other showing Value at Risk (VaR) at a 95% confidence level, specifically for the Dynamic GJR-GARCH(1,1) model, with data points plotted across various dates from January 2008 to January 2010, and includes a note on the p-values for Concentrated Financials during the 2008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82000" name="Picture 5" descr="The image displays a graph with two lines, one representing daily returns (in percentages) and the other showing Value at Risk (VaR) at a 95% confidence level, specifically for the Dynamic GJR-GARCH(1,1) model, with data points plotted across various dates from January 2008 to January 2010, and includes a note on the p-values for Concentrated Financials during the 2008 crisi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r w:rsidR="000D44AD" w:rsidRPr="000D44AD">
        <w:rPr>
          <w:rFonts w:ascii="Calibri" w:eastAsia="Times New Roman" w:hAnsi="Calibri" w:cs="Calibri"/>
          <w:color w:val="000000" w:themeColor="text1"/>
          <w:sz w:val="24"/>
          <w:szCs w:val="24"/>
        </w:rPr>
        <w:t xml:space="preserve"> </w:t>
      </w:r>
      <w:r w:rsidR="00D30CCA" w:rsidRPr="00A6207B">
        <w:rPr>
          <w:rFonts w:ascii="Calibri" w:eastAsia="Times New Roman" w:hAnsi="Calibri" w:cs="Calibri"/>
          <w:color w:val="000000" w:themeColor="text1"/>
          <w:sz w:val="24"/>
          <w:szCs w:val="24"/>
        </w:rPr>
        <w:t xml:space="preserve">Figure </w:t>
      </w:r>
      <w:r w:rsidR="000D44AD" w:rsidRPr="00A6207B">
        <w:rPr>
          <w:rFonts w:ascii="Calibri" w:eastAsia="Times New Roman" w:hAnsi="Calibri" w:cs="Calibri"/>
          <w:color w:val="000000" w:themeColor="text1"/>
          <w:sz w:val="24"/>
          <w:szCs w:val="24"/>
        </w:rPr>
        <w:t xml:space="preserve">B.1.5: Semi-Parametric </w:t>
      </w:r>
      <w:r w:rsidRPr="00A6207B">
        <w:rPr>
          <w:rFonts w:ascii="Calibri" w:eastAsia="Times New Roman" w:hAnsi="Calibri" w:cs="Calibri"/>
          <w:color w:val="000000" w:themeColor="text1"/>
          <w:sz w:val="24"/>
          <w:szCs w:val="24"/>
        </w:rPr>
        <w:t>Filtered Historical Simulation (FHS)</w:t>
      </w:r>
    </w:p>
    <w:p w14:paraId="44F56378" w14:textId="198FD2F2" w:rsidR="00CA51FB" w:rsidRDefault="001D5E57" w:rsidP="00A6207B">
      <w:pPr>
        <w:spacing w:after="0" w:line="480" w:lineRule="auto"/>
        <w:contextualSpacing/>
        <w:rPr>
          <w:rFonts w:ascii="Calibri" w:eastAsia="Times New Roman" w:hAnsi="Calibri" w:cs="Calibri"/>
          <w:b/>
          <w:bCs/>
          <w:color w:val="000000" w:themeColor="text1"/>
          <w:sz w:val="24"/>
          <w:szCs w:val="24"/>
        </w:rPr>
      </w:pPr>
      <w:r>
        <w:rPr>
          <w:rFonts w:ascii="Calibri" w:eastAsia="Times New Roman" w:hAnsi="Calibri" w:cs="Calibri"/>
          <w:b/>
          <w:bCs/>
          <w:noProof/>
          <w:color w:val="000000" w:themeColor="text1"/>
          <w:sz w:val="24"/>
          <w:szCs w:val="24"/>
        </w:rPr>
        <w:lastRenderedPageBreak/>
        <w:drawing>
          <wp:inline distT="0" distB="0" distL="0" distR="0" wp14:anchorId="6A6D9284" wp14:editId="39A408E0">
            <wp:extent cx="5943600" cy="2943225"/>
            <wp:effectExtent l="0" t="0" r="0" b="9525"/>
            <wp:docPr id="1363341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3585466D" w14:textId="762C3192" w:rsidR="00CA51FB" w:rsidRPr="001B73F8" w:rsidRDefault="00763159" w:rsidP="00A6207B">
      <w:pPr>
        <w:spacing w:after="0" w:line="480" w:lineRule="auto"/>
        <w:contextualSpacing/>
        <w:rPr>
          <w:rFonts w:ascii="Calibri" w:eastAsia="Times New Roman" w:hAnsi="Calibri" w:cs="Calibri"/>
          <w:b/>
          <w:bCs/>
          <w:color w:val="000000" w:themeColor="text1"/>
          <w:sz w:val="24"/>
          <w:szCs w:val="24"/>
        </w:rPr>
      </w:pPr>
      <w:r w:rsidRPr="001B73F8">
        <w:rPr>
          <w:rFonts w:ascii="Calibri" w:eastAsia="Times New Roman" w:hAnsi="Calibri" w:cs="Calibri"/>
          <w:b/>
          <w:bCs/>
          <w:color w:val="000000" w:themeColor="text1"/>
          <w:sz w:val="24"/>
          <w:szCs w:val="24"/>
        </w:rPr>
        <w:t>Appendix B.2: Diversified Multi-Asset Portfolio Diagnostics</w:t>
      </w:r>
    </w:p>
    <w:p w14:paraId="401C5588" w14:textId="0FF01701" w:rsidR="00763159" w:rsidRDefault="00763159" w:rsidP="00763159">
      <w:pPr>
        <w:spacing w:after="0" w:line="480" w:lineRule="auto"/>
        <w:contextualSpacing/>
        <w:rPr>
          <w:rFonts w:ascii="Calibri" w:eastAsia="Times New Roman" w:hAnsi="Calibri" w:cs="Calibri"/>
          <w:color w:val="000000" w:themeColor="text1"/>
          <w:sz w:val="24"/>
          <w:szCs w:val="24"/>
        </w:rPr>
      </w:pPr>
      <w:r w:rsidRPr="00763159">
        <w:rPr>
          <w:rFonts w:ascii="Calibri" w:eastAsia="Times New Roman" w:hAnsi="Calibri" w:cs="Calibri"/>
          <w:color w:val="000000" w:themeColor="text1"/>
          <w:sz w:val="24"/>
          <w:szCs w:val="24"/>
        </w:rPr>
        <w:t>Figure B.2.1: Rolling Historical Simulation (252-Day Window)</w:t>
      </w:r>
    </w:p>
    <w:p w14:paraId="776299B3" w14:textId="79B26AB4" w:rsidR="00263862" w:rsidRPr="00763159" w:rsidRDefault="00263862" w:rsidP="00763159">
      <w:pPr>
        <w:spacing w:after="0" w:line="480" w:lineRule="auto"/>
        <w:contextualSpacing/>
        <w:rPr>
          <w:rFonts w:ascii="Calibri" w:eastAsia="Times New Roman" w:hAnsi="Calibri" w:cs="Calibri"/>
          <w:color w:val="000000" w:themeColor="text1"/>
          <w:sz w:val="24"/>
          <w:szCs w:val="24"/>
        </w:rPr>
      </w:pPr>
      <w:r>
        <w:rPr>
          <w:rFonts w:ascii="Calibri" w:eastAsia="Times New Roman" w:hAnsi="Calibri" w:cs="Calibri"/>
          <w:noProof/>
          <w:color w:val="000000" w:themeColor="text1"/>
          <w:sz w:val="24"/>
          <w:szCs w:val="24"/>
        </w:rPr>
        <w:drawing>
          <wp:inline distT="0" distB="0" distL="0" distR="0" wp14:anchorId="0123EEF3" wp14:editId="4F4789BF">
            <wp:extent cx="5943600" cy="2943225"/>
            <wp:effectExtent l="0" t="0" r="0" b="9525"/>
            <wp:docPr id="1547809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1A0A1235" w14:textId="0A8EB7CF" w:rsidR="00763159" w:rsidRDefault="00763159" w:rsidP="00763159">
      <w:pPr>
        <w:spacing w:after="0" w:line="480" w:lineRule="auto"/>
        <w:contextualSpacing/>
        <w:rPr>
          <w:rFonts w:ascii="Calibri" w:eastAsia="Times New Roman" w:hAnsi="Calibri" w:cs="Calibri"/>
          <w:color w:val="000000" w:themeColor="text1"/>
          <w:sz w:val="24"/>
          <w:szCs w:val="24"/>
        </w:rPr>
      </w:pPr>
      <w:r w:rsidRPr="00763159">
        <w:rPr>
          <w:rFonts w:ascii="Calibri" w:eastAsia="Times New Roman" w:hAnsi="Calibri" w:cs="Calibri"/>
          <w:color w:val="000000" w:themeColor="text1"/>
          <w:sz w:val="24"/>
          <w:szCs w:val="24"/>
        </w:rPr>
        <w:t>Figure B.2.2: Rolling Parametric Normal Model</w:t>
      </w:r>
    </w:p>
    <w:p w14:paraId="411EDD2D" w14:textId="1D5EB0AF" w:rsidR="00263862" w:rsidRPr="00763159" w:rsidRDefault="00263862" w:rsidP="00763159">
      <w:pPr>
        <w:spacing w:after="0" w:line="480" w:lineRule="auto"/>
        <w:contextualSpacing/>
        <w:rPr>
          <w:rFonts w:ascii="Calibri" w:eastAsia="Times New Roman" w:hAnsi="Calibri" w:cs="Calibri"/>
          <w:color w:val="000000" w:themeColor="text1"/>
          <w:sz w:val="24"/>
          <w:szCs w:val="24"/>
        </w:rPr>
      </w:pPr>
      <w:r>
        <w:rPr>
          <w:rFonts w:ascii="Calibri" w:eastAsia="Times New Roman" w:hAnsi="Calibri" w:cs="Calibri"/>
          <w:noProof/>
          <w:color w:val="000000" w:themeColor="text1"/>
          <w:sz w:val="24"/>
          <w:szCs w:val="24"/>
        </w:rPr>
        <w:lastRenderedPageBreak/>
        <w:drawing>
          <wp:inline distT="0" distB="0" distL="0" distR="0" wp14:anchorId="6A0C0C23" wp14:editId="083408F0">
            <wp:extent cx="5943600" cy="2943225"/>
            <wp:effectExtent l="0" t="0" r="0" b="9525"/>
            <wp:docPr id="1439909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0F694D87" w14:textId="4AED2334" w:rsidR="00763159" w:rsidRDefault="00763159" w:rsidP="00763159">
      <w:pPr>
        <w:spacing w:after="0" w:line="480" w:lineRule="auto"/>
        <w:contextualSpacing/>
        <w:rPr>
          <w:rFonts w:ascii="Calibri" w:eastAsia="Times New Roman" w:hAnsi="Calibri" w:cs="Calibri"/>
          <w:color w:val="000000" w:themeColor="text1"/>
          <w:sz w:val="24"/>
          <w:szCs w:val="24"/>
        </w:rPr>
      </w:pPr>
      <w:r w:rsidRPr="00763159">
        <w:rPr>
          <w:rFonts w:ascii="Calibri" w:eastAsia="Times New Roman" w:hAnsi="Calibri" w:cs="Calibri"/>
          <w:color w:val="000000" w:themeColor="text1"/>
          <w:sz w:val="24"/>
          <w:szCs w:val="24"/>
        </w:rPr>
        <w:t xml:space="preserve">Figure B.2.3: Dynamic Exponentially Weighted Moving Average (EWMA, </w:t>
      </w:r>
      <m:oMath>
        <m:r>
          <w:rPr>
            <w:rFonts w:ascii="Cambria Math" w:eastAsia="Times New Roman" w:hAnsi="Cambria Math" w:cs="Calibri"/>
            <w:color w:val="000000" w:themeColor="text1"/>
            <w:sz w:val="24"/>
            <w:szCs w:val="24"/>
          </w:rPr>
          <m:t>λ</m:t>
        </m:r>
        <m:r>
          <m:rPr>
            <m:sty m:val="p"/>
          </m:rPr>
          <w:rPr>
            <w:rFonts w:ascii="Cambria Math" w:eastAsia="Times New Roman" w:hAnsi="Cambria Math" w:cs="Calibri"/>
            <w:color w:val="000000" w:themeColor="text1"/>
            <w:sz w:val="24"/>
            <w:szCs w:val="24"/>
          </w:rPr>
          <m:t>=0.94</m:t>
        </m:r>
      </m:oMath>
      <w:r w:rsidRPr="00763159">
        <w:rPr>
          <w:rFonts w:ascii="Calibri" w:eastAsia="Times New Roman" w:hAnsi="Calibri" w:cs="Calibri"/>
          <w:color w:val="000000" w:themeColor="text1"/>
          <w:sz w:val="24"/>
          <w:szCs w:val="24"/>
        </w:rPr>
        <w:t>)</w:t>
      </w:r>
    </w:p>
    <w:p w14:paraId="08161CF9" w14:textId="0F950EF4" w:rsidR="00263862" w:rsidRPr="00763159" w:rsidRDefault="00263862" w:rsidP="00763159">
      <w:pPr>
        <w:spacing w:after="0" w:line="480" w:lineRule="auto"/>
        <w:contextualSpacing/>
        <w:rPr>
          <w:rFonts w:ascii="Calibri" w:eastAsia="Times New Roman" w:hAnsi="Calibri" w:cs="Calibri"/>
          <w:color w:val="000000" w:themeColor="text1"/>
          <w:sz w:val="24"/>
          <w:szCs w:val="24"/>
        </w:rPr>
      </w:pPr>
      <w:r>
        <w:rPr>
          <w:rFonts w:ascii="Calibri" w:eastAsia="Times New Roman" w:hAnsi="Calibri" w:cs="Calibri"/>
          <w:noProof/>
          <w:color w:val="000000" w:themeColor="text1"/>
          <w:sz w:val="24"/>
          <w:szCs w:val="24"/>
        </w:rPr>
        <w:drawing>
          <wp:inline distT="0" distB="0" distL="0" distR="0" wp14:anchorId="119B8DDB" wp14:editId="169C60A3">
            <wp:extent cx="5943600" cy="2943225"/>
            <wp:effectExtent l="0" t="0" r="0" b="9525"/>
            <wp:docPr id="840953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55CFF874" w14:textId="7C51C125" w:rsidR="00763159" w:rsidRDefault="00763159" w:rsidP="00763159">
      <w:pPr>
        <w:spacing w:after="0" w:line="480" w:lineRule="auto"/>
        <w:contextualSpacing/>
        <w:rPr>
          <w:rFonts w:ascii="Calibri" w:eastAsia="Times New Roman" w:hAnsi="Calibri" w:cs="Calibri"/>
          <w:color w:val="000000" w:themeColor="text1"/>
          <w:sz w:val="24"/>
          <w:szCs w:val="24"/>
        </w:rPr>
      </w:pPr>
      <w:r w:rsidRPr="00763159">
        <w:rPr>
          <w:rFonts w:ascii="Calibri" w:eastAsia="Times New Roman" w:hAnsi="Calibri" w:cs="Calibri"/>
          <w:color w:val="000000" w:themeColor="text1"/>
          <w:sz w:val="24"/>
          <w:szCs w:val="24"/>
        </w:rPr>
        <w:t>Figure B.2.4: Dynamic GJR-</w:t>
      </w:r>
      <w:proofErr w:type="gramStart"/>
      <w:r w:rsidRPr="00763159">
        <w:rPr>
          <w:rFonts w:ascii="Calibri" w:eastAsia="Times New Roman" w:hAnsi="Calibri" w:cs="Calibri"/>
          <w:color w:val="000000" w:themeColor="text1"/>
          <w:sz w:val="24"/>
          <w:szCs w:val="24"/>
        </w:rPr>
        <w:t>GARCH(</w:t>
      </w:r>
      <w:proofErr w:type="gramEnd"/>
      <w:r w:rsidRPr="00763159">
        <w:rPr>
          <w:rFonts w:ascii="Calibri" w:eastAsia="Times New Roman" w:hAnsi="Calibri" w:cs="Calibri"/>
          <w:color w:val="000000" w:themeColor="text1"/>
          <w:sz w:val="24"/>
          <w:szCs w:val="24"/>
        </w:rPr>
        <w:t>1,1) Asymmetric Model</w:t>
      </w:r>
    </w:p>
    <w:p w14:paraId="06055BB8" w14:textId="0D90C60D" w:rsidR="00263862" w:rsidRPr="00763159" w:rsidRDefault="00AC0BC4" w:rsidP="00763159">
      <w:pPr>
        <w:spacing w:after="0" w:line="480" w:lineRule="auto"/>
        <w:contextualSpacing/>
        <w:rPr>
          <w:rFonts w:ascii="Calibri" w:eastAsia="Times New Roman" w:hAnsi="Calibri" w:cs="Calibri"/>
          <w:color w:val="000000" w:themeColor="text1"/>
          <w:sz w:val="24"/>
          <w:szCs w:val="24"/>
        </w:rPr>
      </w:pPr>
      <w:r>
        <w:rPr>
          <w:rFonts w:ascii="Calibri" w:eastAsia="Times New Roman" w:hAnsi="Calibri" w:cs="Calibri"/>
          <w:noProof/>
          <w:color w:val="000000" w:themeColor="text1"/>
          <w:sz w:val="24"/>
          <w:szCs w:val="24"/>
        </w:rPr>
        <w:lastRenderedPageBreak/>
        <w:drawing>
          <wp:inline distT="0" distB="0" distL="0" distR="0" wp14:anchorId="3F6E17CD" wp14:editId="0CA49FA0">
            <wp:extent cx="5943600" cy="2943225"/>
            <wp:effectExtent l="0" t="0" r="0" b="9525"/>
            <wp:docPr id="892744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267B4DC3" w14:textId="6E04EF80" w:rsidR="00763159" w:rsidRPr="00763159" w:rsidRDefault="00763159" w:rsidP="00763159">
      <w:pPr>
        <w:spacing w:after="0" w:line="480" w:lineRule="auto"/>
        <w:contextualSpacing/>
        <w:rPr>
          <w:rFonts w:ascii="Calibri" w:eastAsia="Times New Roman" w:hAnsi="Calibri" w:cs="Calibri"/>
          <w:color w:val="000000" w:themeColor="text1"/>
          <w:sz w:val="24"/>
          <w:szCs w:val="24"/>
        </w:rPr>
      </w:pPr>
      <w:r w:rsidRPr="00763159">
        <w:rPr>
          <w:rFonts w:ascii="Calibri" w:eastAsia="Times New Roman" w:hAnsi="Calibri" w:cs="Calibri"/>
          <w:color w:val="000000" w:themeColor="text1"/>
          <w:sz w:val="24"/>
          <w:szCs w:val="24"/>
        </w:rPr>
        <w:t>Figure B.2.5: Semi-Parametric Filtered Historical Simulation (FHS)</w:t>
      </w:r>
    </w:p>
    <w:p w14:paraId="67C99D2C" w14:textId="33399A3F" w:rsidR="00763159" w:rsidRDefault="00AC0BC4" w:rsidP="00A6207B">
      <w:pPr>
        <w:spacing w:after="0" w:line="480" w:lineRule="auto"/>
        <w:contextualSpacing/>
        <w:rPr>
          <w:rFonts w:ascii="Calibri" w:eastAsia="Times New Roman" w:hAnsi="Calibri" w:cs="Calibri"/>
          <w:b/>
          <w:bCs/>
          <w:color w:val="000000" w:themeColor="text1"/>
          <w:sz w:val="24"/>
          <w:szCs w:val="24"/>
        </w:rPr>
      </w:pPr>
      <w:r>
        <w:rPr>
          <w:rFonts w:ascii="Calibri" w:eastAsia="Times New Roman" w:hAnsi="Calibri" w:cs="Calibri"/>
          <w:b/>
          <w:bCs/>
          <w:noProof/>
          <w:color w:val="000000" w:themeColor="text1"/>
          <w:sz w:val="24"/>
          <w:szCs w:val="24"/>
        </w:rPr>
        <w:drawing>
          <wp:inline distT="0" distB="0" distL="0" distR="0" wp14:anchorId="7DA148F7" wp14:editId="3BD8F10F">
            <wp:extent cx="5943600" cy="2943225"/>
            <wp:effectExtent l="0" t="0" r="0" b="9525"/>
            <wp:docPr id="10068032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6E3D20C5" w14:textId="77777777" w:rsidR="00CA51FB" w:rsidRDefault="00CA51FB" w:rsidP="00CA51FB">
      <w:pPr>
        <w:spacing w:after="0" w:line="480" w:lineRule="auto"/>
        <w:contextualSpacing/>
        <w:jc w:val="center"/>
        <w:rPr>
          <w:rFonts w:ascii="Calibri" w:eastAsia="Times New Roman" w:hAnsi="Calibri" w:cs="Calibri"/>
          <w:b/>
          <w:bCs/>
          <w:color w:val="000000" w:themeColor="text1"/>
          <w:sz w:val="24"/>
          <w:szCs w:val="24"/>
        </w:rPr>
      </w:pPr>
    </w:p>
    <w:p w14:paraId="570D12EB" w14:textId="77777777" w:rsidR="00CA51FB" w:rsidRDefault="00CA51FB" w:rsidP="00CA51FB">
      <w:pPr>
        <w:spacing w:after="0" w:line="480" w:lineRule="auto"/>
        <w:contextualSpacing/>
        <w:jc w:val="center"/>
        <w:rPr>
          <w:rFonts w:ascii="Calibri" w:eastAsia="Times New Roman" w:hAnsi="Calibri" w:cs="Calibri"/>
          <w:b/>
          <w:bCs/>
          <w:color w:val="000000" w:themeColor="text1"/>
          <w:sz w:val="24"/>
          <w:szCs w:val="24"/>
        </w:rPr>
      </w:pPr>
    </w:p>
    <w:p w14:paraId="0B7E99B7" w14:textId="77777777" w:rsidR="00CA51FB" w:rsidRDefault="00CA51FB" w:rsidP="00CA51FB">
      <w:pPr>
        <w:spacing w:after="0" w:line="480" w:lineRule="auto"/>
        <w:contextualSpacing/>
        <w:jc w:val="center"/>
        <w:rPr>
          <w:rFonts w:ascii="Calibri" w:eastAsia="Times New Roman" w:hAnsi="Calibri" w:cs="Calibri"/>
          <w:b/>
          <w:bCs/>
          <w:color w:val="000000" w:themeColor="text1"/>
          <w:sz w:val="24"/>
          <w:szCs w:val="24"/>
        </w:rPr>
      </w:pPr>
    </w:p>
    <w:p w14:paraId="62DC6343" w14:textId="77777777" w:rsidR="00AC0BC4" w:rsidRDefault="00AC0BC4">
      <w:pPr>
        <w:spacing w:after="160" w:line="278" w:lineRule="auto"/>
        <w:rPr>
          <w:rFonts w:ascii="Calibri" w:hAnsi="Calibri" w:cs="Calibri"/>
          <w:color w:val="000000" w:themeColor="text1"/>
          <w:sz w:val="24"/>
          <w:szCs w:val="24"/>
        </w:rPr>
      </w:pPr>
      <w:r>
        <w:rPr>
          <w:rFonts w:ascii="Calibri" w:hAnsi="Calibri" w:cs="Calibri"/>
          <w:color w:val="000000" w:themeColor="text1"/>
          <w:sz w:val="24"/>
          <w:szCs w:val="24"/>
        </w:rPr>
        <w:br w:type="page"/>
      </w:r>
    </w:p>
    <w:p w14:paraId="4AB4C5E3" w14:textId="43DF26B2" w:rsidR="00754E77" w:rsidRPr="00CA51FB" w:rsidRDefault="00754E77" w:rsidP="00CA51FB">
      <w:pPr>
        <w:spacing w:after="0" w:line="480" w:lineRule="auto"/>
        <w:contextualSpacing/>
        <w:jc w:val="center"/>
        <w:rPr>
          <w:rFonts w:ascii="Calibri" w:eastAsia="Times New Roman" w:hAnsi="Calibri" w:cs="Calibri"/>
          <w:b/>
          <w:bCs/>
          <w:color w:val="000000" w:themeColor="text1"/>
          <w:sz w:val="24"/>
          <w:szCs w:val="24"/>
        </w:rPr>
      </w:pPr>
      <w:r w:rsidRPr="000961DF">
        <w:rPr>
          <w:rFonts w:ascii="Calibri" w:hAnsi="Calibri" w:cs="Calibri"/>
          <w:color w:val="000000" w:themeColor="text1"/>
          <w:sz w:val="24"/>
          <w:szCs w:val="24"/>
        </w:rPr>
        <w:lastRenderedPageBreak/>
        <w:t>References</w:t>
      </w:r>
    </w:p>
    <w:p w14:paraId="14186B30" w14:textId="77777777" w:rsidR="00754E77" w:rsidRDefault="00754E77" w:rsidP="00754E77">
      <w:pPr>
        <w:spacing w:line="480" w:lineRule="auto"/>
        <w:ind w:left="720" w:hanging="720"/>
        <w:rPr>
          <w:rFonts w:ascii="Calibri" w:hAnsi="Calibri" w:cs="Calibri"/>
        </w:rPr>
      </w:pPr>
      <w:proofErr w:type="spellStart"/>
      <w:r w:rsidRPr="003A6779">
        <w:rPr>
          <w:rFonts w:ascii="Calibri" w:hAnsi="Calibri" w:cs="Calibri"/>
        </w:rPr>
        <w:t>Artzner</w:t>
      </w:r>
      <w:proofErr w:type="spellEnd"/>
      <w:r w:rsidRPr="003A6779">
        <w:rPr>
          <w:rFonts w:ascii="Calibri" w:hAnsi="Calibri" w:cs="Calibri"/>
        </w:rPr>
        <w:t xml:space="preserve">, P., </w:t>
      </w:r>
      <w:proofErr w:type="spellStart"/>
      <w:r w:rsidRPr="003A6779">
        <w:rPr>
          <w:rFonts w:ascii="Calibri" w:hAnsi="Calibri" w:cs="Calibri"/>
        </w:rPr>
        <w:t>Delbaen</w:t>
      </w:r>
      <w:proofErr w:type="spellEnd"/>
      <w:r w:rsidRPr="003A6779">
        <w:rPr>
          <w:rFonts w:ascii="Calibri" w:hAnsi="Calibri" w:cs="Calibri"/>
        </w:rPr>
        <w:t xml:space="preserve">, F., Eber, J. M., &amp; Heath, D. (1999). Coherent measures of risk. </w:t>
      </w:r>
      <w:r w:rsidRPr="003A6779">
        <w:rPr>
          <w:rFonts w:ascii="Calibri" w:hAnsi="Calibri" w:cs="Calibri"/>
          <w:i/>
          <w:iCs/>
        </w:rPr>
        <w:t>Mathematical Finance</w:t>
      </w:r>
      <w:r w:rsidRPr="003A6779">
        <w:rPr>
          <w:rFonts w:ascii="Calibri" w:hAnsi="Calibri" w:cs="Calibri"/>
        </w:rPr>
        <w:t xml:space="preserve">, </w:t>
      </w:r>
      <w:r w:rsidRPr="003A6779">
        <w:rPr>
          <w:rFonts w:ascii="Calibri" w:hAnsi="Calibri" w:cs="Calibri"/>
          <w:i/>
          <w:iCs/>
        </w:rPr>
        <w:t>9</w:t>
      </w:r>
      <w:r w:rsidRPr="003A6779">
        <w:rPr>
          <w:rFonts w:ascii="Calibri" w:hAnsi="Calibri" w:cs="Calibri"/>
        </w:rPr>
        <w:t xml:space="preserve">(3), 203–228. </w:t>
      </w:r>
      <w:hyperlink r:id="rId18" w:tgtFrame="_blank" w:history="1">
        <w:r w:rsidRPr="003A6779">
          <w:rPr>
            <w:rStyle w:val="Hyperlink"/>
            <w:rFonts w:ascii="Calibri" w:hAnsi="Calibri" w:cs="Calibri"/>
          </w:rPr>
          <w:t>https://doi.org/10.1111/1467-9965.00068</w:t>
        </w:r>
      </w:hyperlink>
    </w:p>
    <w:p w14:paraId="07D4BC20" w14:textId="77777777" w:rsidR="00754E77" w:rsidRDefault="00754E77" w:rsidP="00754E77">
      <w:pPr>
        <w:spacing w:line="480" w:lineRule="auto"/>
        <w:ind w:left="720" w:hanging="720"/>
        <w:rPr>
          <w:rFonts w:ascii="Calibri" w:hAnsi="Calibri" w:cs="Calibri"/>
        </w:rPr>
      </w:pPr>
      <w:r w:rsidRPr="008927EF">
        <w:rPr>
          <w:rFonts w:ascii="Calibri" w:hAnsi="Calibri" w:cs="Calibri"/>
        </w:rPr>
        <w:t xml:space="preserve">Ballabio, L., &amp; Balaraman, G. (2026). </w:t>
      </w:r>
      <w:proofErr w:type="spellStart"/>
      <w:r w:rsidRPr="008927EF">
        <w:rPr>
          <w:rFonts w:ascii="Calibri" w:hAnsi="Calibri" w:cs="Calibri"/>
          <w:i/>
          <w:iCs/>
        </w:rPr>
        <w:t>QuantLib</w:t>
      </w:r>
      <w:proofErr w:type="spellEnd"/>
      <w:r w:rsidRPr="008927EF">
        <w:rPr>
          <w:rFonts w:ascii="Calibri" w:hAnsi="Calibri" w:cs="Calibri"/>
          <w:i/>
          <w:iCs/>
        </w:rPr>
        <w:t xml:space="preserve"> Python cookbook</w:t>
      </w:r>
      <w:r>
        <w:rPr>
          <w:rFonts w:ascii="Calibri" w:hAnsi="Calibri" w:cs="Calibri"/>
          <w:i/>
          <w:iCs/>
        </w:rPr>
        <w:t xml:space="preserve">. </w:t>
      </w:r>
      <w:proofErr w:type="spellStart"/>
      <w:r w:rsidRPr="008927EF">
        <w:rPr>
          <w:rFonts w:ascii="Calibri" w:hAnsi="Calibri" w:cs="Calibri"/>
        </w:rPr>
        <w:t>Leanpub</w:t>
      </w:r>
      <w:proofErr w:type="spellEnd"/>
      <w:r w:rsidRPr="008927EF">
        <w:rPr>
          <w:rFonts w:ascii="Calibri" w:hAnsi="Calibri" w:cs="Calibri"/>
        </w:rPr>
        <w:t xml:space="preserve">. </w:t>
      </w:r>
      <w:hyperlink r:id="rId19" w:tgtFrame="_blank" w:history="1">
        <w:r w:rsidRPr="008927EF">
          <w:rPr>
            <w:rStyle w:val="Hyperlink"/>
            <w:rFonts w:ascii="Calibri" w:hAnsi="Calibri" w:cs="Calibri"/>
          </w:rPr>
          <w:t>https://leanpub.com/quantlibpythoncookbook</w:t>
        </w:r>
      </w:hyperlink>
      <w:r w:rsidRPr="008927EF">
        <w:rPr>
          <w:rFonts w:ascii="Calibri" w:hAnsi="Calibri" w:cs="Calibri"/>
        </w:rPr>
        <w:t xml:space="preserve"> </w:t>
      </w:r>
    </w:p>
    <w:p w14:paraId="0741C722" w14:textId="77777777" w:rsidR="00754E77" w:rsidRDefault="00754E77" w:rsidP="00754E77">
      <w:pPr>
        <w:spacing w:line="480" w:lineRule="auto"/>
        <w:ind w:left="720" w:hanging="720"/>
        <w:rPr>
          <w:rFonts w:ascii="Calibri" w:hAnsi="Calibri" w:cs="Calibri"/>
        </w:rPr>
      </w:pPr>
      <w:r w:rsidRPr="00743574">
        <w:rPr>
          <w:rFonts w:ascii="Calibri" w:hAnsi="Calibri" w:cs="Calibri"/>
        </w:rPr>
        <w:t xml:space="preserve">Basel Committee on Banking Supervision. (2019). </w:t>
      </w:r>
      <w:r w:rsidRPr="00743574">
        <w:rPr>
          <w:rFonts w:ascii="Calibri" w:hAnsi="Calibri" w:cs="Calibri"/>
          <w:i/>
          <w:iCs/>
        </w:rPr>
        <w:t>Minimum capital requirements for market risk</w:t>
      </w:r>
      <w:r w:rsidRPr="00743574">
        <w:rPr>
          <w:rFonts w:ascii="Calibri" w:hAnsi="Calibri" w:cs="Calibri"/>
        </w:rPr>
        <w:t xml:space="preserve"> (Revised market risk framework). Bank for International Settlements. </w:t>
      </w:r>
      <w:hyperlink r:id="rId20" w:tgtFrame="_blank" w:history="1">
        <w:r w:rsidRPr="00743574">
          <w:rPr>
            <w:rStyle w:val="Hyperlink"/>
            <w:rFonts w:ascii="Calibri" w:hAnsi="Calibri" w:cs="Calibri"/>
          </w:rPr>
          <w:t>https://www.bis.org/bcbs/publ/d457.htm</w:t>
        </w:r>
      </w:hyperlink>
      <w:r w:rsidRPr="00743574">
        <w:rPr>
          <w:rFonts w:ascii="Calibri" w:hAnsi="Calibri" w:cs="Calibri"/>
        </w:rPr>
        <w:t xml:space="preserve"> </w:t>
      </w:r>
    </w:p>
    <w:p w14:paraId="01811CFA" w14:textId="77777777" w:rsidR="00754E77" w:rsidRDefault="00754E77" w:rsidP="00754E77">
      <w:pPr>
        <w:spacing w:line="480" w:lineRule="auto"/>
        <w:ind w:left="720" w:hanging="720"/>
        <w:rPr>
          <w:rFonts w:ascii="Calibri" w:hAnsi="Calibri" w:cs="Calibri"/>
        </w:rPr>
      </w:pPr>
      <w:r w:rsidRPr="0025343F">
        <w:rPr>
          <w:rFonts w:ascii="Calibri" w:hAnsi="Calibri" w:cs="Calibri"/>
        </w:rPr>
        <w:t xml:space="preserve">Bollerslev, T. (1986). Generalized autoregressive conditional heteroskedasticity. </w:t>
      </w:r>
      <w:r w:rsidRPr="0025343F">
        <w:rPr>
          <w:rFonts w:ascii="Calibri" w:hAnsi="Calibri" w:cs="Calibri"/>
          <w:i/>
          <w:iCs/>
        </w:rPr>
        <w:t>Journal of Econometrics</w:t>
      </w:r>
      <w:r w:rsidRPr="0025343F">
        <w:rPr>
          <w:rFonts w:ascii="Calibri" w:hAnsi="Calibri" w:cs="Calibri"/>
        </w:rPr>
        <w:t xml:space="preserve">, </w:t>
      </w:r>
      <w:r w:rsidRPr="0025343F">
        <w:rPr>
          <w:rFonts w:ascii="Calibri" w:hAnsi="Calibri" w:cs="Calibri"/>
          <w:i/>
          <w:iCs/>
        </w:rPr>
        <w:t>31</w:t>
      </w:r>
      <w:r w:rsidRPr="0025343F">
        <w:rPr>
          <w:rFonts w:ascii="Calibri" w:hAnsi="Calibri" w:cs="Calibri"/>
        </w:rPr>
        <w:t xml:space="preserve">(3), 307–327. </w:t>
      </w:r>
      <w:hyperlink r:id="rId21" w:tgtFrame="_blank" w:history="1">
        <w:r w:rsidRPr="0025343F">
          <w:rPr>
            <w:rStyle w:val="Hyperlink"/>
            <w:rFonts w:ascii="Calibri" w:hAnsi="Calibri" w:cs="Calibri"/>
          </w:rPr>
          <w:t>https://doi.org/10.1016/0304-4076(86)90063-1</w:t>
        </w:r>
      </w:hyperlink>
    </w:p>
    <w:p w14:paraId="51414A15" w14:textId="77777777" w:rsidR="00754E77" w:rsidRDefault="00754E77" w:rsidP="00754E77">
      <w:pPr>
        <w:spacing w:line="480" w:lineRule="auto"/>
        <w:ind w:left="720" w:hanging="720"/>
        <w:rPr>
          <w:rFonts w:ascii="Calibri" w:hAnsi="Calibri" w:cs="Calibri"/>
        </w:rPr>
      </w:pPr>
      <w:r w:rsidRPr="0010392C">
        <w:rPr>
          <w:rFonts w:ascii="Calibri" w:hAnsi="Calibri" w:cs="Calibri"/>
        </w:rPr>
        <w:t xml:space="preserve">Brandimarte, P. (2006). </w:t>
      </w:r>
      <w:r w:rsidRPr="0010392C">
        <w:rPr>
          <w:rFonts w:ascii="Calibri" w:hAnsi="Calibri" w:cs="Calibri"/>
          <w:i/>
          <w:iCs/>
        </w:rPr>
        <w:t>Numerical methods in finance and economics: A MATLAB-based introduction</w:t>
      </w:r>
      <w:r w:rsidRPr="0010392C">
        <w:rPr>
          <w:rFonts w:ascii="Calibri" w:hAnsi="Calibri" w:cs="Calibri"/>
        </w:rPr>
        <w:t xml:space="preserve"> (2nd ed.). John Wiley &amp; Sons.</w:t>
      </w:r>
    </w:p>
    <w:p w14:paraId="2E29FEF0" w14:textId="5685DDA3" w:rsidR="004E048B" w:rsidRDefault="004E048B" w:rsidP="004E048B">
      <w:pPr>
        <w:spacing w:line="480" w:lineRule="auto"/>
        <w:ind w:left="720" w:hanging="720"/>
        <w:rPr>
          <w:rFonts w:ascii="Calibri" w:hAnsi="Calibri" w:cs="Calibri"/>
        </w:rPr>
      </w:pPr>
      <w:r w:rsidRPr="00092CB3">
        <w:rPr>
          <w:rFonts w:ascii="Calibri" w:hAnsi="Calibri" w:cs="Calibri"/>
        </w:rPr>
        <w:t xml:space="preserve">Brunnermeier, M. K., &amp; Pedersen, L. H. (2009). Market liquidity and funding liquidity. </w:t>
      </w:r>
      <w:proofErr w:type="gramStart"/>
      <w:r w:rsidRPr="00092CB3">
        <w:rPr>
          <w:rFonts w:ascii="Calibri" w:hAnsi="Calibri" w:cs="Calibri"/>
          <w:i/>
          <w:iCs/>
        </w:rPr>
        <w:t>The review</w:t>
      </w:r>
      <w:proofErr w:type="gramEnd"/>
      <w:r w:rsidRPr="00092CB3">
        <w:rPr>
          <w:rFonts w:ascii="Calibri" w:hAnsi="Calibri" w:cs="Calibri"/>
          <w:i/>
          <w:iCs/>
        </w:rPr>
        <w:t xml:space="preserve"> of </w:t>
      </w:r>
      <w:proofErr w:type="gramStart"/>
      <w:r w:rsidRPr="00092CB3">
        <w:rPr>
          <w:rFonts w:ascii="Calibri" w:hAnsi="Calibri" w:cs="Calibri"/>
          <w:i/>
          <w:iCs/>
        </w:rPr>
        <w:t>financial studies</w:t>
      </w:r>
      <w:proofErr w:type="gramEnd"/>
      <w:r w:rsidRPr="00092CB3">
        <w:rPr>
          <w:rFonts w:ascii="Calibri" w:hAnsi="Calibri" w:cs="Calibri"/>
        </w:rPr>
        <w:t xml:space="preserve">, </w:t>
      </w:r>
      <w:r w:rsidRPr="00092CB3">
        <w:rPr>
          <w:rFonts w:ascii="Calibri" w:hAnsi="Calibri" w:cs="Calibri"/>
          <w:i/>
          <w:iCs/>
        </w:rPr>
        <w:t>22</w:t>
      </w:r>
      <w:r w:rsidRPr="00092CB3">
        <w:rPr>
          <w:rFonts w:ascii="Calibri" w:hAnsi="Calibri" w:cs="Calibri"/>
        </w:rPr>
        <w:t>(6), 2201-2238.</w:t>
      </w:r>
      <w:r>
        <w:rPr>
          <w:rFonts w:ascii="Calibri" w:hAnsi="Calibri" w:cs="Calibri"/>
        </w:rPr>
        <w:t xml:space="preserve"> </w:t>
      </w:r>
      <w:hyperlink r:id="rId22" w:history="1">
        <w:r w:rsidRPr="00B94095">
          <w:rPr>
            <w:rStyle w:val="Hyperlink"/>
            <w:rFonts w:ascii="Calibri" w:hAnsi="Calibri" w:cs="Calibri"/>
          </w:rPr>
          <w:t>https://www.nber.org/system/files/working_papers/w12939/w12939.pdf</w:t>
        </w:r>
      </w:hyperlink>
    </w:p>
    <w:p w14:paraId="50C3E85D" w14:textId="77777777" w:rsidR="00754E77" w:rsidRDefault="00754E77" w:rsidP="00754E77">
      <w:pPr>
        <w:spacing w:line="480" w:lineRule="auto"/>
        <w:ind w:left="720" w:hanging="720"/>
        <w:rPr>
          <w:rFonts w:ascii="Calibri" w:hAnsi="Calibri" w:cs="Calibri"/>
        </w:rPr>
      </w:pPr>
      <w:proofErr w:type="spellStart"/>
      <w:r w:rsidRPr="00EA46AC">
        <w:rPr>
          <w:rFonts w:ascii="Calibri" w:hAnsi="Calibri" w:cs="Calibri"/>
        </w:rPr>
        <w:t>Cont</w:t>
      </w:r>
      <w:proofErr w:type="spellEnd"/>
      <w:r w:rsidRPr="00EA46AC">
        <w:rPr>
          <w:rFonts w:ascii="Calibri" w:hAnsi="Calibri" w:cs="Calibri"/>
        </w:rPr>
        <w:t>, R.</w:t>
      </w:r>
      <w:r w:rsidRPr="00220F66">
        <w:rPr>
          <w:rFonts w:ascii="Calibri" w:hAnsi="Calibri" w:cs="Calibri"/>
        </w:rPr>
        <w:t xml:space="preserve"> (2001). Empirical properties of asset returns: Stylized facts and statistical issues. </w:t>
      </w:r>
      <w:r w:rsidRPr="00220F66">
        <w:rPr>
          <w:rFonts w:ascii="Calibri" w:hAnsi="Calibri" w:cs="Calibri"/>
          <w:i/>
          <w:iCs/>
        </w:rPr>
        <w:t>Quantitative Finance</w:t>
      </w:r>
      <w:r w:rsidRPr="00220F66">
        <w:rPr>
          <w:rFonts w:ascii="Calibri" w:hAnsi="Calibri" w:cs="Calibri"/>
        </w:rPr>
        <w:t xml:space="preserve">, </w:t>
      </w:r>
      <w:r w:rsidRPr="00220F66">
        <w:rPr>
          <w:rFonts w:ascii="Calibri" w:hAnsi="Calibri" w:cs="Calibri"/>
          <w:i/>
          <w:iCs/>
        </w:rPr>
        <w:t>1</w:t>
      </w:r>
      <w:r w:rsidRPr="00220F66">
        <w:rPr>
          <w:rFonts w:ascii="Calibri" w:hAnsi="Calibri" w:cs="Calibri"/>
        </w:rPr>
        <w:t xml:space="preserve">(2), 223–236. </w:t>
      </w:r>
      <w:hyperlink r:id="rId23" w:tgtFrame="_blank" w:history="1">
        <w:r w:rsidRPr="00220F66">
          <w:rPr>
            <w:rStyle w:val="Hyperlink"/>
            <w:rFonts w:ascii="Calibri" w:hAnsi="Calibri" w:cs="Calibri"/>
          </w:rPr>
          <w:t>https://doi.org/10.1080/713665670</w:t>
        </w:r>
      </w:hyperlink>
    </w:p>
    <w:p w14:paraId="06B609D6" w14:textId="77777777" w:rsidR="00754E77" w:rsidRDefault="00754E77" w:rsidP="00754E77">
      <w:pPr>
        <w:spacing w:line="480" w:lineRule="auto"/>
        <w:ind w:left="720" w:hanging="720"/>
        <w:rPr>
          <w:rFonts w:ascii="Calibri" w:hAnsi="Calibri" w:cs="Calibri"/>
        </w:rPr>
      </w:pPr>
      <w:proofErr w:type="spellStart"/>
      <w:r w:rsidRPr="005B1B85">
        <w:rPr>
          <w:rFonts w:ascii="Calibri" w:hAnsi="Calibri" w:cs="Calibri"/>
        </w:rPr>
        <w:t>Crouhy</w:t>
      </w:r>
      <w:proofErr w:type="spellEnd"/>
      <w:r w:rsidRPr="005B1B85">
        <w:rPr>
          <w:rFonts w:ascii="Calibri" w:hAnsi="Calibri" w:cs="Calibri"/>
        </w:rPr>
        <w:t xml:space="preserve">, M., Galai, D., &amp; Mark, R. (2014). </w:t>
      </w:r>
      <w:r w:rsidRPr="005B1B85">
        <w:rPr>
          <w:rFonts w:ascii="Calibri" w:hAnsi="Calibri" w:cs="Calibri"/>
          <w:i/>
          <w:iCs/>
        </w:rPr>
        <w:t>The essentials of risk management</w:t>
      </w:r>
      <w:r w:rsidRPr="005B1B85">
        <w:rPr>
          <w:rFonts w:ascii="Calibri" w:hAnsi="Calibri" w:cs="Calibri"/>
        </w:rPr>
        <w:t xml:space="preserve"> (2nd ed.). McGraw-Hill Education.</w:t>
      </w:r>
    </w:p>
    <w:p w14:paraId="10A40640" w14:textId="77777777" w:rsidR="00754E77" w:rsidRDefault="00754E77" w:rsidP="00754E77">
      <w:pPr>
        <w:spacing w:line="480" w:lineRule="auto"/>
        <w:ind w:left="720" w:hanging="720"/>
        <w:rPr>
          <w:rFonts w:ascii="Calibri" w:hAnsi="Calibri" w:cs="Calibri"/>
        </w:rPr>
      </w:pPr>
      <w:r w:rsidRPr="00C3320A">
        <w:rPr>
          <w:rFonts w:ascii="Calibri" w:hAnsi="Calibri" w:cs="Calibri"/>
        </w:rPr>
        <w:t xml:space="preserve">Danielsson, J., &amp; de Vries, C. G. (2000). Value at risk and extreme returns. </w:t>
      </w:r>
      <w:r w:rsidRPr="00C3320A">
        <w:rPr>
          <w:rFonts w:ascii="Calibri" w:hAnsi="Calibri" w:cs="Calibri"/>
          <w:i/>
          <w:iCs/>
        </w:rPr>
        <w:t xml:space="preserve">Annales </w:t>
      </w:r>
      <w:proofErr w:type="spellStart"/>
      <w:r w:rsidRPr="00C3320A">
        <w:rPr>
          <w:rFonts w:ascii="Calibri" w:hAnsi="Calibri" w:cs="Calibri"/>
          <w:i/>
          <w:iCs/>
        </w:rPr>
        <w:t>d'Économie</w:t>
      </w:r>
      <w:proofErr w:type="spellEnd"/>
      <w:r w:rsidRPr="00C3320A">
        <w:rPr>
          <w:rFonts w:ascii="Calibri" w:hAnsi="Calibri" w:cs="Calibri"/>
          <w:i/>
          <w:iCs/>
        </w:rPr>
        <w:t xml:space="preserve"> et de </w:t>
      </w:r>
      <w:proofErr w:type="spellStart"/>
      <w:r w:rsidRPr="00C3320A">
        <w:rPr>
          <w:rFonts w:ascii="Calibri" w:hAnsi="Calibri" w:cs="Calibri"/>
          <w:i/>
          <w:iCs/>
        </w:rPr>
        <w:t>Statistique</w:t>
      </w:r>
      <w:proofErr w:type="spellEnd"/>
      <w:r w:rsidRPr="00C3320A">
        <w:rPr>
          <w:rFonts w:ascii="Calibri" w:hAnsi="Calibri" w:cs="Calibri"/>
        </w:rPr>
        <w:t xml:space="preserve">, 60, 239–270. </w:t>
      </w:r>
      <w:hyperlink r:id="rId24" w:tgtFrame="_blank" w:history="1">
        <w:r w:rsidRPr="00C3320A">
          <w:rPr>
            <w:rStyle w:val="Hyperlink"/>
            <w:rFonts w:ascii="Calibri" w:hAnsi="Calibri" w:cs="Calibri"/>
          </w:rPr>
          <w:t>https://doi.org/10.2307/20076258</w:t>
        </w:r>
      </w:hyperlink>
      <w:r w:rsidRPr="00C3320A">
        <w:rPr>
          <w:rFonts w:ascii="Calibri" w:hAnsi="Calibri" w:cs="Calibri"/>
        </w:rPr>
        <w:t xml:space="preserve"> </w:t>
      </w:r>
    </w:p>
    <w:p w14:paraId="7F907EDE" w14:textId="77777777" w:rsidR="00754E77" w:rsidRDefault="00754E77" w:rsidP="00754E77">
      <w:pPr>
        <w:spacing w:line="480" w:lineRule="auto"/>
        <w:ind w:left="720" w:hanging="720"/>
        <w:rPr>
          <w:rFonts w:ascii="Calibri" w:hAnsi="Calibri" w:cs="Calibri"/>
        </w:rPr>
      </w:pPr>
      <w:r w:rsidRPr="000C16CD">
        <w:rPr>
          <w:rFonts w:ascii="Calibri" w:hAnsi="Calibri" w:cs="Calibri"/>
        </w:rPr>
        <w:lastRenderedPageBreak/>
        <w:t>Duffie, D., &amp; Pan, J. (1997). An overview of value at risk. </w:t>
      </w:r>
      <w:r w:rsidRPr="000C16CD">
        <w:rPr>
          <w:rFonts w:ascii="Calibri" w:hAnsi="Calibri" w:cs="Calibri"/>
          <w:i/>
          <w:iCs/>
        </w:rPr>
        <w:t>Journal of derivatives</w:t>
      </w:r>
      <w:r w:rsidRPr="000C16CD">
        <w:rPr>
          <w:rFonts w:ascii="Calibri" w:hAnsi="Calibri" w:cs="Calibri"/>
        </w:rPr>
        <w:t>, </w:t>
      </w:r>
      <w:r w:rsidRPr="000C16CD">
        <w:rPr>
          <w:rFonts w:ascii="Calibri" w:hAnsi="Calibri" w:cs="Calibri"/>
          <w:i/>
          <w:iCs/>
        </w:rPr>
        <w:t>4</w:t>
      </w:r>
      <w:r w:rsidRPr="000C16CD">
        <w:rPr>
          <w:rFonts w:ascii="Calibri" w:hAnsi="Calibri" w:cs="Calibri"/>
        </w:rPr>
        <w:t>(3), 7-49.</w:t>
      </w:r>
      <w:r>
        <w:rPr>
          <w:rFonts w:ascii="Calibri" w:hAnsi="Calibri" w:cs="Calibri"/>
        </w:rPr>
        <w:t xml:space="preserve"> </w:t>
      </w:r>
      <w:hyperlink r:id="rId25" w:history="1">
        <w:r w:rsidRPr="00171EAF">
          <w:rPr>
            <w:rStyle w:val="Hyperlink"/>
            <w:rFonts w:ascii="Calibri" w:hAnsi="Calibri" w:cs="Calibri"/>
          </w:rPr>
          <w:t>https://www.sfu.ca/~poitras/818_r1.pdf</w:t>
        </w:r>
      </w:hyperlink>
    </w:p>
    <w:p w14:paraId="655FFEA3" w14:textId="77777777" w:rsidR="00754E77" w:rsidRDefault="00754E77" w:rsidP="00754E77">
      <w:pPr>
        <w:spacing w:line="480" w:lineRule="auto"/>
        <w:ind w:left="720" w:hanging="720"/>
        <w:rPr>
          <w:rFonts w:ascii="Calibri" w:hAnsi="Calibri" w:cs="Calibri"/>
        </w:rPr>
      </w:pPr>
      <w:proofErr w:type="spellStart"/>
      <w:r w:rsidRPr="00806F5B">
        <w:rPr>
          <w:rFonts w:ascii="Calibri" w:hAnsi="Calibri" w:cs="Calibri"/>
        </w:rPr>
        <w:t>Echaust</w:t>
      </w:r>
      <w:proofErr w:type="spellEnd"/>
      <w:r w:rsidRPr="00806F5B">
        <w:rPr>
          <w:rFonts w:ascii="Calibri" w:hAnsi="Calibri" w:cs="Calibri"/>
        </w:rPr>
        <w:t xml:space="preserve">, K., &amp; Just, M. (2020). Value at Risk estimation using the GARCH-EVT approach with optimal tail selection. Mathematics, 8(1), 114. </w:t>
      </w:r>
      <w:hyperlink r:id="rId26" w:history="1">
        <w:r w:rsidRPr="00CC073B">
          <w:rPr>
            <w:rStyle w:val="Hyperlink"/>
            <w:rFonts w:ascii="Calibri" w:hAnsi="Calibri" w:cs="Calibri"/>
          </w:rPr>
          <w:t>https://doi.org/10.3390/math8010114</w:t>
        </w:r>
      </w:hyperlink>
    </w:p>
    <w:p w14:paraId="2EB893F3" w14:textId="77777777" w:rsidR="00754E77" w:rsidRDefault="00754E77" w:rsidP="00754E77">
      <w:pPr>
        <w:spacing w:line="480" w:lineRule="auto"/>
        <w:ind w:left="720" w:hanging="720"/>
        <w:rPr>
          <w:rFonts w:ascii="Calibri" w:hAnsi="Calibri" w:cs="Calibri"/>
        </w:rPr>
      </w:pPr>
      <w:r w:rsidRPr="007564EF">
        <w:rPr>
          <w:rFonts w:ascii="Calibri" w:hAnsi="Calibri" w:cs="Calibri"/>
        </w:rPr>
        <w:t xml:space="preserve">Engle, R. F. (1982). Autoregressive conditional heteroscedasticity with estimates of the variance of United Kingdom inflation. </w:t>
      </w:r>
      <w:proofErr w:type="spellStart"/>
      <w:r w:rsidRPr="007564EF">
        <w:rPr>
          <w:rFonts w:ascii="Calibri" w:hAnsi="Calibri" w:cs="Calibri"/>
          <w:i/>
          <w:iCs/>
        </w:rPr>
        <w:t>Econometrica</w:t>
      </w:r>
      <w:proofErr w:type="spellEnd"/>
      <w:r w:rsidRPr="007564EF">
        <w:rPr>
          <w:rFonts w:ascii="Calibri" w:hAnsi="Calibri" w:cs="Calibri"/>
        </w:rPr>
        <w:t xml:space="preserve">, </w:t>
      </w:r>
      <w:r w:rsidRPr="007564EF">
        <w:rPr>
          <w:rFonts w:ascii="Calibri" w:hAnsi="Calibri" w:cs="Calibri"/>
          <w:i/>
          <w:iCs/>
        </w:rPr>
        <w:t>50</w:t>
      </w:r>
      <w:r w:rsidRPr="007564EF">
        <w:rPr>
          <w:rFonts w:ascii="Calibri" w:hAnsi="Calibri" w:cs="Calibri"/>
        </w:rPr>
        <w:t xml:space="preserve">(4), 987–1007. </w:t>
      </w:r>
      <w:hyperlink r:id="rId27" w:tgtFrame="_blank" w:history="1">
        <w:r w:rsidRPr="007564EF">
          <w:rPr>
            <w:rStyle w:val="Hyperlink"/>
            <w:rFonts w:ascii="Calibri" w:hAnsi="Calibri" w:cs="Calibri"/>
          </w:rPr>
          <w:t>https://doi.org/10.2307/1912773</w:t>
        </w:r>
      </w:hyperlink>
    </w:p>
    <w:p w14:paraId="7A1097DB" w14:textId="77777777" w:rsidR="00754E77" w:rsidRDefault="00754E77" w:rsidP="00754E77">
      <w:pPr>
        <w:spacing w:line="480" w:lineRule="auto"/>
        <w:ind w:left="720" w:hanging="720"/>
        <w:rPr>
          <w:rFonts w:ascii="Calibri" w:hAnsi="Calibri" w:cs="Calibri"/>
        </w:rPr>
      </w:pPr>
      <w:proofErr w:type="spellStart"/>
      <w:r w:rsidRPr="00FD258F">
        <w:rPr>
          <w:rFonts w:ascii="Calibri" w:hAnsi="Calibri" w:cs="Calibri"/>
        </w:rPr>
        <w:t>Glosten</w:t>
      </w:r>
      <w:proofErr w:type="spellEnd"/>
      <w:r w:rsidRPr="00FD258F">
        <w:rPr>
          <w:rFonts w:ascii="Calibri" w:hAnsi="Calibri" w:cs="Calibri"/>
        </w:rPr>
        <w:t xml:space="preserve">, L. R., Jagannathan, R., &amp; Runkle, D. E. (1993). On the relation between the expected value and the volatility of the nominal excess return on stocks. </w:t>
      </w:r>
      <w:r w:rsidRPr="00FD258F">
        <w:rPr>
          <w:rFonts w:ascii="Calibri" w:hAnsi="Calibri" w:cs="Calibri"/>
          <w:i/>
          <w:iCs/>
        </w:rPr>
        <w:t>The Journal of Finance</w:t>
      </w:r>
      <w:r w:rsidRPr="00FD258F">
        <w:rPr>
          <w:rFonts w:ascii="Calibri" w:hAnsi="Calibri" w:cs="Calibri"/>
        </w:rPr>
        <w:t xml:space="preserve">, </w:t>
      </w:r>
      <w:r w:rsidRPr="00FD258F">
        <w:rPr>
          <w:rFonts w:ascii="Calibri" w:hAnsi="Calibri" w:cs="Calibri"/>
          <w:i/>
          <w:iCs/>
        </w:rPr>
        <w:t>48</w:t>
      </w:r>
      <w:r w:rsidRPr="00FD258F">
        <w:rPr>
          <w:rFonts w:ascii="Calibri" w:hAnsi="Calibri" w:cs="Calibri"/>
        </w:rPr>
        <w:t xml:space="preserve">(5), 1779–1801. </w:t>
      </w:r>
      <w:hyperlink r:id="rId28" w:tgtFrame="_blank" w:history="1">
        <w:r w:rsidRPr="00FD258F">
          <w:rPr>
            <w:rStyle w:val="Hyperlink"/>
            <w:rFonts w:ascii="Calibri" w:hAnsi="Calibri" w:cs="Calibri"/>
          </w:rPr>
          <w:t>https://doi.org/10.1111/j.1540-6261.1993.tb05128.x</w:t>
        </w:r>
      </w:hyperlink>
      <w:r w:rsidRPr="00FD258F">
        <w:rPr>
          <w:rFonts w:ascii="Calibri" w:hAnsi="Calibri" w:cs="Calibri"/>
        </w:rPr>
        <w:t xml:space="preserve"> </w:t>
      </w:r>
    </w:p>
    <w:p w14:paraId="699EB0CE" w14:textId="77777777" w:rsidR="00754E77" w:rsidRPr="00813768" w:rsidRDefault="00754E77" w:rsidP="00754E77">
      <w:pPr>
        <w:spacing w:line="480" w:lineRule="auto"/>
        <w:ind w:left="720" w:hanging="720"/>
        <w:rPr>
          <w:rFonts w:ascii="Calibri" w:hAnsi="Calibri" w:cs="Calibri"/>
        </w:rPr>
      </w:pPr>
      <w:proofErr w:type="spellStart"/>
      <w:r w:rsidRPr="00813768">
        <w:rPr>
          <w:rFonts w:ascii="Calibri" w:hAnsi="Calibri" w:cs="Calibri"/>
        </w:rPr>
        <w:t>Hilpisch</w:t>
      </w:r>
      <w:proofErr w:type="spellEnd"/>
      <w:r w:rsidRPr="00813768">
        <w:rPr>
          <w:rFonts w:ascii="Calibri" w:hAnsi="Calibri" w:cs="Calibri"/>
        </w:rPr>
        <w:t xml:space="preserve">, Y. (2018). </w:t>
      </w:r>
      <w:r w:rsidRPr="00813768">
        <w:rPr>
          <w:rFonts w:ascii="Calibri" w:hAnsi="Calibri" w:cs="Calibri"/>
          <w:i/>
          <w:iCs/>
        </w:rPr>
        <w:t xml:space="preserve">Python for finance: Master </w:t>
      </w:r>
      <w:proofErr w:type="gramStart"/>
      <w:r w:rsidRPr="00813768">
        <w:rPr>
          <w:rFonts w:ascii="Calibri" w:hAnsi="Calibri" w:cs="Calibri"/>
          <w:i/>
          <w:iCs/>
        </w:rPr>
        <w:t>financially-driven</w:t>
      </w:r>
      <w:proofErr w:type="gramEnd"/>
      <w:r w:rsidRPr="00813768">
        <w:rPr>
          <w:rFonts w:ascii="Calibri" w:hAnsi="Calibri" w:cs="Calibri"/>
          <w:i/>
          <w:iCs/>
        </w:rPr>
        <w:t xml:space="preserve"> data science</w:t>
      </w:r>
      <w:r w:rsidRPr="00813768">
        <w:rPr>
          <w:rFonts w:ascii="Calibri" w:hAnsi="Calibri" w:cs="Calibri"/>
        </w:rPr>
        <w:t xml:space="preserve"> (2nd ed.). O'Reilly Media.</w:t>
      </w:r>
    </w:p>
    <w:p w14:paraId="07F1BF9B" w14:textId="77777777" w:rsidR="00754E77" w:rsidRPr="00BC4E47" w:rsidRDefault="00754E77" w:rsidP="00754E77">
      <w:pPr>
        <w:spacing w:line="480" w:lineRule="auto"/>
        <w:ind w:left="720" w:hanging="720"/>
        <w:rPr>
          <w:rFonts w:ascii="Calibri" w:hAnsi="Calibri" w:cs="Calibri"/>
        </w:rPr>
      </w:pPr>
      <w:r>
        <w:rPr>
          <w:rFonts w:ascii="Calibri" w:hAnsi="Calibri" w:cs="Calibri"/>
        </w:rPr>
        <w:t xml:space="preserve">Hull, J. C. (2023). </w:t>
      </w:r>
      <w:r>
        <w:rPr>
          <w:rFonts w:ascii="Calibri" w:hAnsi="Calibri" w:cs="Calibri"/>
          <w:i/>
          <w:iCs/>
        </w:rPr>
        <w:t xml:space="preserve">Risk Management and Financial Institutions </w:t>
      </w:r>
      <w:r>
        <w:rPr>
          <w:rFonts w:ascii="Calibri" w:hAnsi="Calibri" w:cs="Calibri"/>
        </w:rPr>
        <w:t xml:space="preserve">(6th Ed.). John Wiley &amp; Sons. </w:t>
      </w:r>
    </w:p>
    <w:p w14:paraId="60505EF2" w14:textId="77777777" w:rsidR="00754E77" w:rsidRDefault="00754E77" w:rsidP="00754E77">
      <w:pPr>
        <w:spacing w:line="480" w:lineRule="auto"/>
        <w:ind w:left="720" w:hanging="720"/>
        <w:rPr>
          <w:rFonts w:ascii="Calibri" w:hAnsi="Calibri" w:cs="Calibri"/>
        </w:rPr>
      </w:pPr>
      <w:proofErr w:type="spellStart"/>
      <w:r w:rsidRPr="00807183">
        <w:rPr>
          <w:rFonts w:ascii="Calibri" w:hAnsi="Calibri" w:cs="Calibri"/>
        </w:rPr>
        <w:t>Jorion</w:t>
      </w:r>
      <w:proofErr w:type="spellEnd"/>
      <w:r w:rsidRPr="00807183">
        <w:rPr>
          <w:rFonts w:ascii="Calibri" w:hAnsi="Calibri" w:cs="Calibri"/>
        </w:rPr>
        <w:t xml:space="preserve">, P. (2006). </w:t>
      </w:r>
      <w:r w:rsidRPr="00807183">
        <w:rPr>
          <w:rFonts w:ascii="Calibri" w:hAnsi="Calibri" w:cs="Calibri"/>
          <w:i/>
          <w:iCs/>
        </w:rPr>
        <w:t>Value at risk: The new benchmark for managing financial risk</w:t>
      </w:r>
      <w:r w:rsidRPr="00807183">
        <w:rPr>
          <w:rFonts w:ascii="Calibri" w:hAnsi="Calibri" w:cs="Calibri"/>
        </w:rPr>
        <w:t xml:space="preserve"> (3rd ed.). McGraw-Hill.</w:t>
      </w:r>
    </w:p>
    <w:p w14:paraId="31BAE5F5" w14:textId="279B5605" w:rsidR="00DC001D" w:rsidRPr="00807183" w:rsidRDefault="00DC001D" w:rsidP="00DC001D">
      <w:pPr>
        <w:spacing w:line="480" w:lineRule="auto"/>
        <w:ind w:left="720" w:hanging="720"/>
        <w:rPr>
          <w:rFonts w:ascii="Calibri" w:hAnsi="Calibri" w:cs="Calibri"/>
        </w:rPr>
      </w:pPr>
      <w:r w:rsidRPr="00FE2B6D">
        <w:rPr>
          <w:rFonts w:ascii="Calibri" w:hAnsi="Calibri" w:cs="Calibri"/>
        </w:rPr>
        <w:t>Kahneman, D., &amp; Tversky, A. (</w:t>
      </w:r>
      <w:r>
        <w:rPr>
          <w:rFonts w:ascii="Calibri" w:hAnsi="Calibri" w:cs="Calibri"/>
        </w:rPr>
        <w:t>1979</w:t>
      </w:r>
      <w:r w:rsidRPr="00FE2B6D">
        <w:rPr>
          <w:rFonts w:ascii="Calibri" w:hAnsi="Calibri" w:cs="Calibri"/>
        </w:rPr>
        <w:t xml:space="preserve">). Prospect theory: An analysis of </w:t>
      </w:r>
      <w:proofErr w:type="gramStart"/>
      <w:r w:rsidRPr="00FE2B6D">
        <w:rPr>
          <w:rFonts w:ascii="Calibri" w:hAnsi="Calibri" w:cs="Calibri"/>
        </w:rPr>
        <w:t>decision</w:t>
      </w:r>
      <w:proofErr w:type="gramEnd"/>
      <w:r w:rsidRPr="00FE2B6D">
        <w:rPr>
          <w:rFonts w:ascii="Calibri" w:hAnsi="Calibri" w:cs="Calibri"/>
        </w:rPr>
        <w:t xml:space="preserve"> under risk. In </w:t>
      </w:r>
      <w:r w:rsidRPr="00FE2B6D">
        <w:rPr>
          <w:rFonts w:ascii="Calibri" w:hAnsi="Calibri" w:cs="Calibri"/>
          <w:i/>
          <w:iCs/>
        </w:rPr>
        <w:t>Handbook of the fundamentals of financial decision making: Part I</w:t>
      </w:r>
      <w:r w:rsidRPr="00FE2B6D">
        <w:rPr>
          <w:rFonts w:ascii="Calibri" w:hAnsi="Calibri" w:cs="Calibri"/>
        </w:rPr>
        <w:t xml:space="preserve"> (pp. 99-127).</w:t>
      </w:r>
      <w:r>
        <w:rPr>
          <w:rFonts w:ascii="Calibri" w:hAnsi="Calibri" w:cs="Calibri"/>
        </w:rPr>
        <w:t xml:space="preserve"> </w:t>
      </w:r>
      <w:hyperlink r:id="rId29" w:history="1">
        <w:r w:rsidRPr="00B94095">
          <w:rPr>
            <w:rStyle w:val="Hyperlink"/>
            <w:rFonts w:ascii="Calibri" w:hAnsi="Calibri" w:cs="Calibri"/>
          </w:rPr>
          <w:t>http://ofmind.net/doc/summary/BBS20050420_Kahneman-2003.pdf</w:t>
        </w:r>
      </w:hyperlink>
    </w:p>
    <w:p w14:paraId="06574841" w14:textId="77777777" w:rsidR="00754E77" w:rsidRPr="00505B50" w:rsidRDefault="00754E77" w:rsidP="00754E77">
      <w:pPr>
        <w:spacing w:line="480" w:lineRule="auto"/>
        <w:ind w:left="720" w:hanging="720"/>
        <w:rPr>
          <w:rFonts w:ascii="Calibri" w:hAnsi="Calibri" w:cs="Calibri"/>
        </w:rPr>
      </w:pPr>
      <w:r w:rsidRPr="00505B50">
        <w:rPr>
          <w:rFonts w:ascii="Calibri" w:hAnsi="Calibri" w:cs="Calibri"/>
        </w:rPr>
        <w:t xml:space="preserve">Lewinson, E. (2020). </w:t>
      </w:r>
      <w:r w:rsidRPr="00505B50">
        <w:rPr>
          <w:rFonts w:ascii="Calibri" w:hAnsi="Calibri" w:cs="Calibri"/>
          <w:i/>
          <w:iCs/>
        </w:rPr>
        <w:t>Python for finance cookbook: Over 50 recipes for applying modern Python libraries to financial data analysis</w:t>
      </w:r>
      <w:r w:rsidRPr="00505B50">
        <w:rPr>
          <w:rFonts w:ascii="Calibri" w:hAnsi="Calibri" w:cs="Calibri"/>
        </w:rPr>
        <w:t xml:space="preserve">. </w:t>
      </w:r>
      <w:proofErr w:type="spellStart"/>
      <w:r w:rsidRPr="00505B50">
        <w:rPr>
          <w:rFonts w:ascii="Calibri" w:hAnsi="Calibri" w:cs="Calibri"/>
        </w:rPr>
        <w:t>Packt</w:t>
      </w:r>
      <w:proofErr w:type="spellEnd"/>
      <w:r w:rsidRPr="00505B50">
        <w:rPr>
          <w:rFonts w:ascii="Calibri" w:hAnsi="Calibri" w:cs="Calibri"/>
        </w:rPr>
        <w:t xml:space="preserve"> Publishing.</w:t>
      </w:r>
    </w:p>
    <w:p w14:paraId="5D7B8D06" w14:textId="77777777" w:rsidR="00754E77" w:rsidRDefault="00754E77" w:rsidP="00754E77">
      <w:pPr>
        <w:spacing w:line="480" w:lineRule="auto"/>
        <w:ind w:left="720" w:hanging="720"/>
        <w:rPr>
          <w:rFonts w:ascii="Calibri" w:hAnsi="Calibri" w:cs="Calibri"/>
        </w:rPr>
      </w:pPr>
      <w:r w:rsidRPr="008A61F6">
        <w:rPr>
          <w:rFonts w:ascii="Calibri" w:hAnsi="Calibri" w:cs="Calibri"/>
        </w:rPr>
        <w:t>Linsmeier, T. J., &amp; Pearson, N. D. (2000). Value at Risk. </w:t>
      </w:r>
      <w:r w:rsidRPr="008A61F6">
        <w:rPr>
          <w:rFonts w:ascii="Calibri" w:hAnsi="Calibri" w:cs="Calibri"/>
          <w:i/>
          <w:iCs/>
        </w:rPr>
        <w:t>Financial Analysts Journal</w:t>
      </w:r>
      <w:r w:rsidRPr="008A61F6">
        <w:rPr>
          <w:rFonts w:ascii="Calibri" w:hAnsi="Calibri" w:cs="Calibri"/>
        </w:rPr>
        <w:t>, </w:t>
      </w:r>
      <w:r w:rsidRPr="008A61F6">
        <w:rPr>
          <w:rFonts w:ascii="Calibri" w:hAnsi="Calibri" w:cs="Calibri"/>
          <w:i/>
          <w:iCs/>
        </w:rPr>
        <w:t>56</w:t>
      </w:r>
      <w:r w:rsidRPr="008A61F6">
        <w:rPr>
          <w:rFonts w:ascii="Calibri" w:hAnsi="Calibri" w:cs="Calibri"/>
        </w:rPr>
        <w:t xml:space="preserve">(2), 47–67. </w:t>
      </w:r>
      <w:hyperlink r:id="rId30" w:history="1">
        <w:r w:rsidRPr="00171EAF">
          <w:rPr>
            <w:rStyle w:val="Hyperlink"/>
            <w:rFonts w:ascii="Calibri" w:hAnsi="Calibri" w:cs="Calibri"/>
          </w:rPr>
          <w:t>https://doi.org/10.2469/faj.v56.n2.2343</w:t>
        </w:r>
      </w:hyperlink>
    </w:p>
    <w:p w14:paraId="67DE0DD9" w14:textId="77777777" w:rsidR="00754E77" w:rsidRDefault="00754E77" w:rsidP="00754E77">
      <w:pPr>
        <w:spacing w:line="480" w:lineRule="auto"/>
        <w:ind w:left="720" w:hanging="720"/>
        <w:rPr>
          <w:rFonts w:ascii="Calibri" w:hAnsi="Calibri" w:cs="Calibri"/>
        </w:rPr>
      </w:pPr>
      <w:r w:rsidRPr="000D7057">
        <w:rPr>
          <w:rFonts w:ascii="Calibri" w:hAnsi="Calibri" w:cs="Calibri"/>
        </w:rPr>
        <w:lastRenderedPageBreak/>
        <w:t xml:space="preserve">McNeil, A. J., &amp; Frey, R. (2000). Estimation of tail-related risk measures for heteroscedastic financial time series: An extreme value approach. </w:t>
      </w:r>
      <w:r w:rsidRPr="000D7057">
        <w:rPr>
          <w:rFonts w:ascii="Calibri" w:hAnsi="Calibri" w:cs="Calibri"/>
          <w:i/>
          <w:iCs/>
        </w:rPr>
        <w:t>Journal of Empirical Finance</w:t>
      </w:r>
      <w:r w:rsidRPr="000D7057">
        <w:rPr>
          <w:rFonts w:ascii="Calibri" w:hAnsi="Calibri" w:cs="Calibri"/>
        </w:rPr>
        <w:t xml:space="preserve">, </w:t>
      </w:r>
      <w:r w:rsidRPr="000D7057">
        <w:rPr>
          <w:rFonts w:ascii="Calibri" w:hAnsi="Calibri" w:cs="Calibri"/>
          <w:i/>
          <w:iCs/>
        </w:rPr>
        <w:t>7</w:t>
      </w:r>
      <w:r w:rsidRPr="000D7057">
        <w:rPr>
          <w:rFonts w:ascii="Calibri" w:hAnsi="Calibri" w:cs="Calibri"/>
        </w:rPr>
        <w:t xml:space="preserve">(3–4), 271–300. </w:t>
      </w:r>
      <w:hyperlink r:id="rId31" w:tgtFrame="_blank" w:history="1">
        <w:r w:rsidRPr="000D7057">
          <w:rPr>
            <w:rStyle w:val="Hyperlink"/>
            <w:rFonts w:ascii="Calibri" w:hAnsi="Calibri" w:cs="Calibri"/>
          </w:rPr>
          <w:t>https://doi.org/10.1016/S0927-5398(00)00012-8</w:t>
        </w:r>
      </w:hyperlink>
      <w:r w:rsidRPr="000D7057">
        <w:rPr>
          <w:rFonts w:ascii="Calibri" w:hAnsi="Calibri" w:cs="Calibri"/>
        </w:rPr>
        <w:t xml:space="preserve"> </w:t>
      </w:r>
    </w:p>
    <w:p w14:paraId="63F6C654" w14:textId="381EEB1E" w:rsidR="003C3E3B" w:rsidRPr="00754E77" w:rsidRDefault="00754E77" w:rsidP="00754E77">
      <w:pPr>
        <w:spacing w:line="480" w:lineRule="auto"/>
        <w:ind w:left="720" w:hanging="720"/>
        <w:rPr>
          <w:rFonts w:ascii="Calibri" w:hAnsi="Calibri" w:cs="Calibri"/>
        </w:rPr>
      </w:pPr>
      <w:r w:rsidRPr="0049296A">
        <w:rPr>
          <w:rFonts w:ascii="Calibri" w:hAnsi="Calibri" w:cs="Calibri"/>
        </w:rPr>
        <w:t xml:space="preserve">Peng, C., &amp; Simon, C. (2024). Financial modeling with geometric </w:t>
      </w:r>
      <w:proofErr w:type="spellStart"/>
      <w:r w:rsidRPr="0049296A">
        <w:rPr>
          <w:rFonts w:ascii="Calibri" w:hAnsi="Calibri" w:cs="Calibri"/>
        </w:rPr>
        <w:t>brownian</w:t>
      </w:r>
      <w:proofErr w:type="spellEnd"/>
      <w:r w:rsidRPr="0049296A">
        <w:rPr>
          <w:rFonts w:ascii="Calibri" w:hAnsi="Calibri" w:cs="Calibri"/>
        </w:rPr>
        <w:t xml:space="preserve"> motion. </w:t>
      </w:r>
      <w:r w:rsidRPr="0049296A">
        <w:rPr>
          <w:rFonts w:ascii="Calibri" w:hAnsi="Calibri" w:cs="Calibri"/>
          <w:i/>
          <w:iCs/>
        </w:rPr>
        <w:t>Open Journal of Business and Management</w:t>
      </w:r>
      <w:r w:rsidRPr="0049296A">
        <w:rPr>
          <w:rFonts w:ascii="Calibri" w:hAnsi="Calibri" w:cs="Calibri"/>
        </w:rPr>
        <w:t>, </w:t>
      </w:r>
      <w:r w:rsidRPr="0049296A">
        <w:rPr>
          <w:rFonts w:ascii="Calibri" w:hAnsi="Calibri" w:cs="Calibri"/>
          <w:i/>
          <w:iCs/>
        </w:rPr>
        <w:t>12</w:t>
      </w:r>
      <w:r w:rsidRPr="0049296A">
        <w:rPr>
          <w:rFonts w:ascii="Calibri" w:hAnsi="Calibri" w:cs="Calibri"/>
        </w:rPr>
        <w:t>(2), 1240-1250.</w:t>
      </w:r>
      <w:r>
        <w:rPr>
          <w:rFonts w:ascii="Calibri" w:hAnsi="Calibri" w:cs="Calibri"/>
        </w:rPr>
        <w:t xml:space="preserve"> </w:t>
      </w:r>
      <w:hyperlink r:id="rId32" w:history="1">
        <w:r w:rsidRPr="00171EAF">
          <w:rPr>
            <w:rStyle w:val="Hyperlink"/>
            <w:rFonts w:ascii="Calibri" w:hAnsi="Calibri" w:cs="Calibri"/>
          </w:rPr>
          <w:t>https://www.scirp.net/pdf/ojbm_2024032715190163.pdf</w:t>
        </w:r>
      </w:hyperlink>
    </w:p>
    <w:sectPr w:rsidR="003C3E3B" w:rsidRPr="00754E77">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4B08C" w14:textId="77777777" w:rsidR="00692C0F" w:rsidRDefault="00692C0F" w:rsidP="006C62E5">
      <w:pPr>
        <w:spacing w:after="0" w:line="240" w:lineRule="auto"/>
      </w:pPr>
      <w:r>
        <w:separator/>
      </w:r>
    </w:p>
  </w:endnote>
  <w:endnote w:type="continuationSeparator" w:id="0">
    <w:p w14:paraId="034EEE60" w14:textId="77777777" w:rsidR="00692C0F" w:rsidRDefault="00692C0F" w:rsidP="006C6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EE611" w14:textId="77777777" w:rsidR="00692C0F" w:rsidRDefault="00692C0F" w:rsidP="006C62E5">
      <w:pPr>
        <w:spacing w:after="0" w:line="240" w:lineRule="auto"/>
      </w:pPr>
      <w:r>
        <w:separator/>
      </w:r>
    </w:p>
  </w:footnote>
  <w:footnote w:type="continuationSeparator" w:id="0">
    <w:p w14:paraId="076FC037" w14:textId="77777777" w:rsidR="00692C0F" w:rsidRDefault="00692C0F" w:rsidP="006C6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890969"/>
      <w:docPartObj>
        <w:docPartGallery w:val="Page Numbers (Top of Page)"/>
        <w:docPartUnique/>
      </w:docPartObj>
    </w:sdtPr>
    <w:sdtEndPr>
      <w:rPr>
        <w:noProof/>
      </w:rPr>
    </w:sdtEndPr>
    <w:sdtContent>
      <w:p w14:paraId="34FC7595" w14:textId="743AF48D" w:rsidR="006C62E5" w:rsidRDefault="006C62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412A1D" w14:textId="77777777" w:rsidR="006C62E5" w:rsidRDefault="006C62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5F5"/>
    <w:multiLevelType w:val="multilevel"/>
    <w:tmpl w:val="590CB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AB5FB0"/>
    <w:multiLevelType w:val="multilevel"/>
    <w:tmpl w:val="65D2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84905"/>
    <w:multiLevelType w:val="multilevel"/>
    <w:tmpl w:val="37368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1969F4"/>
    <w:multiLevelType w:val="multilevel"/>
    <w:tmpl w:val="0F4C2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764C60"/>
    <w:multiLevelType w:val="multilevel"/>
    <w:tmpl w:val="7C86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00F74"/>
    <w:multiLevelType w:val="multilevel"/>
    <w:tmpl w:val="05EE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7E760F"/>
    <w:multiLevelType w:val="multilevel"/>
    <w:tmpl w:val="EB8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94D52"/>
    <w:multiLevelType w:val="multilevel"/>
    <w:tmpl w:val="2ED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4A77AD"/>
    <w:multiLevelType w:val="multilevel"/>
    <w:tmpl w:val="E694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12063"/>
    <w:multiLevelType w:val="multilevel"/>
    <w:tmpl w:val="50B2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0391">
    <w:abstractNumId w:val="7"/>
  </w:num>
  <w:num w:numId="2" w16cid:durableId="461386833">
    <w:abstractNumId w:val="3"/>
  </w:num>
  <w:num w:numId="3" w16cid:durableId="1419062112">
    <w:abstractNumId w:val="1"/>
  </w:num>
  <w:num w:numId="4" w16cid:durableId="173805328">
    <w:abstractNumId w:val="5"/>
  </w:num>
  <w:num w:numId="5" w16cid:durableId="171342833">
    <w:abstractNumId w:val="6"/>
  </w:num>
  <w:num w:numId="6" w16cid:durableId="141428442">
    <w:abstractNumId w:val="2"/>
  </w:num>
  <w:num w:numId="7" w16cid:durableId="1362976414">
    <w:abstractNumId w:val="0"/>
  </w:num>
  <w:num w:numId="8" w16cid:durableId="2138596869">
    <w:abstractNumId w:val="4"/>
  </w:num>
  <w:num w:numId="9" w16cid:durableId="910965762">
    <w:abstractNumId w:val="8"/>
  </w:num>
  <w:num w:numId="10" w16cid:durableId="350814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BA7"/>
    <w:rsid w:val="00001F76"/>
    <w:rsid w:val="0000367F"/>
    <w:rsid w:val="00004A24"/>
    <w:rsid w:val="00010E91"/>
    <w:rsid w:val="00016C78"/>
    <w:rsid w:val="000201E5"/>
    <w:rsid w:val="00021245"/>
    <w:rsid w:val="0002483D"/>
    <w:rsid w:val="00025320"/>
    <w:rsid w:val="00025758"/>
    <w:rsid w:val="00025F2F"/>
    <w:rsid w:val="000276C0"/>
    <w:rsid w:val="000327EB"/>
    <w:rsid w:val="00042A1A"/>
    <w:rsid w:val="0004404E"/>
    <w:rsid w:val="00047BDE"/>
    <w:rsid w:val="00050490"/>
    <w:rsid w:val="00052791"/>
    <w:rsid w:val="00052821"/>
    <w:rsid w:val="00055B05"/>
    <w:rsid w:val="00061039"/>
    <w:rsid w:val="0006328C"/>
    <w:rsid w:val="000661A8"/>
    <w:rsid w:val="00066D47"/>
    <w:rsid w:val="00074162"/>
    <w:rsid w:val="00074F94"/>
    <w:rsid w:val="00082FED"/>
    <w:rsid w:val="00086304"/>
    <w:rsid w:val="00091FC0"/>
    <w:rsid w:val="000924B4"/>
    <w:rsid w:val="000961DF"/>
    <w:rsid w:val="000A09BE"/>
    <w:rsid w:val="000A373C"/>
    <w:rsid w:val="000A37AA"/>
    <w:rsid w:val="000B2174"/>
    <w:rsid w:val="000B31C2"/>
    <w:rsid w:val="000B3FAA"/>
    <w:rsid w:val="000C0257"/>
    <w:rsid w:val="000C16CD"/>
    <w:rsid w:val="000D301A"/>
    <w:rsid w:val="000D44AD"/>
    <w:rsid w:val="000D4E96"/>
    <w:rsid w:val="000D7057"/>
    <w:rsid w:val="000E4167"/>
    <w:rsid w:val="000E7526"/>
    <w:rsid w:val="00101756"/>
    <w:rsid w:val="001037C8"/>
    <w:rsid w:val="0010392C"/>
    <w:rsid w:val="0011271C"/>
    <w:rsid w:val="001141AC"/>
    <w:rsid w:val="00117911"/>
    <w:rsid w:val="00121D3C"/>
    <w:rsid w:val="00127391"/>
    <w:rsid w:val="00130FEC"/>
    <w:rsid w:val="001318FC"/>
    <w:rsid w:val="0013287A"/>
    <w:rsid w:val="001379E2"/>
    <w:rsid w:val="0016447D"/>
    <w:rsid w:val="0016657D"/>
    <w:rsid w:val="00166836"/>
    <w:rsid w:val="00167D0E"/>
    <w:rsid w:val="0017159C"/>
    <w:rsid w:val="00172BB5"/>
    <w:rsid w:val="00183138"/>
    <w:rsid w:val="0018666E"/>
    <w:rsid w:val="001868A2"/>
    <w:rsid w:val="00190CFE"/>
    <w:rsid w:val="001936DE"/>
    <w:rsid w:val="00195FFE"/>
    <w:rsid w:val="001A5B06"/>
    <w:rsid w:val="001B128C"/>
    <w:rsid w:val="001B53B6"/>
    <w:rsid w:val="001B73F8"/>
    <w:rsid w:val="001C229F"/>
    <w:rsid w:val="001C4651"/>
    <w:rsid w:val="001C59D5"/>
    <w:rsid w:val="001D2A5E"/>
    <w:rsid w:val="001D5B39"/>
    <w:rsid w:val="001D5E57"/>
    <w:rsid w:val="001D7ED5"/>
    <w:rsid w:val="001E1A83"/>
    <w:rsid w:val="001E6CA3"/>
    <w:rsid w:val="001E70D3"/>
    <w:rsid w:val="001F5221"/>
    <w:rsid w:val="001F6CA8"/>
    <w:rsid w:val="002007E2"/>
    <w:rsid w:val="00200AD4"/>
    <w:rsid w:val="0020757C"/>
    <w:rsid w:val="002106EE"/>
    <w:rsid w:val="002125CD"/>
    <w:rsid w:val="00220F66"/>
    <w:rsid w:val="00221BDA"/>
    <w:rsid w:val="002309D1"/>
    <w:rsid w:val="002318B9"/>
    <w:rsid w:val="00244F13"/>
    <w:rsid w:val="00250F4F"/>
    <w:rsid w:val="0025343F"/>
    <w:rsid w:val="00255E21"/>
    <w:rsid w:val="0025672B"/>
    <w:rsid w:val="00256E22"/>
    <w:rsid w:val="00263862"/>
    <w:rsid w:val="00266E94"/>
    <w:rsid w:val="00270986"/>
    <w:rsid w:val="002750E2"/>
    <w:rsid w:val="0027537C"/>
    <w:rsid w:val="0029111C"/>
    <w:rsid w:val="0029380D"/>
    <w:rsid w:val="00295D77"/>
    <w:rsid w:val="002A0DD6"/>
    <w:rsid w:val="002A1E65"/>
    <w:rsid w:val="002A358D"/>
    <w:rsid w:val="002A407D"/>
    <w:rsid w:val="002B13B6"/>
    <w:rsid w:val="002B2F0F"/>
    <w:rsid w:val="002B60D0"/>
    <w:rsid w:val="002B7639"/>
    <w:rsid w:val="002C0885"/>
    <w:rsid w:val="002C0E22"/>
    <w:rsid w:val="002C37E0"/>
    <w:rsid w:val="002C451B"/>
    <w:rsid w:val="002D6382"/>
    <w:rsid w:val="002E3347"/>
    <w:rsid w:val="002E46DD"/>
    <w:rsid w:val="002E61C0"/>
    <w:rsid w:val="002E695B"/>
    <w:rsid w:val="002F1566"/>
    <w:rsid w:val="00304AEB"/>
    <w:rsid w:val="00310394"/>
    <w:rsid w:val="0032134B"/>
    <w:rsid w:val="00327E2A"/>
    <w:rsid w:val="00332BD2"/>
    <w:rsid w:val="0033332F"/>
    <w:rsid w:val="00334061"/>
    <w:rsid w:val="00335FF6"/>
    <w:rsid w:val="0034301F"/>
    <w:rsid w:val="0034306A"/>
    <w:rsid w:val="0034518C"/>
    <w:rsid w:val="00345D25"/>
    <w:rsid w:val="00353D56"/>
    <w:rsid w:val="00354E1B"/>
    <w:rsid w:val="00360034"/>
    <w:rsid w:val="00365E63"/>
    <w:rsid w:val="003770F2"/>
    <w:rsid w:val="00381FBB"/>
    <w:rsid w:val="003829F8"/>
    <w:rsid w:val="00383614"/>
    <w:rsid w:val="0039098D"/>
    <w:rsid w:val="00392B3D"/>
    <w:rsid w:val="003938B7"/>
    <w:rsid w:val="003A6779"/>
    <w:rsid w:val="003B16C4"/>
    <w:rsid w:val="003B2641"/>
    <w:rsid w:val="003B2D68"/>
    <w:rsid w:val="003B480C"/>
    <w:rsid w:val="003B71AC"/>
    <w:rsid w:val="003C3E3B"/>
    <w:rsid w:val="003D171E"/>
    <w:rsid w:val="003D5653"/>
    <w:rsid w:val="003D6765"/>
    <w:rsid w:val="003D6A82"/>
    <w:rsid w:val="003E3A7B"/>
    <w:rsid w:val="003E3B52"/>
    <w:rsid w:val="003E70F5"/>
    <w:rsid w:val="003E79BD"/>
    <w:rsid w:val="003F55C7"/>
    <w:rsid w:val="003F689B"/>
    <w:rsid w:val="00404F57"/>
    <w:rsid w:val="00406FDC"/>
    <w:rsid w:val="004071AA"/>
    <w:rsid w:val="004104C8"/>
    <w:rsid w:val="0041465A"/>
    <w:rsid w:val="00417338"/>
    <w:rsid w:val="0041792E"/>
    <w:rsid w:val="00421BB1"/>
    <w:rsid w:val="00422D4E"/>
    <w:rsid w:val="00423503"/>
    <w:rsid w:val="0043061E"/>
    <w:rsid w:val="004308AA"/>
    <w:rsid w:val="00442CD6"/>
    <w:rsid w:val="00443861"/>
    <w:rsid w:val="00446050"/>
    <w:rsid w:val="00447B8A"/>
    <w:rsid w:val="004523F0"/>
    <w:rsid w:val="00454D05"/>
    <w:rsid w:val="0045719B"/>
    <w:rsid w:val="004579A9"/>
    <w:rsid w:val="00464303"/>
    <w:rsid w:val="00466B57"/>
    <w:rsid w:val="00466FF0"/>
    <w:rsid w:val="0047205B"/>
    <w:rsid w:val="00480BB3"/>
    <w:rsid w:val="00483432"/>
    <w:rsid w:val="00483CDF"/>
    <w:rsid w:val="004846F8"/>
    <w:rsid w:val="0049296A"/>
    <w:rsid w:val="00492BBA"/>
    <w:rsid w:val="004951E7"/>
    <w:rsid w:val="004A1680"/>
    <w:rsid w:val="004A2126"/>
    <w:rsid w:val="004B4251"/>
    <w:rsid w:val="004B49D6"/>
    <w:rsid w:val="004C00F0"/>
    <w:rsid w:val="004C0A85"/>
    <w:rsid w:val="004D3742"/>
    <w:rsid w:val="004D378E"/>
    <w:rsid w:val="004E048B"/>
    <w:rsid w:val="004E2358"/>
    <w:rsid w:val="004E2918"/>
    <w:rsid w:val="004E32E1"/>
    <w:rsid w:val="004E3FFF"/>
    <w:rsid w:val="004E5FF0"/>
    <w:rsid w:val="004E6770"/>
    <w:rsid w:val="004F7AA8"/>
    <w:rsid w:val="005037CA"/>
    <w:rsid w:val="00505B50"/>
    <w:rsid w:val="0051368D"/>
    <w:rsid w:val="0051428D"/>
    <w:rsid w:val="005144E0"/>
    <w:rsid w:val="00522976"/>
    <w:rsid w:val="00523A9C"/>
    <w:rsid w:val="0052647F"/>
    <w:rsid w:val="005266DE"/>
    <w:rsid w:val="005267D2"/>
    <w:rsid w:val="005315F4"/>
    <w:rsid w:val="00532855"/>
    <w:rsid w:val="00533E40"/>
    <w:rsid w:val="00534970"/>
    <w:rsid w:val="00534B64"/>
    <w:rsid w:val="00537FF7"/>
    <w:rsid w:val="00540842"/>
    <w:rsid w:val="00541A1D"/>
    <w:rsid w:val="005432C6"/>
    <w:rsid w:val="00554E27"/>
    <w:rsid w:val="00557408"/>
    <w:rsid w:val="005576D1"/>
    <w:rsid w:val="0056046F"/>
    <w:rsid w:val="00563013"/>
    <w:rsid w:val="00563656"/>
    <w:rsid w:val="00563769"/>
    <w:rsid w:val="0056657B"/>
    <w:rsid w:val="005773F2"/>
    <w:rsid w:val="00580681"/>
    <w:rsid w:val="00580F45"/>
    <w:rsid w:val="00581406"/>
    <w:rsid w:val="00596321"/>
    <w:rsid w:val="005A3AB0"/>
    <w:rsid w:val="005A70AA"/>
    <w:rsid w:val="005A7FC3"/>
    <w:rsid w:val="005B00E0"/>
    <w:rsid w:val="005B167A"/>
    <w:rsid w:val="005B1B85"/>
    <w:rsid w:val="005B33F4"/>
    <w:rsid w:val="005B41E1"/>
    <w:rsid w:val="005B6E83"/>
    <w:rsid w:val="005C1003"/>
    <w:rsid w:val="005C1603"/>
    <w:rsid w:val="005D47AC"/>
    <w:rsid w:val="005D5C24"/>
    <w:rsid w:val="005E1089"/>
    <w:rsid w:val="005E1620"/>
    <w:rsid w:val="005E37D6"/>
    <w:rsid w:val="005E4A51"/>
    <w:rsid w:val="005F63B6"/>
    <w:rsid w:val="00603ECF"/>
    <w:rsid w:val="00613846"/>
    <w:rsid w:val="00626B18"/>
    <w:rsid w:val="00627ABF"/>
    <w:rsid w:val="00631526"/>
    <w:rsid w:val="006317C0"/>
    <w:rsid w:val="0063593E"/>
    <w:rsid w:val="00636BFB"/>
    <w:rsid w:val="00637F16"/>
    <w:rsid w:val="0064158A"/>
    <w:rsid w:val="0064592F"/>
    <w:rsid w:val="006467DA"/>
    <w:rsid w:val="00654D46"/>
    <w:rsid w:val="0065790D"/>
    <w:rsid w:val="006612F0"/>
    <w:rsid w:val="006636F2"/>
    <w:rsid w:val="00665565"/>
    <w:rsid w:val="006668E9"/>
    <w:rsid w:val="006724ED"/>
    <w:rsid w:val="00673E78"/>
    <w:rsid w:val="00676117"/>
    <w:rsid w:val="00682E93"/>
    <w:rsid w:val="00692C0F"/>
    <w:rsid w:val="0069457B"/>
    <w:rsid w:val="006958F3"/>
    <w:rsid w:val="006A1836"/>
    <w:rsid w:val="006A1BA7"/>
    <w:rsid w:val="006A7DBC"/>
    <w:rsid w:val="006B1735"/>
    <w:rsid w:val="006B62AA"/>
    <w:rsid w:val="006C344F"/>
    <w:rsid w:val="006C3EAA"/>
    <w:rsid w:val="006C50E1"/>
    <w:rsid w:val="006C5456"/>
    <w:rsid w:val="006C5662"/>
    <w:rsid w:val="006C62E5"/>
    <w:rsid w:val="006D1056"/>
    <w:rsid w:val="006D10AD"/>
    <w:rsid w:val="006D165A"/>
    <w:rsid w:val="006D3755"/>
    <w:rsid w:val="006D42EA"/>
    <w:rsid w:val="006D4710"/>
    <w:rsid w:val="006D6D94"/>
    <w:rsid w:val="006E12EE"/>
    <w:rsid w:val="006E3577"/>
    <w:rsid w:val="006E39AF"/>
    <w:rsid w:val="006E6A13"/>
    <w:rsid w:val="006F58F0"/>
    <w:rsid w:val="00700584"/>
    <w:rsid w:val="00700A66"/>
    <w:rsid w:val="0070444E"/>
    <w:rsid w:val="00711CDA"/>
    <w:rsid w:val="00711DD1"/>
    <w:rsid w:val="0071460E"/>
    <w:rsid w:val="00717D22"/>
    <w:rsid w:val="00720E83"/>
    <w:rsid w:val="0072332B"/>
    <w:rsid w:val="00727722"/>
    <w:rsid w:val="00730810"/>
    <w:rsid w:val="00731EC2"/>
    <w:rsid w:val="00732334"/>
    <w:rsid w:val="007373BE"/>
    <w:rsid w:val="00742BE9"/>
    <w:rsid w:val="00743574"/>
    <w:rsid w:val="007478E3"/>
    <w:rsid w:val="007508B8"/>
    <w:rsid w:val="007527D9"/>
    <w:rsid w:val="00754E77"/>
    <w:rsid w:val="007564EF"/>
    <w:rsid w:val="00763159"/>
    <w:rsid w:val="00763A16"/>
    <w:rsid w:val="0076410F"/>
    <w:rsid w:val="00767AAE"/>
    <w:rsid w:val="00780BC1"/>
    <w:rsid w:val="0079026D"/>
    <w:rsid w:val="0079251E"/>
    <w:rsid w:val="00792761"/>
    <w:rsid w:val="00793F01"/>
    <w:rsid w:val="007A2CAD"/>
    <w:rsid w:val="007A77D3"/>
    <w:rsid w:val="007B0A87"/>
    <w:rsid w:val="007B2B8A"/>
    <w:rsid w:val="007B33D1"/>
    <w:rsid w:val="007B6424"/>
    <w:rsid w:val="007B6B1D"/>
    <w:rsid w:val="007C6FC5"/>
    <w:rsid w:val="007D19F0"/>
    <w:rsid w:val="007D3795"/>
    <w:rsid w:val="007D56E6"/>
    <w:rsid w:val="007D5F03"/>
    <w:rsid w:val="007D6931"/>
    <w:rsid w:val="007F1C94"/>
    <w:rsid w:val="007F2F9E"/>
    <w:rsid w:val="007F4F17"/>
    <w:rsid w:val="007F5F31"/>
    <w:rsid w:val="007F6EEE"/>
    <w:rsid w:val="007F7960"/>
    <w:rsid w:val="007F7A4C"/>
    <w:rsid w:val="00806F5B"/>
    <w:rsid w:val="00807183"/>
    <w:rsid w:val="00810A92"/>
    <w:rsid w:val="00813768"/>
    <w:rsid w:val="00813AB6"/>
    <w:rsid w:val="008159CF"/>
    <w:rsid w:val="00817B9D"/>
    <w:rsid w:val="008213C8"/>
    <w:rsid w:val="00826CCA"/>
    <w:rsid w:val="00833016"/>
    <w:rsid w:val="008343E2"/>
    <w:rsid w:val="00835DDD"/>
    <w:rsid w:val="00836FC0"/>
    <w:rsid w:val="0083741F"/>
    <w:rsid w:val="00837C0E"/>
    <w:rsid w:val="00842760"/>
    <w:rsid w:val="008469A8"/>
    <w:rsid w:val="00846C9D"/>
    <w:rsid w:val="00855D43"/>
    <w:rsid w:val="00857DE6"/>
    <w:rsid w:val="008605F7"/>
    <w:rsid w:val="00865802"/>
    <w:rsid w:val="00874241"/>
    <w:rsid w:val="0088498C"/>
    <w:rsid w:val="00884AE7"/>
    <w:rsid w:val="00885202"/>
    <w:rsid w:val="00887769"/>
    <w:rsid w:val="008927EF"/>
    <w:rsid w:val="00896FF1"/>
    <w:rsid w:val="008A54B3"/>
    <w:rsid w:val="008A61F6"/>
    <w:rsid w:val="008A75DF"/>
    <w:rsid w:val="008B00ED"/>
    <w:rsid w:val="008B1387"/>
    <w:rsid w:val="008B3928"/>
    <w:rsid w:val="008B403D"/>
    <w:rsid w:val="008B4B21"/>
    <w:rsid w:val="008C43F7"/>
    <w:rsid w:val="008C4420"/>
    <w:rsid w:val="008C4FE4"/>
    <w:rsid w:val="008C536D"/>
    <w:rsid w:val="008C5F6D"/>
    <w:rsid w:val="008C69F6"/>
    <w:rsid w:val="008C7F45"/>
    <w:rsid w:val="008D24BC"/>
    <w:rsid w:val="008D480B"/>
    <w:rsid w:val="008D67C1"/>
    <w:rsid w:val="008E31BF"/>
    <w:rsid w:val="008E6D6B"/>
    <w:rsid w:val="008F41D5"/>
    <w:rsid w:val="008F475D"/>
    <w:rsid w:val="008F6767"/>
    <w:rsid w:val="009037DD"/>
    <w:rsid w:val="00905A25"/>
    <w:rsid w:val="0090651E"/>
    <w:rsid w:val="009067E3"/>
    <w:rsid w:val="00907A2D"/>
    <w:rsid w:val="00914862"/>
    <w:rsid w:val="0092147E"/>
    <w:rsid w:val="00924615"/>
    <w:rsid w:val="00925678"/>
    <w:rsid w:val="009305F5"/>
    <w:rsid w:val="00930750"/>
    <w:rsid w:val="0093604E"/>
    <w:rsid w:val="009406A4"/>
    <w:rsid w:val="0094612C"/>
    <w:rsid w:val="00950645"/>
    <w:rsid w:val="009548E9"/>
    <w:rsid w:val="0095494C"/>
    <w:rsid w:val="0095638F"/>
    <w:rsid w:val="009606C1"/>
    <w:rsid w:val="009638A3"/>
    <w:rsid w:val="00963D61"/>
    <w:rsid w:val="00963DCB"/>
    <w:rsid w:val="009661C2"/>
    <w:rsid w:val="00966B59"/>
    <w:rsid w:val="00974792"/>
    <w:rsid w:val="00976F97"/>
    <w:rsid w:val="0098552F"/>
    <w:rsid w:val="00987485"/>
    <w:rsid w:val="009916C8"/>
    <w:rsid w:val="00993487"/>
    <w:rsid w:val="009A4AC2"/>
    <w:rsid w:val="009B5944"/>
    <w:rsid w:val="009C036C"/>
    <w:rsid w:val="009C0953"/>
    <w:rsid w:val="009C1B48"/>
    <w:rsid w:val="009C3549"/>
    <w:rsid w:val="009D1BDC"/>
    <w:rsid w:val="009D439A"/>
    <w:rsid w:val="009D6FA0"/>
    <w:rsid w:val="009E0870"/>
    <w:rsid w:val="009E098E"/>
    <w:rsid w:val="009E2018"/>
    <w:rsid w:val="009E46DF"/>
    <w:rsid w:val="009E59EE"/>
    <w:rsid w:val="009E5D58"/>
    <w:rsid w:val="009E6D2D"/>
    <w:rsid w:val="009E77AA"/>
    <w:rsid w:val="009E7A0B"/>
    <w:rsid w:val="009F2EA3"/>
    <w:rsid w:val="009F34FE"/>
    <w:rsid w:val="009F5520"/>
    <w:rsid w:val="009F5936"/>
    <w:rsid w:val="00A0531E"/>
    <w:rsid w:val="00A11021"/>
    <w:rsid w:val="00A123A2"/>
    <w:rsid w:val="00A1626F"/>
    <w:rsid w:val="00A263B1"/>
    <w:rsid w:val="00A455B6"/>
    <w:rsid w:val="00A45AE6"/>
    <w:rsid w:val="00A6046D"/>
    <w:rsid w:val="00A6207B"/>
    <w:rsid w:val="00A62DDD"/>
    <w:rsid w:val="00A64137"/>
    <w:rsid w:val="00A71F19"/>
    <w:rsid w:val="00A75588"/>
    <w:rsid w:val="00A7737E"/>
    <w:rsid w:val="00A77A96"/>
    <w:rsid w:val="00A8080C"/>
    <w:rsid w:val="00A81C28"/>
    <w:rsid w:val="00A83797"/>
    <w:rsid w:val="00A84D60"/>
    <w:rsid w:val="00A868E0"/>
    <w:rsid w:val="00A86C66"/>
    <w:rsid w:val="00A92141"/>
    <w:rsid w:val="00A93242"/>
    <w:rsid w:val="00A941D7"/>
    <w:rsid w:val="00A96EE8"/>
    <w:rsid w:val="00AA02DD"/>
    <w:rsid w:val="00AA121E"/>
    <w:rsid w:val="00AA1F9F"/>
    <w:rsid w:val="00AA4669"/>
    <w:rsid w:val="00AA7D6A"/>
    <w:rsid w:val="00AA7F9B"/>
    <w:rsid w:val="00AB1320"/>
    <w:rsid w:val="00AB15F2"/>
    <w:rsid w:val="00AB24CB"/>
    <w:rsid w:val="00AB2DD1"/>
    <w:rsid w:val="00AB3906"/>
    <w:rsid w:val="00AB3AF9"/>
    <w:rsid w:val="00AB4EB8"/>
    <w:rsid w:val="00AB6BF5"/>
    <w:rsid w:val="00AB7ED1"/>
    <w:rsid w:val="00AC090B"/>
    <w:rsid w:val="00AC0BC4"/>
    <w:rsid w:val="00AC3214"/>
    <w:rsid w:val="00AC5743"/>
    <w:rsid w:val="00AD02D4"/>
    <w:rsid w:val="00AD09BD"/>
    <w:rsid w:val="00AD1F77"/>
    <w:rsid w:val="00AD53A4"/>
    <w:rsid w:val="00AD611C"/>
    <w:rsid w:val="00AE38BE"/>
    <w:rsid w:val="00AE68FA"/>
    <w:rsid w:val="00AF088B"/>
    <w:rsid w:val="00AF3A38"/>
    <w:rsid w:val="00AF45BA"/>
    <w:rsid w:val="00AF4C4F"/>
    <w:rsid w:val="00B036A2"/>
    <w:rsid w:val="00B06002"/>
    <w:rsid w:val="00B068AA"/>
    <w:rsid w:val="00B107ED"/>
    <w:rsid w:val="00B12AED"/>
    <w:rsid w:val="00B15524"/>
    <w:rsid w:val="00B16662"/>
    <w:rsid w:val="00B17271"/>
    <w:rsid w:val="00B23622"/>
    <w:rsid w:val="00B26661"/>
    <w:rsid w:val="00B31152"/>
    <w:rsid w:val="00B314FC"/>
    <w:rsid w:val="00B36FE5"/>
    <w:rsid w:val="00B42460"/>
    <w:rsid w:val="00B5252E"/>
    <w:rsid w:val="00B619B6"/>
    <w:rsid w:val="00B61A00"/>
    <w:rsid w:val="00B70321"/>
    <w:rsid w:val="00B7777D"/>
    <w:rsid w:val="00B95F25"/>
    <w:rsid w:val="00BA18C6"/>
    <w:rsid w:val="00BA30C1"/>
    <w:rsid w:val="00BA6984"/>
    <w:rsid w:val="00BB06CA"/>
    <w:rsid w:val="00BB1AF0"/>
    <w:rsid w:val="00BC4E47"/>
    <w:rsid w:val="00BC5587"/>
    <w:rsid w:val="00BC661E"/>
    <w:rsid w:val="00BC6EE3"/>
    <w:rsid w:val="00BC726B"/>
    <w:rsid w:val="00BD3564"/>
    <w:rsid w:val="00BD3A0C"/>
    <w:rsid w:val="00BD3AF0"/>
    <w:rsid w:val="00BD40C1"/>
    <w:rsid w:val="00BD4EF4"/>
    <w:rsid w:val="00BE1F6D"/>
    <w:rsid w:val="00BE6802"/>
    <w:rsid w:val="00BE71F9"/>
    <w:rsid w:val="00BF14EA"/>
    <w:rsid w:val="00BF39BC"/>
    <w:rsid w:val="00BF49D4"/>
    <w:rsid w:val="00BF4D62"/>
    <w:rsid w:val="00C0090D"/>
    <w:rsid w:val="00C02AA9"/>
    <w:rsid w:val="00C04200"/>
    <w:rsid w:val="00C13A6D"/>
    <w:rsid w:val="00C21A65"/>
    <w:rsid w:val="00C23EB1"/>
    <w:rsid w:val="00C25669"/>
    <w:rsid w:val="00C31F29"/>
    <w:rsid w:val="00C3320A"/>
    <w:rsid w:val="00C34439"/>
    <w:rsid w:val="00C355C4"/>
    <w:rsid w:val="00C4196C"/>
    <w:rsid w:val="00C5714B"/>
    <w:rsid w:val="00C64B41"/>
    <w:rsid w:val="00C656C2"/>
    <w:rsid w:val="00C677C3"/>
    <w:rsid w:val="00C71FAB"/>
    <w:rsid w:val="00C83A0B"/>
    <w:rsid w:val="00C85410"/>
    <w:rsid w:val="00C8679C"/>
    <w:rsid w:val="00C9151D"/>
    <w:rsid w:val="00C927E8"/>
    <w:rsid w:val="00C94395"/>
    <w:rsid w:val="00C967E6"/>
    <w:rsid w:val="00CA48B6"/>
    <w:rsid w:val="00CA51FB"/>
    <w:rsid w:val="00CB3285"/>
    <w:rsid w:val="00CC04DA"/>
    <w:rsid w:val="00CC5622"/>
    <w:rsid w:val="00CD19AA"/>
    <w:rsid w:val="00CD235B"/>
    <w:rsid w:val="00CD351B"/>
    <w:rsid w:val="00CD396E"/>
    <w:rsid w:val="00CD47F1"/>
    <w:rsid w:val="00CE0F70"/>
    <w:rsid w:val="00CE5092"/>
    <w:rsid w:val="00CF1867"/>
    <w:rsid w:val="00CF3512"/>
    <w:rsid w:val="00CF71EC"/>
    <w:rsid w:val="00D12C4F"/>
    <w:rsid w:val="00D15425"/>
    <w:rsid w:val="00D20325"/>
    <w:rsid w:val="00D30CCA"/>
    <w:rsid w:val="00D33AEF"/>
    <w:rsid w:val="00D37544"/>
    <w:rsid w:val="00D4095E"/>
    <w:rsid w:val="00D50E06"/>
    <w:rsid w:val="00D52EAE"/>
    <w:rsid w:val="00D57543"/>
    <w:rsid w:val="00D71369"/>
    <w:rsid w:val="00D71F3B"/>
    <w:rsid w:val="00D818EC"/>
    <w:rsid w:val="00D82127"/>
    <w:rsid w:val="00D8374A"/>
    <w:rsid w:val="00D83D32"/>
    <w:rsid w:val="00D85D0F"/>
    <w:rsid w:val="00D86737"/>
    <w:rsid w:val="00D8764C"/>
    <w:rsid w:val="00D92E04"/>
    <w:rsid w:val="00D9377B"/>
    <w:rsid w:val="00D96654"/>
    <w:rsid w:val="00DA6AB6"/>
    <w:rsid w:val="00DB1DA9"/>
    <w:rsid w:val="00DC001D"/>
    <w:rsid w:val="00DC06D0"/>
    <w:rsid w:val="00DC1333"/>
    <w:rsid w:val="00DC294C"/>
    <w:rsid w:val="00DC37D1"/>
    <w:rsid w:val="00DC39F4"/>
    <w:rsid w:val="00DC4872"/>
    <w:rsid w:val="00DC60AB"/>
    <w:rsid w:val="00DD261C"/>
    <w:rsid w:val="00DD5F21"/>
    <w:rsid w:val="00DD6A40"/>
    <w:rsid w:val="00DD7E7E"/>
    <w:rsid w:val="00DE2551"/>
    <w:rsid w:val="00DE6204"/>
    <w:rsid w:val="00DE71E9"/>
    <w:rsid w:val="00DF320A"/>
    <w:rsid w:val="00DF57D4"/>
    <w:rsid w:val="00DF5907"/>
    <w:rsid w:val="00E11D07"/>
    <w:rsid w:val="00E142CC"/>
    <w:rsid w:val="00E20399"/>
    <w:rsid w:val="00E22772"/>
    <w:rsid w:val="00E229C6"/>
    <w:rsid w:val="00E22A0A"/>
    <w:rsid w:val="00E23476"/>
    <w:rsid w:val="00E32877"/>
    <w:rsid w:val="00E379AF"/>
    <w:rsid w:val="00E40C56"/>
    <w:rsid w:val="00E41F30"/>
    <w:rsid w:val="00E431C2"/>
    <w:rsid w:val="00E43E90"/>
    <w:rsid w:val="00E50F5A"/>
    <w:rsid w:val="00E553E1"/>
    <w:rsid w:val="00E56D1D"/>
    <w:rsid w:val="00E62D0E"/>
    <w:rsid w:val="00E73DE0"/>
    <w:rsid w:val="00E8178B"/>
    <w:rsid w:val="00E82CC3"/>
    <w:rsid w:val="00E82CD8"/>
    <w:rsid w:val="00E8362D"/>
    <w:rsid w:val="00E84A7D"/>
    <w:rsid w:val="00E84EBB"/>
    <w:rsid w:val="00E8555C"/>
    <w:rsid w:val="00E85759"/>
    <w:rsid w:val="00E903A5"/>
    <w:rsid w:val="00E932EC"/>
    <w:rsid w:val="00E946DE"/>
    <w:rsid w:val="00E967F1"/>
    <w:rsid w:val="00EA16B1"/>
    <w:rsid w:val="00EA1C06"/>
    <w:rsid w:val="00EA23F9"/>
    <w:rsid w:val="00EA46AC"/>
    <w:rsid w:val="00EC2481"/>
    <w:rsid w:val="00EC2E80"/>
    <w:rsid w:val="00ED4407"/>
    <w:rsid w:val="00ED6321"/>
    <w:rsid w:val="00EE2393"/>
    <w:rsid w:val="00EE48A1"/>
    <w:rsid w:val="00EF0473"/>
    <w:rsid w:val="00EF33E0"/>
    <w:rsid w:val="00EF3B60"/>
    <w:rsid w:val="00F036A4"/>
    <w:rsid w:val="00F0456F"/>
    <w:rsid w:val="00F061CF"/>
    <w:rsid w:val="00F0773E"/>
    <w:rsid w:val="00F112F3"/>
    <w:rsid w:val="00F12B88"/>
    <w:rsid w:val="00F20872"/>
    <w:rsid w:val="00F26171"/>
    <w:rsid w:val="00F26403"/>
    <w:rsid w:val="00F26CD2"/>
    <w:rsid w:val="00F26F6C"/>
    <w:rsid w:val="00F32AEA"/>
    <w:rsid w:val="00F341A5"/>
    <w:rsid w:val="00F3441C"/>
    <w:rsid w:val="00F415D4"/>
    <w:rsid w:val="00F42B59"/>
    <w:rsid w:val="00F432E6"/>
    <w:rsid w:val="00F45478"/>
    <w:rsid w:val="00F471DE"/>
    <w:rsid w:val="00F524F2"/>
    <w:rsid w:val="00F572AC"/>
    <w:rsid w:val="00F621C4"/>
    <w:rsid w:val="00F71DBF"/>
    <w:rsid w:val="00F723A3"/>
    <w:rsid w:val="00F80F10"/>
    <w:rsid w:val="00F85B27"/>
    <w:rsid w:val="00F86787"/>
    <w:rsid w:val="00F87189"/>
    <w:rsid w:val="00F87734"/>
    <w:rsid w:val="00F970EA"/>
    <w:rsid w:val="00FA420E"/>
    <w:rsid w:val="00FA56E8"/>
    <w:rsid w:val="00FB0070"/>
    <w:rsid w:val="00FB394C"/>
    <w:rsid w:val="00FB56CE"/>
    <w:rsid w:val="00FB742D"/>
    <w:rsid w:val="00FC0991"/>
    <w:rsid w:val="00FC0A23"/>
    <w:rsid w:val="00FC5D2F"/>
    <w:rsid w:val="00FD138B"/>
    <w:rsid w:val="00FD258F"/>
    <w:rsid w:val="00FD2755"/>
    <w:rsid w:val="00FD3E01"/>
    <w:rsid w:val="00FE0241"/>
    <w:rsid w:val="00FE0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9EDB8"/>
  <w15:chartTrackingRefBased/>
  <w15:docId w15:val="{E3AEE786-6E79-47AC-96FA-6AC6898F4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DA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A1BA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A1BA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A1BA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A1BA7"/>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A1BA7"/>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A1BA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A1BA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A1BA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A1BA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1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BA7"/>
    <w:rPr>
      <w:rFonts w:eastAsiaTheme="majorEastAsia" w:cstheme="majorBidi"/>
      <w:color w:val="272727" w:themeColor="text1" w:themeTint="D8"/>
    </w:rPr>
  </w:style>
  <w:style w:type="paragraph" w:styleId="Title">
    <w:name w:val="Title"/>
    <w:basedOn w:val="Normal"/>
    <w:next w:val="Normal"/>
    <w:link w:val="TitleChar"/>
    <w:uiPriority w:val="10"/>
    <w:qFormat/>
    <w:rsid w:val="006A1BA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A1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BA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A1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BA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A1BA7"/>
    <w:rPr>
      <w:i/>
      <w:iCs/>
      <w:color w:val="404040" w:themeColor="text1" w:themeTint="BF"/>
    </w:rPr>
  </w:style>
  <w:style w:type="paragraph" w:styleId="ListParagraph">
    <w:name w:val="List Paragraph"/>
    <w:basedOn w:val="Normal"/>
    <w:uiPriority w:val="34"/>
    <w:qFormat/>
    <w:rsid w:val="006A1BA7"/>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6A1BA7"/>
    <w:rPr>
      <w:i/>
      <w:iCs/>
      <w:color w:val="0F4761" w:themeColor="accent1" w:themeShade="BF"/>
    </w:rPr>
  </w:style>
  <w:style w:type="paragraph" w:styleId="IntenseQuote">
    <w:name w:val="Intense Quote"/>
    <w:basedOn w:val="Normal"/>
    <w:next w:val="Normal"/>
    <w:link w:val="IntenseQuoteChar"/>
    <w:uiPriority w:val="30"/>
    <w:qFormat/>
    <w:rsid w:val="006A1BA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A1BA7"/>
    <w:rPr>
      <w:i/>
      <w:iCs/>
      <w:color w:val="0F4761" w:themeColor="accent1" w:themeShade="BF"/>
    </w:rPr>
  </w:style>
  <w:style w:type="character" w:styleId="IntenseReference">
    <w:name w:val="Intense Reference"/>
    <w:basedOn w:val="DefaultParagraphFont"/>
    <w:uiPriority w:val="32"/>
    <w:qFormat/>
    <w:rsid w:val="006A1BA7"/>
    <w:rPr>
      <w:b/>
      <w:bCs/>
      <w:smallCaps/>
      <w:color w:val="0F4761" w:themeColor="accent1" w:themeShade="BF"/>
      <w:spacing w:val="5"/>
    </w:rPr>
  </w:style>
  <w:style w:type="character" w:styleId="Hyperlink">
    <w:name w:val="Hyperlink"/>
    <w:basedOn w:val="DefaultParagraphFont"/>
    <w:uiPriority w:val="99"/>
    <w:unhideWhenUsed/>
    <w:rsid w:val="003F689B"/>
    <w:rPr>
      <w:color w:val="467886" w:themeColor="hyperlink"/>
      <w:u w:val="single"/>
    </w:rPr>
  </w:style>
  <w:style w:type="paragraph" w:styleId="Header">
    <w:name w:val="header"/>
    <w:basedOn w:val="Normal"/>
    <w:link w:val="HeaderChar"/>
    <w:uiPriority w:val="99"/>
    <w:unhideWhenUsed/>
    <w:rsid w:val="006C62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2E5"/>
    <w:rPr>
      <w:rFonts w:eastAsiaTheme="minorEastAsia"/>
      <w:kern w:val="0"/>
      <w:sz w:val="22"/>
      <w:szCs w:val="22"/>
      <w14:ligatures w14:val="none"/>
    </w:rPr>
  </w:style>
  <w:style w:type="paragraph" w:styleId="Footer">
    <w:name w:val="footer"/>
    <w:basedOn w:val="Normal"/>
    <w:link w:val="FooterChar"/>
    <w:uiPriority w:val="99"/>
    <w:unhideWhenUsed/>
    <w:rsid w:val="006C62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2E5"/>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D52EAE"/>
    <w:rPr>
      <w:color w:val="605E5C"/>
      <w:shd w:val="clear" w:color="auto" w:fill="E1DFDD"/>
    </w:rPr>
  </w:style>
  <w:style w:type="character" w:styleId="FollowedHyperlink">
    <w:name w:val="FollowedHyperlink"/>
    <w:basedOn w:val="DefaultParagraphFont"/>
    <w:uiPriority w:val="99"/>
    <w:semiHidden/>
    <w:unhideWhenUsed/>
    <w:rsid w:val="003A6779"/>
    <w:rPr>
      <w:color w:val="96607D" w:themeColor="followedHyperlink"/>
      <w:u w:val="single"/>
    </w:rPr>
  </w:style>
  <w:style w:type="paragraph" w:styleId="NormalWeb">
    <w:name w:val="Normal (Web)"/>
    <w:basedOn w:val="Normal"/>
    <w:uiPriority w:val="99"/>
    <w:semiHidden/>
    <w:unhideWhenUsed/>
    <w:rsid w:val="00C656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111/1467-9965.00068" TargetMode="External"/><Relationship Id="rId26" Type="http://schemas.openxmlformats.org/officeDocument/2006/relationships/hyperlink" Target="https://doi.org/10.3390/math8010114" TargetMode="External"/><Relationship Id="rId3" Type="http://schemas.openxmlformats.org/officeDocument/2006/relationships/styles" Target="styles.xml"/><Relationship Id="rId21" Type="http://schemas.openxmlformats.org/officeDocument/2006/relationships/hyperlink" Target="https://doi.org/10.1016/0304-4076(86)90063-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fu.ca/~poitras/818_r1.pdf"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bis.org/bcbs/publ/d457.htm" TargetMode="External"/><Relationship Id="rId29" Type="http://schemas.openxmlformats.org/officeDocument/2006/relationships/hyperlink" Target="http://ofmind.net/doc/summary/BBS20050420_Kahneman-200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oogle.com/search?q=https://doi.org/10.2307/20076258" TargetMode="External"/><Relationship Id="rId32" Type="http://schemas.openxmlformats.org/officeDocument/2006/relationships/hyperlink" Target="https://www.scirp.net/pdf/ojbm_2024032715190163.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80/713665670" TargetMode="External"/><Relationship Id="rId28" Type="http://schemas.openxmlformats.org/officeDocument/2006/relationships/hyperlink" Target="https://doi.org/10.1111/j.1540-6261.1993.tb05128.x" TargetMode="External"/><Relationship Id="rId10" Type="http://schemas.openxmlformats.org/officeDocument/2006/relationships/image" Target="media/image3.png"/><Relationship Id="rId19" Type="http://schemas.openxmlformats.org/officeDocument/2006/relationships/hyperlink" Target="https://leanpub.com/quantlibpythoncookbook" TargetMode="External"/><Relationship Id="rId31" Type="http://schemas.openxmlformats.org/officeDocument/2006/relationships/hyperlink" Target="https://www.google.com/search?q=https://doi.org/10.1016/S0927-5398(00)00012-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nber.org/system/files/working_papers/w12939/w12939.pdf" TargetMode="External"/><Relationship Id="rId27" Type="http://schemas.openxmlformats.org/officeDocument/2006/relationships/hyperlink" Target="https://doi.org/10.2307/1912773" TargetMode="External"/><Relationship Id="rId30" Type="http://schemas.openxmlformats.org/officeDocument/2006/relationships/hyperlink" Target="https://doi.org/10.2469/faj.v56.n2.2343"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85903-FCA4-430B-863B-3C1F35131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1135</TotalTime>
  <Pages>24</Pages>
  <Words>4737</Words>
  <Characters>27005</Characters>
  <Application>Microsoft Office Word</Application>
  <DocSecurity>0</DocSecurity>
  <Lines>225</Lines>
  <Paragraphs>63</Paragraphs>
  <ScaleCrop>false</ScaleCrop>
  <Company/>
  <LinksUpToDate>false</LinksUpToDate>
  <CharactersWithSpaces>31679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Beall</dc:creator>
  <cp:keywords/>
  <dc:description/>
  <cp:lastModifiedBy>James Beall</cp:lastModifiedBy>
  <cp:revision>662</cp:revision>
  <cp:lastPrinted>2026-10-07T02:28:00Z</cp:lastPrinted>
  <dcterms:created xsi:type="dcterms:W3CDTF">2026-07-27T02:45:00Z</dcterms:created>
  <dcterms:modified xsi:type="dcterms:W3CDTF">2026-10-18T23:43:00Z</dcterms:modified>
</cp:coreProperties>
</file>