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45330" w14:textId="1A9640FF" w:rsidR="001D1751" w:rsidRDefault="001D1751" w:rsidP="001D1751">
      <w:pPr>
        <w:rPr>
          <w:rFonts w:asciiTheme="majorHAnsi" w:eastAsiaTheme="majorEastAsia" w:hAnsiTheme="majorHAnsi" w:cstheme="majorHAnsi"/>
          <w:b/>
          <w:bCs/>
          <w:sz w:val="40"/>
          <w:szCs w:val="44"/>
        </w:rPr>
      </w:pPr>
      <w:r w:rsidRPr="00676925">
        <w:rPr>
          <w:rFonts w:asciiTheme="majorHAnsi" w:eastAsiaTheme="majorEastAsia" w:hAnsiTheme="majorHAnsi" w:cstheme="majorHAnsi"/>
          <w:b/>
          <w:bCs/>
          <w:sz w:val="40"/>
          <w:szCs w:val="44"/>
        </w:rPr>
        <w:t>WORKSHEET</w:t>
      </w:r>
      <w:r w:rsidR="001442FD">
        <w:rPr>
          <w:rFonts w:asciiTheme="majorHAnsi" w:eastAsiaTheme="majorEastAsia" w:hAnsiTheme="majorHAnsi" w:cstheme="majorHAnsi"/>
          <w:b/>
          <w:bCs/>
          <w:sz w:val="40"/>
          <w:szCs w:val="44"/>
        </w:rPr>
        <w:t xml:space="preserve"> </w:t>
      </w:r>
      <w:r w:rsidR="00195271">
        <w:rPr>
          <w:rFonts w:asciiTheme="majorHAnsi" w:eastAsiaTheme="majorEastAsia" w:hAnsiTheme="majorHAnsi" w:cstheme="majorHAnsi" w:hint="eastAsia"/>
          <w:b/>
          <w:bCs/>
          <w:sz w:val="40"/>
          <w:szCs w:val="44"/>
        </w:rPr>
        <w:t>3</w:t>
      </w:r>
      <w:r w:rsidR="001442FD">
        <w:rPr>
          <w:rFonts w:asciiTheme="majorHAnsi" w:eastAsiaTheme="majorEastAsia" w:hAnsiTheme="majorHAnsi" w:cstheme="majorHAnsi" w:hint="eastAsia"/>
          <w:b/>
          <w:bCs/>
          <w:sz w:val="40"/>
          <w:szCs w:val="44"/>
        </w:rPr>
        <w:t xml:space="preserve"> </w:t>
      </w:r>
      <w:r w:rsidRPr="00676925">
        <w:rPr>
          <w:rFonts w:asciiTheme="majorHAnsi" w:eastAsiaTheme="majorEastAsia" w:hAnsiTheme="majorHAnsi" w:cstheme="majorHAnsi"/>
          <w:b/>
          <w:bCs/>
          <w:sz w:val="40"/>
          <w:szCs w:val="44"/>
        </w:rPr>
        <w:t xml:space="preserve">　</w:t>
      </w:r>
      <w:r w:rsidR="00C06081">
        <w:rPr>
          <w:rFonts w:asciiTheme="majorHAnsi" w:eastAsiaTheme="majorEastAsia" w:hAnsiTheme="majorHAnsi" w:cstheme="majorHAnsi"/>
          <w:b/>
          <w:bCs/>
          <w:sz w:val="40"/>
          <w:szCs w:val="44"/>
        </w:rPr>
        <w:t>Propose specific policy</w:t>
      </w:r>
    </w:p>
    <w:tbl>
      <w:tblPr>
        <w:tblStyle w:val="TableGrid"/>
        <w:tblW w:w="0" w:type="auto"/>
        <w:tblLook w:val="04A0" w:firstRow="1" w:lastRow="0" w:firstColumn="1" w:lastColumn="0" w:noHBand="0" w:noVBand="1"/>
      </w:tblPr>
      <w:tblGrid>
        <w:gridCol w:w="2131"/>
        <w:gridCol w:w="814"/>
        <w:gridCol w:w="10491"/>
      </w:tblGrid>
      <w:tr w:rsidR="004E432E" w:rsidRPr="004E432E" w14:paraId="5D5F57F7" w14:textId="77777777" w:rsidTr="008D213A">
        <w:tc>
          <w:tcPr>
            <w:tcW w:w="2945" w:type="dxa"/>
            <w:gridSpan w:val="2"/>
            <w:tcBorders>
              <w:top w:val="nil"/>
              <w:left w:val="nil"/>
              <w:right w:val="nil"/>
            </w:tcBorders>
          </w:tcPr>
          <w:p w14:paraId="00EF9AE0" w14:textId="3068A4E7" w:rsidR="004E432E" w:rsidRPr="004E432E" w:rsidRDefault="004E432E" w:rsidP="00226C67">
            <w:pPr>
              <w:spacing w:line="360" w:lineRule="auto"/>
              <w:rPr>
                <w:rFonts w:asciiTheme="majorHAnsi" w:eastAsiaTheme="majorEastAsia" w:hAnsiTheme="majorHAnsi" w:cstheme="majorHAnsi"/>
                <w:b/>
                <w:bCs/>
                <w:sz w:val="28"/>
                <w:szCs w:val="32"/>
              </w:rPr>
            </w:pPr>
          </w:p>
        </w:tc>
        <w:tc>
          <w:tcPr>
            <w:tcW w:w="10491" w:type="dxa"/>
            <w:tcBorders>
              <w:top w:val="nil"/>
              <w:left w:val="nil"/>
              <w:right w:val="nil"/>
            </w:tcBorders>
          </w:tcPr>
          <w:p w14:paraId="4BEF6720" w14:textId="2A045F44" w:rsidR="004E432E" w:rsidRDefault="001442FD" w:rsidP="00226C67">
            <w:pPr>
              <w:spacing w:line="360" w:lineRule="auto"/>
              <w:rPr>
                <w:rFonts w:asciiTheme="majorHAnsi" w:eastAsiaTheme="majorEastAsia" w:hAnsiTheme="majorHAnsi" w:cstheme="majorHAnsi"/>
                <w:b/>
                <w:bCs/>
                <w:sz w:val="28"/>
                <w:szCs w:val="32"/>
              </w:rPr>
            </w:pPr>
            <w:r>
              <w:rPr>
                <w:rFonts w:asciiTheme="majorHAnsi" w:eastAsiaTheme="majorEastAsia" w:hAnsiTheme="majorHAnsi" w:cstheme="majorHAnsi"/>
                <w:b/>
                <w:bCs/>
                <w:sz w:val="28"/>
                <w:szCs w:val="32"/>
              </w:rPr>
              <w:t>Group member</w:t>
            </w:r>
            <w:r w:rsidR="00356FCB">
              <w:rPr>
                <w:rFonts w:asciiTheme="majorHAnsi" w:eastAsiaTheme="majorEastAsia" w:hAnsiTheme="majorHAnsi" w:cstheme="majorHAnsi"/>
                <w:b/>
                <w:bCs/>
                <w:sz w:val="28"/>
                <w:szCs w:val="32"/>
              </w:rPr>
              <w:t xml:space="preserve"> (Student No. and Names)</w:t>
            </w:r>
            <w:r w:rsidR="004E432E">
              <w:rPr>
                <w:rFonts w:asciiTheme="majorHAnsi" w:eastAsiaTheme="majorEastAsia" w:hAnsiTheme="majorHAnsi" w:cstheme="majorHAnsi"/>
                <w:b/>
                <w:bCs/>
                <w:sz w:val="28"/>
                <w:szCs w:val="32"/>
              </w:rPr>
              <w:t xml:space="preserve">: </w:t>
            </w:r>
          </w:p>
          <w:p w14:paraId="3A5419FB" w14:textId="386D5332" w:rsidR="001442FD" w:rsidRPr="00356FCB" w:rsidRDefault="001442FD" w:rsidP="00356FCB">
            <w:pPr>
              <w:rPr>
                <w:rFonts w:asciiTheme="majorHAnsi" w:eastAsiaTheme="majorEastAsia" w:hAnsiTheme="majorHAnsi" w:cstheme="majorHAnsi"/>
                <w:bCs/>
                <w:sz w:val="24"/>
                <w:szCs w:val="24"/>
              </w:rPr>
            </w:pPr>
          </w:p>
          <w:p w14:paraId="4775867A" w14:textId="77777777" w:rsidR="001442FD" w:rsidRPr="00356FCB" w:rsidRDefault="001442FD" w:rsidP="00356FCB">
            <w:pPr>
              <w:rPr>
                <w:rFonts w:asciiTheme="majorHAnsi" w:eastAsiaTheme="majorEastAsia" w:hAnsiTheme="majorHAnsi" w:cstheme="majorHAnsi"/>
                <w:bCs/>
                <w:sz w:val="24"/>
                <w:szCs w:val="24"/>
              </w:rPr>
            </w:pPr>
          </w:p>
          <w:p w14:paraId="031525FF" w14:textId="0A853CA3" w:rsidR="001442FD" w:rsidRPr="004E432E" w:rsidRDefault="001442FD" w:rsidP="00356FCB">
            <w:pPr>
              <w:rPr>
                <w:rFonts w:asciiTheme="majorHAnsi" w:eastAsiaTheme="majorEastAsia" w:hAnsiTheme="majorHAnsi" w:cstheme="majorHAnsi"/>
                <w:b/>
                <w:bCs/>
                <w:sz w:val="28"/>
                <w:szCs w:val="32"/>
              </w:rPr>
            </w:pPr>
          </w:p>
        </w:tc>
      </w:tr>
      <w:tr w:rsidR="001D1751" w14:paraId="1134D970" w14:textId="77777777" w:rsidTr="008D213A">
        <w:trPr>
          <w:trHeight w:val="919"/>
        </w:trPr>
        <w:tc>
          <w:tcPr>
            <w:tcW w:w="2131" w:type="dxa"/>
          </w:tcPr>
          <w:p w14:paraId="6C484553" w14:textId="6BA4B9F9" w:rsidR="009E46B6" w:rsidRPr="004229B4" w:rsidRDefault="008D213A" w:rsidP="004229B4">
            <w:pPr>
              <w:spacing w:line="400" w:lineRule="exact"/>
              <w:jc w:val="left"/>
              <w:rPr>
                <w:rFonts w:asciiTheme="majorHAnsi" w:eastAsiaTheme="majorEastAsia" w:hAnsiTheme="majorHAnsi" w:cstheme="majorHAnsi"/>
                <w:sz w:val="28"/>
                <w:szCs w:val="32"/>
              </w:rPr>
            </w:pPr>
            <w:r>
              <w:rPr>
                <w:rFonts w:asciiTheme="majorHAnsi" w:eastAsiaTheme="majorEastAsia" w:hAnsiTheme="majorHAnsi" w:cstheme="majorHAnsi" w:hint="eastAsia"/>
                <w:sz w:val="28"/>
                <w:szCs w:val="32"/>
              </w:rPr>
              <w:t>N</w:t>
            </w:r>
            <w:r>
              <w:rPr>
                <w:rFonts w:asciiTheme="majorHAnsi" w:eastAsiaTheme="majorEastAsia" w:hAnsiTheme="majorHAnsi" w:cstheme="majorHAnsi"/>
                <w:sz w:val="28"/>
                <w:szCs w:val="32"/>
              </w:rPr>
              <w:t>ame of the policy</w:t>
            </w:r>
          </w:p>
        </w:tc>
        <w:tc>
          <w:tcPr>
            <w:tcW w:w="11305" w:type="dxa"/>
            <w:gridSpan w:val="2"/>
          </w:tcPr>
          <w:p w14:paraId="2B986A5A" w14:textId="2636FE15" w:rsidR="004771B0" w:rsidRPr="00533A38" w:rsidRDefault="00533A38" w:rsidP="00C52D28">
            <w:pPr>
              <w:spacing w:line="400" w:lineRule="exact"/>
              <w:rPr>
                <w:rFonts w:asciiTheme="majorHAnsi" w:eastAsiaTheme="majorEastAsia" w:hAnsiTheme="majorHAnsi" w:cstheme="majorHAnsi"/>
                <w:sz w:val="24"/>
                <w:szCs w:val="24"/>
                <w:lang w:val="en-GB"/>
              </w:rPr>
            </w:pPr>
            <w:r w:rsidRPr="00533A38">
              <w:rPr>
                <w:rFonts w:asciiTheme="majorHAnsi" w:eastAsiaTheme="majorEastAsia" w:hAnsiTheme="majorHAnsi" w:cstheme="majorHAnsi"/>
                <w:sz w:val="24"/>
                <w:szCs w:val="24"/>
                <w:lang w:val="en-GB"/>
              </w:rPr>
              <w:t>Pricing Balance and Transport Diversity Policy</w:t>
            </w:r>
          </w:p>
        </w:tc>
      </w:tr>
      <w:tr w:rsidR="00CD1734" w14:paraId="2C0C781C" w14:textId="77777777" w:rsidTr="008D213A">
        <w:trPr>
          <w:trHeight w:val="1720"/>
        </w:trPr>
        <w:tc>
          <w:tcPr>
            <w:tcW w:w="2131" w:type="dxa"/>
          </w:tcPr>
          <w:p w14:paraId="14E03248" w14:textId="4DCD3D7D" w:rsidR="009E46B6" w:rsidRDefault="009E46B6" w:rsidP="00BE18B5">
            <w:pPr>
              <w:spacing w:line="400" w:lineRule="exact"/>
              <w:jc w:val="left"/>
              <w:rPr>
                <w:rFonts w:asciiTheme="majorHAnsi" w:eastAsiaTheme="majorEastAsia" w:hAnsiTheme="majorHAnsi" w:cstheme="majorHAnsi"/>
                <w:sz w:val="28"/>
                <w:szCs w:val="32"/>
              </w:rPr>
            </w:pPr>
          </w:p>
          <w:p w14:paraId="28A960BD" w14:textId="2289E058" w:rsidR="00284CFE" w:rsidRPr="00C52D28" w:rsidRDefault="00284CFE" w:rsidP="00BE18B5">
            <w:pPr>
              <w:spacing w:line="400" w:lineRule="exact"/>
              <w:jc w:val="left"/>
              <w:rPr>
                <w:rFonts w:asciiTheme="majorHAnsi" w:eastAsiaTheme="majorEastAsia" w:hAnsiTheme="majorHAnsi" w:cstheme="majorHAnsi"/>
                <w:sz w:val="28"/>
                <w:szCs w:val="32"/>
              </w:rPr>
            </w:pPr>
            <w:r>
              <w:rPr>
                <w:rFonts w:asciiTheme="majorHAnsi" w:eastAsiaTheme="majorEastAsia" w:hAnsiTheme="majorHAnsi" w:cstheme="majorHAnsi" w:hint="eastAsia"/>
                <w:sz w:val="28"/>
                <w:szCs w:val="32"/>
              </w:rPr>
              <w:t>Policy Goal</w:t>
            </w:r>
          </w:p>
        </w:tc>
        <w:tc>
          <w:tcPr>
            <w:tcW w:w="11305" w:type="dxa"/>
            <w:gridSpan w:val="2"/>
          </w:tcPr>
          <w:p w14:paraId="77BF8BE6" w14:textId="77777777" w:rsidR="00225A05" w:rsidRPr="00225A05" w:rsidRDefault="00225A05" w:rsidP="00225A05">
            <w:pPr>
              <w:spacing w:line="400" w:lineRule="exact"/>
              <w:rPr>
                <w:rFonts w:asciiTheme="majorHAnsi" w:eastAsiaTheme="majorEastAsia" w:hAnsiTheme="majorHAnsi" w:cstheme="majorHAnsi"/>
                <w:sz w:val="24"/>
                <w:szCs w:val="24"/>
                <w:lang w:val="en-GB"/>
              </w:rPr>
            </w:pPr>
            <w:r w:rsidRPr="00225A05">
              <w:rPr>
                <w:rFonts w:asciiTheme="majorHAnsi" w:eastAsiaTheme="majorEastAsia" w:hAnsiTheme="majorHAnsi" w:cstheme="majorHAnsi"/>
                <w:sz w:val="24"/>
                <w:szCs w:val="24"/>
                <w:lang w:val="en-GB"/>
              </w:rPr>
              <w:t>The Pricing Balance and Transport Diversity Policy aims to alleviate the inconvenience faced by local residents in Kyoto due to overcrowding in bus lines caused by an influx of tourists. The policy strives to create a balanced and efficient transportation system that meets the needs of residents and visitors alike, improving daily commuting for locals while preserving Kyoto's cultural charm for tourists.</w:t>
            </w:r>
          </w:p>
          <w:p w14:paraId="0A66DFFB" w14:textId="77777777" w:rsidR="00225A05" w:rsidRPr="00225A05" w:rsidRDefault="00225A05" w:rsidP="00225A05">
            <w:pPr>
              <w:spacing w:line="400" w:lineRule="exact"/>
              <w:rPr>
                <w:rFonts w:asciiTheme="majorHAnsi" w:eastAsiaTheme="majorEastAsia" w:hAnsiTheme="majorHAnsi" w:cstheme="majorHAnsi"/>
                <w:sz w:val="24"/>
                <w:szCs w:val="24"/>
                <w:lang w:val="en-GB"/>
              </w:rPr>
            </w:pPr>
            <w:r w:rsidRPr="00225A05">
              <w:rPr>
                <w:rFonts w:asciiTheme="majorHAnsi" w:eastAsiaTheme="majorEastAsia" w:hAnsiTheme="majorHAnsi" w:cstheme="majorHAnsi"/>
                <w:sz w:val="24"/>
                <w:szCs w:val="24"/>
                <w:lang w:val="en-GB"/>
              </w:rPr>
              <w:t>Specific Objectives:</w:t>
            </w:r>
          </w:p>
          <w:p w14:paraId="27AB698A" w14:textId="77777777" w:rsidR="00225A05" w:rsidRPr="00225A05" w:rsidRDefault="00225A05" w:rsidP="00225A05">
            <w:pPr>
              <w:numPr>
                <w:ilvl w:val="0"/>
                <w:numId w:val="7"/>
              </w:numPr>
              <w:spacing w:line="400" w:lineRule="exact"/>
              <w:rPr>
                <w:rFonts w:asciiTheme="majorHAnsi" w:eastAsiaTheme="majorEastAsia" w:hAnsiTheme="majorHAnsi" w:cstheme="majorHAnsi"/>
                <w:sz w:val="24"/>
                <w:szCs w:val="24"/>
                <w:lang w:val="en-GB"/>
              </w:rPr>
            </w:pPr>
            <w:r w:rsidRPr="00225A05">
              <w:rPr>
                <w:rFonts w:asciiTheme="majorHAnsi" w:eastAsiaTheme="majorEastAsia" w:hAnsiTheme="majorHAnsi" w:cstheme="majorHAnsi"/>
                <w:sz w:val="24"/>
                <w:szCs w:val="24"/>
                <w:lang w:val="en-GB"/>
              </w:rPr>
              <w:t>Mitigate Overcrowding: Implement measures to reduce overcrowding in bus lines, particularly in popular tourist areas, to minimize wait times and the need for locals to board multiple buses.</w:t>
            </w:r>
          </w:p>
          <w:p w14:paraId="75FCA64D" w14:textId="77777777" w:rsidR="00225A05" w:rsidRPr="00225A05" w:rsidRDefault="00225A05" w:rsidP="00225A05">
            <w:pPr>
              <w:numPr>
                <w:ilvl w:val="0"/>
                <w:numId w:val="7"/>
              </w:numPr>
              <w:spacing w:line="400" w:lineRule="exact"/>
              <w:rPr>
                <w:rFonts w:asciiTheme="majorHAnsi" w:eastAsiaTheme="majorEastAsia" w:hAnsiTheme="majorHAnsi" w:cstheme="majorHAnsi"/>
                <w:sz w:val="24"/>
                <w:szCs w:val="24"/>
                <w:lang w:val="en-GB"/>
              </w:rPr>
            </w:pPr>
            <w:r w:rsidRPr="00225A05">
              <w:rPr>
                <w:rFonts w:asciiTheme="majorHAnsi" w:eastAsiaTheme="majorEastAsia" w:hAnsiTheme="majorHAnsi" w:cstheme="majorHAnsi"/>
                <w:sz w:val="24"/>
                <w:szCs w:val="24"/>
                <w:lang w:val="en-GB"/>
              </w:rPr>
              <w:t>Encourage Transport Diversity: Promote diverse transportation options such as rail, bicycles, and walking to distribute tourist traffic more evenly, relieving pressure on bus services and promoting sustainable travel practices.</w:t>
            </w:r>
          </w:p>
          <w:p w14:paraId="7884C9A3" w14:textId="77777777" w:rsidR="00225A05" w:rsidRPr="00225A05" w:rsidRDefault="00225A05" w:rsidP="00225A05">
            <w:pPr>
              <w:numPr>
                <w:ilvl w:val="0"/>
                <w:numId w:val="7"/>
              </w:numPr>
              <w:spacing w:line="400" w:lineRule="exact"/>
              <w:rPr>
                <w:rFonts w:asciiTheme="majorHAnsi" w:eastAsiaTheme="majorEastAsia" w:hAnsiTheme="majorHAnsi" w:cstheme="majorHAnsi"/>
                <w:sz w:val="24"/>
                <w:szCs w:val="24"/>
                <w:lang w:val="en-GB"/>
              </w:rPr>
            </w:pPr>
            <w:r w:rsidRPr="00225A05">
              <w:rPr>
                <w:rFonts w:asciiTheme="majorHAnsi" w:eastAsiaTheme="majorEastAsia" w:hAnsiTheme="majorHAnsi" w:cstheme="majorHAnsi"/>
                <w:sz w:val="24"/>
                <w:szCs w:val="24"/>
                <w:lang w:val="en-GB"/>
              </w:rPr>
              <w:t>Balance Pricing: Introduce pricing strategies that incentivize tourists to choose alternative transportation modes, like rail, by making bus fares relatively higher for non-residents. This approach encourages tourists to consider less congested and more sustainable travel options.</w:t>
            </w:r>
          </w:p>
          <w:p w14:paraId="19386130" w14:textId="77777777" w:rsidR="00225A05" w:rsidRPr="00225A05" w:rsidRDefault="00225A05" w:rsidP="00225A05">
            <w:pPr>
              <w:numPr>
                <w:ilvl w:val="0"/>
                <w:numId w:val="7"/>
              </w:numPr>
              <w:spacing w:line="400" w:lineRule="exact"/>
              <w:rPr>
                <w:rFonts w:asciiTheme="majorHAnsi" w:eastAsiaTheme="majorEastAsia" w:hAnsiTheme="majorHAnsi" w:cstheme="majorHAnsi"/>
                <w:sz w:val="24"/>
                <w:szCs w:val="24"/>
                <w:lang w:val="en-GB"/>
              </w:rPr>
            </w:pPr>
            <w:r w:rsidRPr="00225A05">
              <w:rPr>
                <w:rFonts w:asciiTheme="majorHAnsi" w:eastAsiaTheme="majorEastAsia" w:hAnsiTheme="majorHAnsi" w:cstheme="majorHAnsi"/>
                <w:sz w:val="24"/>
                <w:szCs w:val="24"/>
                <w:lang w:val="en-GB"/>
              </w:rPr>
              <w:t>Stakeholder Collaboration: Foster collaboration among transportation authorities, tourism agencies, local businesses, and residents to develop initiatives that integrate ticketing systems, improve infrastructure, and raise awareness about alternative transportation options.</w:t>
            </w:r>
          </w:p>
          <w:p w14:paraId="22F5225D" w14:textId="77777777" w:rsidR="00225A05" w:rsidRPr="00225A05" w:rsidRDefault="00225A05" w:rsidP="00225A05">
            <w:pPr>
              <w:spacing w:line="400" w:lineRule="exact"/>
              <w:rPr>
                <w:rFonts w:asciiTheme="majorHAnsi" w:eastAsiaTheme="majorEastAsia" w:hAnsiTheme="majorHAnsi" w:cstheme="majorHAnsi"/>
                <w:sz w:val="24"/>
                <w:szCs w:val="24"/>
                <w:lang w:val="en-GB"/>
              </w:rPr>
            </w:pPr>
            <w:r w:rsidRPr="00225A05">
              <w:rPr>
                <w:rFonts w:asciiTheme="majorHAnsi" w:eastAsiaTheme="majorEastAsia" w:hAnsiTheme="majorHAnsi" w:cstheme="majorHAnsi"/>
                <w:sz w:val="24"/>
                <w:szCs w:val="24"/>
                <w:lang w:val="en-GB"/>
              </w:rPr>
              <w:t>By pursuing these objectives, the policy aims to create a harmonious and sustainable transportation environment in Kyoto, providing a better travel experience for both residents and tourists.</w:t>
            </w:r>
          </w:p>
          <w:p w14:paraId="04F0FC52" w14:textId="15166860" w:rsidR="00CC330B" w:rsidRPr="00225A05" w:rsidRDefault="00CC330B" w:rsidP="00284CFE">
            <w:pPr>
              <w:spacing w:line="400" w:lineRule="exact"/>
              <w:rPr>
                <w:rFonts w:asciiTheme="majorHAnsi" w:eastAsiaTheme="majorEastAsia" w:hAnsiTheme="majorHAnsi" w:cstheme="majorHAnsi"/>
                <w:sz w:val="24"/>
                <w:szCs w:val="24"/>
                <w:lang w:val="en-GB"/>
              </w:rPr>
            </w:pPr>
          </w:p>
        </w:tc>
      </w:tr>
      <w:tr w:rsidR="00284CFE" w14:paraId="1C4BA8C0" w14:textId="77777777" w:rsidTr="008D213A">
        <w:trPr>
          <w:trHeight w:val="1720"/>
        </w:trPr>
        <w:tc>
          <w:tcPr>
            <w:tcW w:w="2131" w:type="dxa"/>
          </w:tcPr>
          <w:p w14:paraId="27782F59" w14:textId="30AFEB31" w:rsidR="00284CFE" w:rsidRDefault="00284CFE" w:rsidP="00BE18B5">
            <w:pPr>
              <w:spacing w:line="400" w:lineRule="exact"/>
              <w:jc w:val="left"/>
              <w:rPr>
                <w:rFonts w:asciiTheme="majorHAnsi" w:eastAsiaTheme="majorEastAsia" w:hAnsiTheme="majorHAnsi" w:cstheme="majorHAnsi"/>
                <w:sz w:val="28"/>
                <w:szCs w:val="32"/>
              </w:rPr>
            </w:pPr>
            <w:r>
              <w:rPr>
                <w:rFonts w:asciiTheme="majorHAnsi" w:eastAsiaTheme="majorEastAsia" w:hAnsiTheme="majorHAnsi" w:cstheme="majorHAnsi"/>
                <w:sz w:val="28"/>
                <w:szCs w:val="32"/>
              </w:rPr>
              <w:t>S</w:t>
            </w:r>
            <w:r w:rsidRPr="00284CFE">
              <w:rPr>
                <w:rFonts w:asciiTheme="majorHAnsi" w:eastAsiaTheme="majorEastAsia" w:hAnsiTheme="majorHAnsi" w:cstheme="majorHAnsi"/>
                <w:sz w:val="28"/>
                <w:szCs w:val="32"/>
              </w:rPr>
              <w:t xml:space="preserve">pecific </w:t>
            </w:r>
            <w:r w:rsidR="005C292D">
              <w:rPr>
                <w:rFonts w:asciiTheme="majorHAnsi" w:eastAsiaTheme="majorEastAsia" w:hAnsiTheme="majorHAnsi" w:cstheme="majorHAnsi"/>
                <w:sz w:val="28"/>
                <w:szCs w:val="32"/>
              </w:rPr>
              <w:t xml:space="preserve">target </w:t>
            </w:r>
            <w:r w:rsidRPr="00284CFE">
              <w:rPr>
                <w:rFonts w:asciiTheme="majorHAnsi" w:eastAsiaTheme="majorEastAsia" w:hAnsiTheme="majorHAnsi" w:cstheme="majorHAnsi"/>
                <w:sz w:val="28"/>
                <w:szCs w:val="32"/>
              </w:rPr>
              <w:t>issue</w:t>
            </w:r>
            <w:r w:rsidR="005C292D">
              <w:rPr>
                <w:rFonts w:asciiTheme="majorHAnsi" w:eastAsiaTheme="majorEastAsia" w:hAnsiTheme="majorHAnsi" w:cstheme="majorHAnsi"/>
                <w:sz w:val="28"/>
                <w:szCs w:val="32"/>
              </w:rPr>
              <w:t xml:space="preserve"> </w:t>
            </w:r>
          </w:p>
        </w:tc>
        <w:tc>
          <w:tcPr>
            <w:tcW w:w="11305" w:type="dxa"/>
            <w:gridSpan w:val="2"/>
          </w:tcPr>
          <w:p w14:paraId="72DA6702" w14:textId="141BB374" w:rsidR="00CC330B" w:rsidRPr="00CC330B" w:rsidRDefault="00CC330B" w:rsidP="00CC330B">
            <w:pPr>
              <w:spacing w:line="400" w:lineRule="exact"/>
              <w:rPr>
                <w:rFonts w:asciiTheme="majorHAnsi" w:eastAsiaTheme="majorEastAsia" w:hAnsiTheme="majorHAnsi" w:cstheme="majorHAnsi"/>
                <w:sz w:val="24"/>
                <w:szCs w:val="24"/>
              </w:rPr>
            </w:pPr>
            <w:r w:rsidRPr="00CC330B">
              <w:rPr>
                <w:rFonts w:asciiTheme="majorHAnsi" w:eastAsiaTheme="majorEastAsia" w:hAnsiTheme="majorHAnsi" w:cstheme="majorHAnsi"/>
                <w:sz w:val="24"/>
                <w:szCs w:val="24"/>
              </w:rPr>
              <w:t>Kyoto's main attractions are located in the heart of the city, making an overwhelming presence of tourists us</w:t>
            </w:r>
            <w:r w:rsidR="00225A05">
              <w:rPr>
                <w:rFonts w:asciiTheme="majorHAnsi" w:eastAsiaTheme="majorEastAsia" w:hAnsiTheme="majorHAnsi" w:cstheme="majorHAnsi"/>
                <w:sz w:val="24"/>
                <w:szCs w:val="24"/>
              </w:rPr>
              <w:t>ing</w:t>
            </w:r>
            <w:r w:rsidRPr="00CC330B">
              <w:rPr>
                <w:rFonts w:asciiTheme="majorHAnsi" w:eastAsiaTheme="majorEastAsia" w:hAnsiTheme="majorHAnsi" w:cstheme="majorHAnsi"/>
                <w:sz w:val="24"/>
                <w:szCs w:val="24"/>
              </w:rPr>
              <w:t xml:space="preserve"> the main city bus lines to commute. This affect the daily lives of locals, who often need to wait in line for more than two busses in order to be able to get in.</w:t>
            </w:r>
          </w:p>
          <w:p w14:paraId="48BD2BF1" w14:textId="4EC24793" w:rsidR="008D213A" w:rsidRDefault="00CC330B" w:rsidP="00217C3A">
            <w:pPr>
              <w:spacing w:line="400" w:lineRule="exact"/>
              <w:rPr>
                <w:rFonts w:asciiTheme="majorHAnsi" w:eastAsiaTheme="majorEastAsia" w:hAnsiTheme="majorHAnsi" w:cstheme="majorHAnsi"/>
                <w:sz w:val="24"/>
                <w:szCs w:val="24"/>
              </w:rPr>
            </w:pPr>
            <w:r w:rsidRPr="00CC330B">
              <w:rPr>
                <w:rFonts w:asciiTheme="majorHAnsi" w:eastAsiaTheme="majorEastAsia" w:hAnsiTheme="majorHAnsi" w:cstheme="majorHAnsi"/>
                <w:sz w:val="24"/>
                <w:szCs w:val="24"/>
              </w:rPr>
              <w:t>Th</w:t>
            </w:r>
            <w:r w:rsidR="00225A05">
              <w:rPr>
                <w:rFonts w:asciiTheme="majorHAnsi" w:eastAsiaTheme="majorEastAsia" w:hAnsiTheme="majorHAnsi" w:cstheme="majorHAnsi"/>
                <w:sz w:val="24"/>
                <w:szCs w:val="24"/>
              </w:rPr>
              <w:t>e main cause</w:t>
            </w:r>
            <w:r w:rsidRPr="00CC330B">
              <w:rPr>
                <w:rFonts w:asciiTheme="majorHAnsi" w:eastAsiaTheme="majorEastAsia" w:hAnsiTheme="majorHAnsi" w:cstheme="majorHAnsi"/>
                <w:sz w:val="24"/>
                <w:szCs w:val="24"/>
              </w:rPr>
              <w:t xml:space="preserve"> is the </w:t>
            </w:r>
            <w:r w:rsidR="00225A05">
              <w:rPr>
                <w:rFonts w:asciiTheme="majorHAnsi" w:eastAsiaTheme="majorEastAsia" w:hAnsiTheme="majorHAnsi" w:cstheme="majorHAnsi"/>
                <w:sz w:val="24"/>
                <w:szCs w:val="24"/>
              </w:rPr>
              <w:t xml:space="preserve">pricing of local </w:t>
            </w:r>
            <w:r w:rsidRPr="00CC330B">
              <w:rPr>
                <w:rFonts w:asciiTheme="majorHAnsi" w:eastAsiaTheme="majorEastAsia" w:hAnsiTheme="majorHAnsi" w:cstheme="majorHAnsi"/>
                <w:sz w:val="24"/>
                <w:szCs w:val="24"/>
              </w:rPr>
              <w:t xml:space="preserve">busses </w:t>
            </w:r>
            <w:r w:rsidR="00225A05">
              <w:rPr>
                <w:rFonts w:asciiTheme="majorHAnsi" w:eastAsiaTheme="majorEastAsia" w:hAnsiTheme="majorHAnsi" w:cstheme="majorHAnsi"/>
                <w:sz w:val="24"/>
                <w:szCs w:val="24"/>
              </w:rPr>
              <w:t xml:space="preserve">that </w:t>
            </w:r>
            <w:r w:rsidRPr="00CC330B">
              <w:rPr>
                <w:rFonts w:asciiTheme="majorHAnsi" w:eastAsiaTheme="majorEastAsia" w:hAnsiTheme="majorHAnsi" w:cstheme="majorHAnsi"/>
                <w:sz w:val="24"/>
                <w:szCs w:val="24"/>
              </w:rPr>
              <w:t>are</w:t>
            </w:r>
            <w:r w:rsidR="00225A05">
              <w:rPr>
                <w:rFonts w:asciiTheme="majorHAnsi" w:eastAsiaTheme="majorEastAsia" w:hAnsiTheme="majorHAnsi" w:cstheme="majorHAnsi"/>
                <w:sz w:val="24"/>
                <w:szCs w:val="24"/>
              </w:rPr>
              <w:t xml:space="preserve"> mostly</w:t>
            </w:r>
            <w:r w:rsidRPr="00CC330B">
              <w:rPr>
                <w:rFonts w:asciiTheme="majorHAnsi" w:eastAsiaTheme="majorEastAsia" w:hAnsiTheme="majorHAnsi" w:cstheme="majorHAnsi"/>
                <w:sz w:val="24"/>
                <w:szCs w:val="24"/>
              </w:rPr>
              <w:t xml:space="preserve"> cheaper and more convenient than using </w:t>
            </w:r>
            <w:r w:rsidR="00225A05">
              <w:rPr>
                <w:rFonts w:asciiTheme="majorHAnsi" w:eastAsiaTheme="majorEastAsia" w:hAnsiTheme="majorHAnsi" w:cstheme="majorHAnsi"/>
                <w:sz w:val="24"/>
                <w:szCs w:val="24"/>
              </w:rPr>
              <w:t xml:space="preserve">the local </w:t>
            </w:r>
            <w:r w:rsidRPr="00CC330B">
              <w:rPr>
                <w:rFonts w:asciiTheme="majorHAnsi" w:eastAsiaTheme="majorEastAsia" w:hAnsiTheme="majorHAnsi" w:cstheme="majorHAnsi"/>
                <w:sz w:val="24"/>
                <w:szCs w:val="24"/>
              </w:rPr>
              <w:t>rail transportatio</w:t>
            </w:r>
            <w:r w:rsidR="00225A05">
              <w:rPr>
                <w:rFonts w:asciiTheme="majorHAnsi" w:eastAsiaTheme="majorEastAsia" w:hAnsiTheme="majorHAnsi" w:cstheme="majorHAnsi"/>
                <w:sz w:val="24"/>
                <w:szCs w:val="24"/>
              </w:rPr>
              <w:t>n enticing tourists to choose it as their preferred transport event when rail is available</w:t>
            </w:r>
            <w:r w:rsidRPr="00CC330B">
              <w:rPr>
                <w:rFonts w:asciiTheme="majorHAnsi" w:eastAsiaTheme="majorEastAsia" w:hAnsiTheme="majorHAnsi" w:cstheme="majorHAnsi"/>
                <w:sz w:val="24"/>
                <w:szCs w:val="24"/>
              </w:rPr>
              <w:t>.</w:t>
            </w:r>
          </w:p>
        </w:tc>
      </w:tr>
      <w:tr w:rsidR="001442FD" w14:paraId="5D5DF535" w14:textId="77777777" w:rsidTr="008D213A">
        <w:tc>
          <w:tcPr>
            <w:tcW w:w="2131" w:type="dxa"/>
          </w:tcPr>
          <w:p w14:paraId="08091C05" w14:textId="61FD78B9" w:rsidR="00284CFE" w:rsidRPr="00C52D28" w:rsidRDefault="00195271" w:rsidP="004229B4">
            <w:pPr>
              <w:spacing w:line="400" w:lineRule="exact"/>
              <w:jc w:val="left"/>
              <w:rPr>
                <w:rFonts w:asciiTheme="majorHAnsi" w:eastAsiaTheme="majorEastAsia" w:hAnsiTheme="majorHAnsi" w:cstheme="majorHAnsi"/>
                <w:sz w:val="28"/>
                <w:szCs w:val="32"/>
              </w:rPr>
            </w:pPr>
            <w:r>
              <w:rPr>
                <w:rFonts w:asciiTheme="majorHAnsi" w:eastAsiaTheme="majorEastAsia" w:hAnsiTheme="majorHAnsi" w:cstheme="majorHAnsi" w:hint="eastAsia"/>
                <w:sz w:val="28"/>
                <w:szCs w:val="32"/>
              </w:rPr>
              <w:t>Specific policy</w:t>
            </w:r>
            <w:r>
              <w:rPr>
                <w:rFonts w:asciiTheme="majorHAnsi" w:eastAsiaTheme="majorEastAsia" w:hAnsiTheme="majorHAnsi" w:cstheme="majorHAnsi"/>
                <w:sz w:val="28"/>
                <w:szCs w:val="32"/>
              </w:rPr>
              <w:t xml:space="preserve"> proposal</w:t>
            </w:r>
          </w:p>
        </w:tc>
        <w:tc>
          <w:tcPr>
            <w:tcW w:w="11305" w:type="dxa"/>
            <w:gridSpan w:val="2"/>
          </w:tcPr>
          <w:p w14:paraId="6235566D" w14:textId="77777777" w:rsidR="00900840" w:rsidRPr="00900840" w:rsidRDefault="00900840" w:rsidP="00900840">
            <w:pPr>
              <w:spacing w:line="400" w:lineRule="exact"/>
              <w:rPr>
                <w:rFonts w:asciiTheme="majorHAnsi" w:eastAsiaTheme="majorEastAsia" w:hAnsiTheme="majorHAnsi" w:cstheme="majorHAnsi"/>
                <w:sz w:val="24"/>
                <w:szCs w:val="24"/>
                <w:lang w:val="en-GB"/>
              </w:rPr>
            </w:pPr>
            <w:r w:rsidRPr="00900840">
              <w:rPr>
                <w:rFonts w:asciiTheme="majorHAnsi" w:eastAsiaTheme="majorEastAsia" w:hAnsiTheme="majorHAnsi" w:cstheme="majorHAnsi"/>
                <w:sz w:val="24"/>
                <w:szCs w:val="24"/>
                <w:lang w:val="en-GB"/>
              </w:rPr>
              <w:t>The following measures will be implemented as part of the Pricing Balance and Transport Diversity Policy:</w:t>
            </w:r>
          </w:p>
          <w:p w14:paraId="33418869" w14:textId="77777777" w:rsidR="00900840" w:rsidRPr="00900840" w:rsidRDefault="00900840" w:rsidP="00900840">
            <w:pPr>
              <w:numPr>
                <w:ilvl w:val="0"/>
                <w:numId w:val="5"/>
              </w:numPr>
              <w:spacing w:line="400" w:lineRule="exact"/>
              <w:rPr>
                <w:rFonts w:asciiTheme="majorHAnsi" w:eastAsiaTheme="majorEastAsia" w:hAnsiTheme="majorHAnsi" w:cstheme="majorHAnsi"/>
                <w:sz w:val="24"/>
                <w:szCs w:val="24"/>
                <w:lang w:val="en-GB"/>
              </w:rPr>
            </w:pPr>
            <w:r w:rsidRPr="00900840">
              <w:rPr>
                <w:rFonts w:asciiTheme="majorHAnsi" w:eastAsiaTheme="majorEastAsia" w:hAnsiTheme="majorHAnsi" w:cstheme="majorHAnsi"/>
                <w:sz w:val="24"/>
                <w:szCs w:val="24"/>
                <w:lang w:val="en-GB"/>
              </w:rPr>
              <w:t>Fare adjustments: Introduce fare adjustments that encourage a more balanced usage of transportation modes among tourists. This could include increasing bus fares during peak tourist seasons or implementing dynamic pricing based on demand to incentivize tourists to explore alternative transportation options.</w:t>
            </w:r>
          </w:p>
          <w:p w14:paraId="741B04CD" w14:textId="77777777" w:rsidR="00900840" w:rsidRPr="00900840" w:rsidRDefault="00900840" w:rsidP="00900840">
            <w:pPr>
              <w:numPr>
                <w:ilvl w:val="0"/>
                <w:numId w:val="5"/>
              </w:numPr>
              <w:spacing w:line="400" w:lineRule="exact"/>
              <w:rPr>
                <w:rFonts w:asciiTheme="majorHAnsi" w:eastAsiaTheme="majorEastAsia" w:hAnsiTheme="majorHAnsi" w:cstheme="majorHAnsi"/>
                <w:sz w:val="24"/>
                <w:szCs w:val="24"/>
                <w:lang w:val="en-GB"/>
              </w:rPr>
            </w:pPr>
            <w:r w:rsidRPr="00900840">
              <w:rPr>
                <w:rFonts w:asciiTheme="majorHAnsi" w:eastAsiaTheme="majorEastAsia" w:hAnsiTheme="majorHAnsi" w:cstheme="majorHAnsi"/>
                <w:sz w:val="24"/>
                <w:szCs w:val="24"/>
                <w:lang w:val="en-GB"/>
              </w:rPr>
              <w:t>Promoting rail travel: Launch targeted marketing campaigns and information campaigns to raise awareness among tourists about the benefits of using rail transportation in Kyoto. Highlight the convenience, reliability, and efficiency of the rail system, as well as the availability of passes and discounts for tourists.</w:t>
            </w:r>
          </w:p>
          <w:p w14:paraId="4B941273" w14:textId="77777777" w:rsidR="00900840" w:rsidRPr="00900840" w:rsidRDefault="00900840" w:rsidP="00900840">
            <w:pPr>
              <w:numPr>
                <w:ilvl w:val="0"/>
                <w:numId w:val="5"/>
              </w:numPr>
              <w:spacing w:line="400" w:lineRule="exact"/>
              <w:rPr>
                <w:rFonts w:asciiTheme="majorHAnsi" w:eastAsiaTheme="majorEastAsia" w:hAnsiTheme="majorHAnsi" w:cstheme="majorHAnsi"/>
                <w:sz w:val="24"/>
                <w:szCs w:val="24"/>
                <w:lang w:val="en-GB"/>
              </w:rPr>
            </w:pPr>
            <w:r w:rsidRPr="00900840">
              <w:rPr>
                <w:rFonts w:asciiTheme="majorHAnsi" w:eastAsiaTheme="majorEastAsia" w:hAnsiTheme="majorHAnsi" w:cstheme="majorHAnsi"/>
                <w:sz w:val="24"/>
                <w:szCs w:val="24"/>
                <w:lang w:val="en-GB"/>
              </w:rPr>
              <w:t>Enhanced bus capacity: Explore options to increase the capacity of buses on popular tourist routes without compromising the comfort and safety of passengers. This could involve deploying larger buses or increasing the frequency of bus services during peak hours.</w:t>
            </w:r>
          </w:p>
          <w:p w14:paraId="74182816" w14:textId="28F9B50F" w:rsidR="008D213A" w:rsidRPr="00900840" w:rsidRDefault="00900840" w:rsidP="00CD1734">
            <w:pPr>
              <w:numPr>
                <w:ilvl w:val="0"/>
                <w:numId w:val="5"/>
              </w:numPr>
              <w:spacing w:line="400" w:lineRule="exact"/>
              <w:rPr>
                <w:rFonts w:asciiTheme="majorHAnsi" w:eastAsiaTheme="majorEastAsia" w:hAnsiTheme="majorHAnsi" w:cstheme="majorHAnsi"/>
                <w:sz w:val="24"/>
                <w:szCs w:val="24"/>
                <w:lang w:val="en-GB"/>
              </w:rPr>
            </w:pPr>
            <w:r w:rsidRPr="00900840">
              <w:rPr>
                <w:rFonts w:asciiTheme="majorHAnsi" w:eastAsiaTheme="majorEastAsia" w:hAnsiTheme="majorHAnsi" w:cstheme="majorHAnsi"/>
                <w:sz w:val="24"/>
                <w:szCs w:val="24"/>
                <w:lang w:val="en-GB"/>
              </w:rPr>
              <w:t>Diversification of transportation options: Invest in the development of alternative transportation options for tourists, such as shuttle services, shared bicycles, or electric scooters. Encourage partnerships with private companies to provide innovative and sustainable transportation solutions that reduce the reliance on buses.</w:t>
            </w:r>
          </w:p>
          <w:p w14:paraId="6084AFED" w14:textId="19644BA0" w:rsidR="00013D9B" w:rsidRPr="00CD1734" w:rsidRDefault="00013D9B" w:rsidP="00284CFE">
            <w:pPr>
              <w:spacing w:line="400" w:lineRule="exact"/>
              <w:rPr>
                <w:rFonts w:asciiTheme="majorHAnsi" w:eastAsiaTheme="majorEastAsia" w:hAnsiTheme="majorHAnsi" w:cstheme="majorHAnsi"/>
                <w:sz w:val="24"/>
                <w:szCs w:val="24"/>
              </w:rPr>
            </w:pPr>
          </w:p>
        </w:tc>
      </w:tr>
      <w:tr w:rsidR="00C52D28" w14:paraId="184433B5" w14:textId="77777777" w:rsidTr="008D213A">
        <w:tc>
          <w:tcPr>
            <w:tcW w:w="2131" w:type="dxa"/>
          </w:tcPr>
          <w:p w14:paraId="4609E069" w14:textId="5B76B80C" w:rsidR="00284CFE" w:rsidRDefault="00195271" w:rsidP="00284CFE">
            <w:pPr>
              <w:spacing w:line="400" w:lineRule="exact"/>
              <w:jc w:val="left"/>
              <w:rPr>
                <w:rFonts w:asciiTheme="majorHAnsi" w:eastAsiaTheme="majorEastAsia" w:hAnsiTheme="majorHAnsi" w:cstheme="majorHAnsi"/>
                <w:sz w:val="28"/>
                <w:szCs w:val="32"/>
              </w:rPr>
            </w:pPr>
            <w:r>
              <w:rPr>
                <w:rFonts w:asciiTheme="majorHAnsi" w:eastAsiaTheme="majorEastAsia" w:hAnsiTheme="majorHAnsi" w:cstheme="majorHAnsi" w:hint="eastAsia"/>
                <w:sz w:val="28"/>
                <w:szCs w:val="32"/>
              </w:rPr>
              <w:lastRenderedPageBreak/>
              <w:t>Implementation body</w:t>
            </w:r>
          </w:p>
        </w:tc>
        <w:tc>
          <w:tcPr>
            <w:tcW w:w="11305" w:type="dxa"/>
            <w:gridSpan w:val="2"/>
          </w:tcPr>
          <w:p w14:paraId="24AAD37A" w14:textId="77777777" w:rsidR="002E3326" w:rsidRPr="002E3326" w:rsidRDefault="002E3326" w:rsidP="002E3326">
            <w:pPr>
              <w:spacing w:line="400" w:lineRule="exact"/>
              <w:rPr>
                <w:rFonts w:asciiTheme="majorHAnsi" w:eastAsiaTheme="majorEastAsia" w:hAnsiTheme="majorHAnsi" w:cstheme="majorHAnsi"/>
                <w:sz w:val="24"/>
                <w:szCs w:val="24"/>
                <w:lang w:val="en-GB"/>
              </w:rPr>
            </w:pPr>
            <w:r w:rsidRPr="002E3326">
              <w:rPr>
                <w:rFonts w:asciiTheme="majorHAnsi" w:eastAsiaTheme="majorEastAsia" w:hAnsiTheme="majorHAnsi" w:cstheme="majorHAnsi"/>
                <w:sz w:val="24"/>
                <w:szCs w:val="24"/>
                <w:lang w:val="en-GB"/>
              </w:rPr>
              <w:t>The implementation of this policy will be the responsibility of the Kyoto Municipal Government in collaboration with relevant transportation authorities, tourism agencies, and stakeholders. A dedicated task force consisting of representatives from these entities will be established to oversee the policy's execution.</w:t>
            </w:r>
          </w:p>
          <w:p w14:paraId="03F2E4E7" w14:textId="0C5F02FA" w:rsidR="00C40E24" w:rsidRPr="002E3326" w:rsidRDefault="00C40E24" w:rsidP="00284CFE">
            <w:pPr>
              <w:spacing w:line="400" w:lineRule="exact"/>
              <w:rPr>
                <w:rFonts w:asciiTheme="majorHAnsi" w:eastAsiaTheme="majorEastAsia" w:hAnsiTheme="majorHAnsi" w:cstheme="majorHAnsi"/>
                <w:sz w:val="24"/>
                <w:szCs w:val="24"/>
                <w:lang w:val="en-GB"/>
              </w:rPr>
            </w:pPr>
          </w:p>
        </w:tc>
      </w:tr>
      <w:tr w:rsidR="005E3C44" w14:paraId="0962718A" w14:textId="77777777" w:rsidTr="008D213A">
        <w:tc>
          <w:tcPr>
            <w:tcW w:w="2131" w:type="dxa"/>
          </w:tcPr>
          <w:p w14:paraId="7A24319C" w14:textId="757E040E" w:rsidR="005E3C44" w:rsidRDefault="005E3C44" w:rsidP="00284CFE">
            <w:pPr>
              <w:spacing w:line="400" w:lineRule="exact"/>
              <w:jc w:val="left"/>
              <w:rPr>
                <w:rFonts w:asciiTheme="majorHAnsi" w:eastAsiaTheme="majorEastAsia" w:hAnsiTheme="majorHAnsi" w:cstheme="majorHAnsi"/>
                <w:sz w:val="28"/>
                <w:szCs w:val="32"/>
              </w:rPr>
            </w:pPr>
            <w:r>
              <w:rPr>
                <w:rFonts w:asciiTheme="majorHAnsi" w:eastAsiaTheme="majorEastAsia" w:hAnsiTheme="majorHAnsi" w:cstheme="majorHAnsi" w:hint="eastAsia"/>
                <w:sz w:val="28"/>
                <w:szCs w:val="32"/>
              </w:rPr>
              <w:t xml:space="preserve">Implementation </w:t>
            </w:r>
            <w:r w:rsidR="00195271">
              <w:rPr>
                <w:rFonts w:asciiTheme="majorHAnsi" w:eastAsiaTheme="majorEastAsia" w:hAnsiTheme="majorHAnsi" w:cstheme="majorHAnsi"/>
                <w:sz w:val="28"/>
                <w:szCs w:val="32"/>
              </w:rPr>
              <w:t>plan</w:t>
            </w:r>
          </w:p>
        </w:tc>
        <w:tc>
          <w:tcPr>
            <w:tcW w:w="11305" w:type="dxa"/>
            <w:gridSpan w:val="2"/>
          </w:tcPr>
          <w:p w14:paraId="3FD7270A" w14:textId="77777777" w:rsidR="002E3326" w:rsidRPr="002E3326" w:rsidRDefault="002E3326" w:rsidP="002E3326">
            <w:pPr>
              <w:spacing w:line="400" w:lineRule="exact"/>
              <w:rPr>
                <w:rFonts w:asciiTheme="majorHAnsi" w:eastAsiaTheme="majorEastAsia" w:hAnsiTheme="majorHAnsi" w:cstheme="majorHAnsi"/>
                <w:sz w:val="24"/>
                <w:szCs w:val="24"/>
                <w:lang w:val="en-GB"/>
              </w:rPr>
            </w:pPr>
            <w:r w:rsidRPr="002E3326">
              <w:rPr>
                <w:rFonts w:asciiTheme="majorHAnsi" w:eastAsiaTheme="majorEastAsia" w:hAnsiTheme="majorHAnsi" w:cstheme="majorHAnsi"/>
                <w:sz w:val="24"/>
                <w:szCs w:val="24"/>
                <w:lang w:val="en-GB"/>
              </w:rPr>
              <w:t>The implementation of this policy will be the responsibility of the Kyoto Municipal Government in collaboration with relevant transportation authorities, tourism agencies, and stakeholders. A dedicated task force consisting of representatives from these entities will be established to oversee the policy's execution.</w:t>
            </w:r>
          </w:p>
          <w:p w14:paraId="3C016E72" w14:textId="77777777" w:rsidR="002E3326" w:rsidRPr="002E3326" w:rsidRDefault="002E3326" w:rsidP="002E3326">
            <w:pPr>
              <w:spacing w:line="400" w:lineRule="exact"/>
              <w:rPr>
                <w:rFonts w:asciiTheme="majorHAnsi" w:eastAsiaTheme="majorEastAsia" w:hAnsiTheme="majorHAnsi" w:cstheme="majorHAnsi"/>
                <w:sz w:val="24"/>
                <w:szCs w:val="24"/>
                <w:lang w:val="en-GB"/>
              </w:rPr>
            </w:pPr>
            <w:r w:rsidRPr="002E3326">
              <w:rPr>
                <w:rFonts w:asciiTheme="majorHAnsi" w:eastAsiaTheme="majorEastAsia" w:hAnsiTheme="majorHAnsi" w:cstheme="majorHAnsi"/>
                <w:sz w:val="24"/>
                <w:szCs w:val="24"/>
                <w:lang w:val="en-GB"/>
              </w:rPr>
              <w:t>Implementation plan:</w:t>
            </w:r>
          </w:p>
          <w:p w14:paraId="1DF6CDA7" w14:textId="77777777" w:rsidR="002E3326" w:rsidRPr="002E3326" w:rsidRDefault="002E3326" w:rsidP="002E3326">
            <w:pPr>
              <w:numPr>
                <w:ilvl w:val="0"/>
                <w:numId w:val="6"/>
              </w:numPr>
              <w:spacing w:line="400" w:lineRule="exact"/>
              <w:rPr>
                <w:rFonts w:asciiTheme="majorHAnsi" w:eastAsiaTheme="majorEastAsia" w:hAnsiTheme="majorHAnsi" w:cstheme="majorHAnsi"/>
                <w:sz w:val="24"/>
                <w:szCs w:val="24"/>
                <w:lang w:val="en-GB"/>
              </w:rPr>
            </w:pPr>
            <w:r w:rsidRPr="002E3326">
              <w:rPr>
                <w:rFonts w:asciiTheme="majorHAnsi" w:eastAsiaTheme="majorEastAsia" w:hAnsiTheme="majorHAnsi" w:cstheme="majorHAnsi"/>
                <w:sz w:val="24"/>
                <w:szCs w:val="24"/>
                <w:lang w:val="en-GB"/>
              </w:rPr>
              <w:t>Policy Development Phase: a. Conduct comprehensive research and data analysis to assess the current state of transportation, identify the key issues, and propose effective solutions. b. Engage in consultations with local residents, transportation experts, tourism industry representatives, and other relevant stakeholders to gather input, feedback, and suggestions.</w:t>
            </w:r>
          </w:p>
          <w:p w14:paraId="203C4906" w14:textId="77777777" w:rsidR="002E3326" w:rsidRPr="002E3326" w:rsidRDefault="002E3326" w:rsidP="002E3326">
            <w:pPr>
              <w:numPr>
                <w:ilvl w:val="0"/>
                <w:numId w:val="6"/>
              </w:numPr>
              <w:spacing w:line="400" w:lineRule="exact"/>
              <w:rPr>
                <w:rFonts w:asciiTheme="majorHAnsi" w:eastAsiaTheme="majorEastAsia" w:hAnsiTheme="majorHAnsi" w:cstheme="majorHAnsi"/>
                <w:sz w:val="24"/>
                <w:szCs w:val="24"/>
                <w:lang w:val="en-GB"/>
              </w:rPr>
            </w:pPr>
            <w:r w:rsidRPr="002E3326">
              <w:rPr>
                <w:rFonts w:asciiTheme="majorHAnsi" w:eastAsiaTheme="majorEastAsia" w:hAnsiTheme="majorHAnsi" w:cstheme="majorHAnsi"/>
                <w:sz w:val="24"/>
                <w:szCs w:val="24"/>
                <w:lang w:val="en-GB"/>
              </w:rPr>
              <w:t>Policy Implementation Phase: a. Develop and finalize the pricing balance strategy, including the tiered fare system, dynamic pricing model, and collaborative agreements with tourism agencies and attractions. b. Initiate the expansion and improvement of the rail network, collaborating with transportation authorities to determine feasible routes, timelines, and funding sources. c. Establish partnerships with bus and rail operators to facilitate the integration of ticketing systems and ensure a seamless transition for passengers. d. Launch promotional campaigns to raise awareness among tourists about alternative transportation options and encourage responsible and sustainable travel practices.</w:t>
            </w:r>
          </w:p>
          <w:p w14:paraId="43CA3E5A" w14:textId="2690A223" w:rsidR="002E3326" w:rsidRDefault="002E3326" w:rsidP="002E3326">
            <w:pPr>
              <w:numPr>
                <w:ilvl w:val="0"/>
                <w:numId w:val="6"/>
              </w:numPr>
              <w:spacing w:line="400" w:lineRule="exact"/>
              <w:rPr>
                <w:rFonts w:asciiTheme="majorHAnsi" w:eastAsiaTheme="majorEastAsia" w:hAnsiTheme="majorHAnsi" w:cstheme="majorHAnsi"/>
                <w:sz w:val="24"/>
                <w:szCs w:val="24"/>
                <w:lang w:val="en-GB"/>
              </w:rPr>
            </w:pPr>
            <w:r w:rsidRPr="002E3326">
              <w:rPr>
                <w:rFonts w:asciiTheme="majorHAnsi" w:eastAsiaTheme="majorEastAsia" w:hAnsiTheme="majorHAnsi" w:cstheme="majorHAnsi"/>
                <w:sz w:val="24"/>
                <w:szCs w:val="24"/>
                <w:lang w:val="en-GB"/>
              </w:rPr>
              <w:t xml:space="preserve">Monitoring and Evaluation Phase: a. Regularly monitor and </w:t>
            </w:r>
            <w:r w:rsidRPr="002E3326">
              <w:rPr>
                <w:rFonts w:asciiTheme="majorHAnsi" w:eastAsiaTheme="majorEastAsia" w:hAnsiTheme="majorHAnsi" w:cstheme="majorHAnsi"/>
                <w:sz w:val="24"/>
                <w:szCs w:val="24"/>
                <w:lang w:val="en-GB"/>
              </w:rPr>
              <w:t>analyse</w:t>
            </w:r>
            <w:r w:rsidRPr="002E3326">
              <w:rPr>
                <w:rFonts w:asciiTheme="majorHAnsi" w:eastAsiaTheme="majorEastAsia" w:hAnsiTheme="majorHAnsi" w:cstheme="majorHAnsi"/>
                <w:sz w:val="24"/>
                <w:szCs w:val="24"/>
                <w:lang w:val="en-GB"/>
              </w:rPr>
              <w:t xml:space="preserve"> the impact of the policy on bus overcrowding, wait times, and the shift in passenger distribution between bus and rail services. b. Collect feedback from locals, tourists, and relevant stakeholders to identify areas of improvement and make necessary adjustments to the policy implementation. c. Conduct periodic reviews and assessments to measure the effectiveness of the policy in achieving its intended goals and make informed decisions regarding its continuation or modification.</w:t>
            </w:r>
          </w:p>
          <w:p w14:paraId="5CF856D6" w14:textId="77777777" w:rsidR="002E3326" w:rsidRPr="002E3326" w:rsidRDefault="002E3326" w:rsidP="002E3326">
            <w:pPr>
              <w:spacing w:line="400" w:lineRule="exact"/>
              <w:ind w:left="360"/>
              <w:rPr>
                <w:rFonts w:asciiTheme="majorHAnsi" w:eastAsiaTheme="majorEastAsia" w:hAnsiTheme="majorHAnsi" w:cstheme="majorHAnsi"/>
                <w:sz w:val="24"/>
                <w:szCs w:val="24"/>
                <w:lang w:val="en-GB"/>
              </w:rPr>
            </w:pPr>
          </w:p>
          <w:p w14:paraId="40C6CE00" w14:textId="77777777" w:rsidR="002E3326" w:rsidRPr="002E3326" w:rsidRDefault="002E3326" w:rsidP="002E3326">
            <w:pPr>
              <w:spacing w:line="400" w:lineRule="exact"/>
              <w:rPr>
                <w:rFonts w:asciiTheme="majorHAnsi" w:eastAsiaTheme="majorEastAsia" w:hAnsiTheme="majorHAnsi" w:cstheme="majorHAnsi"/>
                <w:sz w:val="24"/>
                <w:szCs w:val="24"/>
                <w:lang w:val="en-GB"/>
              </w:rPr>
            </w:pPr>
            <w:r w:rsidRPr="002E3326">
              <w:rPr>
                <w:rFonts w:asciiTheme="majorHAnsi" w:eastAsiaTheme="majorEastAsia" w:hAnsiTheme="majorHAnsi" w:cstheme="majorHAnsi"/>
                <w:sz w:val="24"/>
                <w:szCs w:val="24"/>
                <w:lang w:val="en-GB"/>
              </w:rPr>
              <w:t>By implementing this Pricing Balance and Transport Diversity Policy, we aim to create a more balanced and sustainable transportation ecosystem in Kyoto, ensuring a smoother daily commute for locals and a better overall experience for tourists.</w:t>
            </w:r>
          </w:p>
          <w:p w14:paraId="59902183" w14:textId="0305FD58" w:rsidR="008D213A" w:rsidRPr="00A70905" w:rsidRDefault="008D213A" w:rsidP="00A70905">
            <w:pPr>
              <w:spacing w:line="400" w:lineRule="exact"/>
              <w:rPr>
                <w:rFonts w:asciiTheme="majorHAnsi" w:eastAsiaTheme="majorEastAsia" w:hAnsiTheme="majorHAnsi" w:cstheme="majorHAnsi"/>
                <w:sz w:val="24"/>
                <w:szCs w:val="24"/>
                <w:lang w:val="en-GB"/>
              </w:rPr>
            </w:pPr>
          </w:p>
        </w:tc>
      </w:tr>
    </w:tbl>
    <w:p w14:paraId="7BCFE904" w14:textId="77777777" w:rsidR="001D1751" w:rsidRPr="00CE33D5" w:rsidRDefault="001D1751" w:rsidP="00397B84">
      <w:pPr>
        <w:rPr>
          <w:rFonts w:asciiTheme="majorHAnsi" w:hAnsiTheme="majorHAnsi" w:cstheme="majorHAnsi"/>
        </w:rPr>
      </w:pPr>
    </w:p>
    <w:sectPr w:rsidR="001D1751" w:rsidRPr="00CE33D5" w:rsidSect="001442FD">
      <w:pgSz w:w="16838" w:h="23811" w:code="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D69E" w14:textId="77777777" w:rsidR="00614FE3" w:rsidRDefault="00614FE3" w:rsidP="002D5122">
      <w:r>
        <w:separator/>
      </w:r>
    </w:p>
  </w:endnote>
  <w:endnote w:type="continuationSeparator" w:id="0">
    <w:p w14:paraId="75F34F5D" w14:textId="77777777" w:rsidR="00614FE3" w:rsidRDefault="00614FE3" w:rsidP="002D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16E3" w14:textId="77777777" w:rsidR="00614FE3" w:rsidRDefault="00614FE3" w:rsidP="002D5122">
      <w:r>
        <w:separator/>
      </w:r>
    </w:p>
  </w:footnote>
  <w:footnote w:type="continuationSeparator" w:id="0">
    <w:p w14:paraId="3C9830E9" w14:textId="77777777" w:rsidR="00614FE3" w:rsidRDefault="00614FE3" w:rsidP="002D5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679"/>
    <w:multiLevelType w:val="multilevel"/>
    <w:tmpl w:val="028C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81048"/>
    <w:multiLevelType w:val="multilevel"/>
    <w:tmpl w:val="792A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07FCE"/>
    <w:multiLevelType w:val="multilevel"/>
    <w:tmpl w:val="A1B6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574CA"/>
    <w:multiLevelType w:val="hybridMultilevel"/>
    <w:tmpl w:val="565C746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F57BE1"/>
    <w:multiLevelType w:val="hybridMultilevel"/>
    <w:tmpl w:val="B37E6FFE"/>
    <w:lvl w:ilvl="0" w:tplc="AD007C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1DC3972"/>
    <w:multiLevelType w:val="multilevel"/>
    <w:tmpl w:val="1BF2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30964"/>
    <w:multiLevelType w:val="hybridMultilevel"/>
    <w:tmpl w:val="565C746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4E"/>
    <w:rsid w:val="00013D9B"/>
    <w:rsid w:val="0002447F"/>
    <w:rsid w:val="00050B21"/>
    <w:rsid w:val="00064D28"/>
    <w:rsid w:val="000A1748"/>
    <w:rsid w:val="000A1803"/>
    <w:rsid w:val="000B5A84"/>
    <w:rsid w:val="000C3242"/>
    <w:rsid w:val="000C7593"/>
    <w:rsid w:val="000D0C14"/>
    <w:rsid w:val="00113820"/>
    <w:rsid w:val="0012075F"/>
    <w:rsid w:val="00125ED3"/>
    <w:rsid w:val="00140952"/>
    <w:rsid w:val="001442FD"/>
    <w:rsid w:val="00195271"/>
    <w:rsid w:val="001D1751"/>
    <w:rsid w:val="00203969"/>
    <w:rsid w:val="00217C3A"/>
    <w:rsid w:val="00225A05"/>
    <w:rsid w:val="00226C67"/>
    <w:rsid w:val="00274DF9"/>
    <w:rsid w:val="00284CFE"/>
    <w:rsid w:val="002D5122"/>
    <w:rsid w:val="002E3326"/>
    <w:rsid w:val="00356FCB"/>
    <w:rsid w:val="00366ADB"/>
    <w:rsid w:val="00397B84"/>
    <w:rsid w:val="003A093D"/>
    <w:rsid w:val="004229B4"/>
    <w:rsid w:val="00467941"/>
    <w:rsid w:val="004771B0"/>
    <w:rsid w:val="004E432E"/>
    <w:rsid w:val="00501DBA"/>
    <w:rsid w:val="00533A38"/>
    <w:rsid w:val="005C292D"/>
    <w:rsid w:val="005C6B91"/>
    <w:rsid w:val="005D2C00"/>
    <w:rsid w:val="005E3C44"/>
    <w:rsid w:val="00607F33"/>
    <w:rsid w:val="00614FE3"/>
    <w:rsid w:val="00676925"/>
    <w:rsid w:val="006C476E"/>
    <w:rsid w:val="006C5C8B"/>
    <w:rsid w:val="00816DA7"/>
    <w:rsid w:val="008D213A"/>
    <w:rsid w:val="00900840"/>
    <w:rsid w:val="00920870"/>
    <w:rsid w:val="00995687"/>
    <w:rsid w:val="009A0FEE"/>
    <w:rsid w:val="009E46B6"/>
    <w:rsid w:val="009F43F1"/>
    <w:rsid w:val="00A53D3D"/>
    <w:rsid w:val="00A70905"/>
    <w:rsid w:val="00B31ECC"/>
    <w:rsid w:val="00B53BBF"/>
    <w:rsid w:val="00B76EA8"/>
    <w:rsid w:val="00B8323E"/>
    <w:rsid w:val="00BE10AF"/>
    <w:rsid w:val="00BE18B5"/>
    <w:rsid w:val="00C01CD4"/>
    <w:rsid w:val="00C06081"/>
    <w:rsid w:val="00C40E24"/>
    <w:rsid w:val="00C44DE5"/>
    <w:rsid w:val="00C52D28"/>
    <w:rsid w:val="00C630BD"/>
    <w:rsid w:val="00CC330B"/>
    <w:rsid w:val="00CD1734"/>
    <w:rsid w:val="00CE33D5"/>
    <w:rsid w:val="00D5712F"/>
    <w:rsid w:val="00D87BDD"/>
    <w:rsid w:val="00D968C9"/>
    <w:rsid w:val="00DE21B5"/>
    <w:rsid w:val="00E26F61"/>
    <w:rsid w:val="00E270DC"/>
    <w:rsid w:val="00E55851"/>
    <w:rsid w:val="00E86A54"/>
    <w:rsid w:val="00EC752C"/>
    <w:rsid w:val="00F432B5"/>
    <w:rsid w:val="00F5364E"/>
    <w:rsid w:val="00F849B5"/>
    <w:rsid w:val="00FF1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DC7D192"/>
  <w15:chartTrackingRefBased/>
  <w15:docId w15:val="{A8A49316-BD77-4157-8456-9AFCC20D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122"/>
    <w:pPr>
      <w:tabs>
        <w:tab w:val="center" w:pos="4419"/>
        <w:tab w:val="right" w:pos="8838"/>
      </w:tabs>
      <w:snapToGrid w:val="0"/>
    </w:pPr>
  </w:style>
  <w:style w:type="character" w:customStyle="1" w:styleId="HeaderChar">
    <w:name w:val="Header Char"/>
    <w:basedOn w:val="DefaultParagraphFont"/>
    <w:link w:val="Header"/>
    <w:uiPriority w:val="99"/>
    <w:rsid w:val="002D5122"/>
  </w:style>
  <w:style w:type="paragraph" w:styleId="Footer">
    <w:name w:val="footer"/>
    <w:basedOn w:val="Normal"/>
    <w:link w:val="FooterChar"/>
    <w:uiPriority w:val="99"/>
    <w:unhideWhenUsed/>
    <w:rsid w:val="002D5122"/>
    <w:pPr>
      <w:tabs>
        <w:tab w:val="center" w:pos="4419"/>
        <w:tab w:val="right" w:pos="8838"/>
      </w:tabs>
      <w:snapToGrid w:val="0"/>
    </w:pPr>
  </w:style>
  <w:style w:type="character" w:customStyle="1" w:styleId="FooterChar">
    <w:name w:val="Footer Char"/>
    <w:basedOn w:val="DefaultParagraphFont"/>
    <w:link w:val="Footer"/>
    <w:uiPriority w:val="99"/>
    <w:rsid w:val="002D5122"/>
  </w:style>
  <w:style w:type="table" w:styleId="TableGrid">
    <w:name w:val="Table Grid"/>
    <w:basedOn w:val="TableNormal"/>
    <w:uiPriority w:val="39"/>
    <w:rsid w:val="002D5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9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9392">
      <w:bodyDiv w:val="1"/>
      <w:marLeft w:val="0"/>
      <w:marRight w:val="0"/>
      <w:marTop w:val="0"/>
      <w:marBottom w:val="0"/>
      <w:divBdr>
        <w:top w:val="none" w:sz="0" w:space="0" w:color="auto"/>
        <w:left w:val="none" w:sz="0" w:space="0" w:color="auto"/>
        <w:bottom w:val="none" w:sz="0" w:space="0" w:color="auto"/>
        <w:right w:val="none" w:sz="0" w:space="0" w:color="auto"/>
      </w:divBdr>
    </w:div>
    <w:div w:id="407464625">
      <w:bodyDiv w:val="1"/>
      <w:marLeft w:val="0"/>
      <w:marRight w:val="0"/>
      <w:marTop w:val="0"/>
      <w:marBottom w:val="0"/>
      <w:divBdr>
        <w:top w:val="none" w:sz="0" w:space="0" w:color="auto"/>
        <w:left w:val="none" w:sz="0" w:space="0" w:color="auto"/>
        <w:bottom w:val="none" w:sz="0" w:space="0" w:color="auto"/>
        <w:right w:val="none" w:sz="0" w:space="0" w:color="auto"/>
      </w:divBdr>
    </w:div>
    <w:div w:id="499975208">
      <w:bodyDiv w:val="1"/>
      <w:marLeft w:val="0"/>
      <w:marRight w:val="0"/>
      <w:marTop w:val="0"/>
      <w:marBottom w:val="0"/>
      <w:divBdr>
        <w:top w:val="none" w:sz="0" w:space="0" w:color="auto"/>
        <w:left w:val="none" w:sz="0" w:space="0" w:color="auto"/>
        <w:bottom w:val="none" w:sz="0" w:space="0" w:color="auto"/>
        <w:right w:val="none" w:sz="0" w:space="0" w:color="auto"/>
      </w:divBdr>
    </w:div>
    <w:div w:id="541480809">
      <w:bodyDiv w:val="1"/>
      <w:marLeft w:val="0"/>
      <w:marRight w:val="0"/>
      <w:marTop w:val="0"/>
      <w:marBottom w:val="0"/>
      <w:divBdr>
        <w:top w:val="none" w:sz="0" w:space="0" w:color="auto"/>
        <w:left w:val="none" w:sz="0" w:space="0" w:color="auto"/>
        <w:bottom w:val="none" w:sz="0" w:space="0" w:color="auto"/>
        <w:right w:val="none" w:sz="0" w:space="0" w:color="auto"/>
      </w:divBdr>
    </w:div>
    <w:div w:id="576136843">
      <w:bodyDiv w:val="1"/>
      <w:marLeft w:val="0"/>
      <w:marRight w:val="0"/>
      <w:marTop w:val="0"/>
      <w:marBottom w:val="0"/>
      <w:divBdr>
        <w:top w:val="none" w:sz="0" w:space="0" w:color="auto"/>
        <w:left w:val="none" w:sz="0" w:space="0" w:color="auto"/>
        <w:bottom w:val="none" w:sz="0" w:space="0" w:color="auto"/>
        <w:right w:val="none" w:sz="0" w:space="0" w:color="auto"/>
      </w:divBdr>
      <w:divsChild>
        <w:div w:id="1897816025">
          <w:marLeft w:val="1843"/>
          <w:marRight w:val="0"/>
          <w:marTop w:val="154"/>
          <w:marBottom w:val="0"/>
          <w:divBdr>
            <w:top w:val="none" w:sz="0" w:space="0" w:color="auto"/>
            <w:left w:val="none" w:sz="0" w:space="0" w:color="auto"/>
            <w:bottom w:val="none" w:sz="0" w:space="0" w:color="auto"/>
            <w:right w:val="none" w:sz="0" w:space="0" w:color="auto"/>
          </w:divBdr>
        </w:div>
      </w:divsChild>
    </w:div>
    <w:div w:id="779036292">
      <w:bodyDiv w:val="1"/>
      <w:marLeft w:val="0"/>
      <w:marRight w:val="0"/>
      <w:marTop w:val="0"/>
      <w:marBottom w:val="0"/>
      <w:divBdr>
        <w:top w:val="none" w:sz="0" w:space="0" w:color="auto"/>
        <w:left w:val="none" w:sz="0" w:space="0" w:color="auto"/>
        <w:bottom w:val="none" w:sz="0" w:space="0" w:color="auto"/>
        <w:right w:val="none" w:sz="0" w:space="0" w:color="auto"/>
      </w:divBdr>
    </w:div>
    <w:div w:id="931082872">
      <w:bodyDiv w:val="1"/>
      <w:marLeft w:val="0"/>
      <w:marRight w:val="0"/>
      <w:marTop w:val="0"/>
      <w:marBottom w:val="0"/>
      <w:divBdr>
        <w:top w:val="none" w:sz="0" w:space="0" w:color="auto"/>
        <w:left w:val="none" w:sz="0" w:space="0" w:color="auto"/>
        <w:bottom w:val="none" w:sz="0" w:space="0" w:color="auto"/>
        <w:right w:val="none" w:sz="0" w:space="0" w:color="auto"/>
      </w:divBdr>
    </w:div>
    <w:div w:id="957444637">
      <w:bodyDiv w:val="1"/>
      <w:marLeft w:val="0"/>
      <w:marRight w:val="0"/>
      <w:marTop w:val="0"/>
      <w:marBottom w:val="0"/>
      <w:divBdr>
        <w:top w:val="none" w:sz="0" w:space="0" w:color="auto"/>
        <w:left w:val="none" w:sz="0" w:space="0" w:color="auto"/>
        <w:bottom w:val="none" w:sz="0" w:space="0" w:color="auto"/>
        <w:right w:val="none" w:sz="0" w:space="0" w:color="auto"/>
      </w:divBdr>
    </w:div>
    <w:div w:id="1072390936">
      <w:bodyDiv w:val="1"/>
      <w:marLeft w:val="0"/>
      <w:marRight w:val="0"/>
      <w:marTop w:val="0"/>
      <w:marBottom w:val="0"/>
      <w:divBdr>
        <w:top w:val="none" w:sz="0" w:space="0" w:color="auto"/>
        <w:left w:val="none" w:sz="0" w:space="0" w:color="auto"/>
        <w:bottom w:val="none" w:sz="0" w:space="0" w:color="auto"/>
        <w:right w:val="none" w:sz="0" w:space="0" w:color="auto"/>
      </w:divBdr>
    </w:div>
    <w:div w:id="1200778855">
      <w:bodyDiv w:val="1"/>
      <w:marLeft w:val="0"/>
      <w:marRight w:val="0"/>
      <w:marTop w:val="0"/>
      <w:marBottom w:val="0"/>
      <w:divBdr>
        <w:top w:val="none" w:sz="0" w:space="0" w:color="auto"/>
        <w:left w:val="none" w:sz="0" w:space="0" w:color="auto"/>
        <w:bottom w:val="none" w:sz="0" w:space="0" w:color="auto"/>
        <w:right w:val="none" w:sz="0" w:space="0" w:color="auto"/>
      </w:divBdr>
    </w:div>
    <w:div w:id="1263146068">
      <w:bodyDiv w:val="1"/>
      <w:marLeft w:val="0"/>
      <w:marRight w:val="0"/>
      <w:marTop w:val="0"/>
      <w:marBottom w:val="0"/>
      <w:divBdr>
        <w:top w:val="none" w:sz="0" w:space="0" w:color="auto"/>
        <w:left w:val="none" w:sz="0" w:space="0" w:color="auto"/>
        <w:bottom w:val="none" w:sz="0" w:space="0" w:color="auto"/>
        <w:right w:val="none" w:sz="0" w:space="0" w:color="auto"/>
      </w:divBdr>
    </w:div>
    <w:div w:id="1415467629">
      <w:bodyDiv w:val="1"/>
      <w:marLeft w:val="0"/>
      <w:marRight w:val="0"/>
      <w:marTop w:val="0"/>
      <w:marBottom w:val="0"/>
      <w:divBdr>
        <w:top w:val="none" w:sz="0" w:space="0" w:color="auto"/>
        <w:left w:val="none" w:sz="0" w:space="0" w:color="auto"/>
        <w:bottom w:val="none" w:sz="0" w:space="0" w:color="auto"/>
        <w:right w:val="none" w:sz="0" w:space="0" w:color="auto"/>
      </w:divBdr>
      <w:divsChild>
        <w:div w:id="989135654">
          <w:marLeft w:val="1843"/>
          <w:marRight w:val="0"/>
          <w:marTop w:val="154"/>
          <w:marBottom w:val="0"/>
          <w:divBdr>
            <w:top w:val="none" w:sz="0" w:space="0" w:color="auto"/>
            <w:left w:val="none" w:sz="0" w:space="0" w:color="auto"/>
            <w:bottom w:val="none" w:sz="0" w:space="0" w:color="auto"/>
            <w:right w:val="none" w:sz="0" w:space="0" w:color="auto"/>
          </w:divBdr>
        </w:div>
      </w:divsChild>
    </w:div>
    <w:div w:id="1628051369">
      <w:bodyDiv w:val="1"/>
      <w:marLeft w:val="0"/>
      <w:marRight w:val="0"/>
      <w:marTop w:val="0"/>
      <w:marBottom w:val="0"/>
      <w:divBdr>
        <w:top w:val="none" w:sz="0" w:space="0" w:color="auto"/>
        <w:left w:val="none" w:sz="0" w:space="0" w:color="auto"/>
        <w:bottom w:val="none" w:sz="0" w:space="0" w:color="auto"/>
        <w:right w:val="none" w:sz="0" w:space="0" w:color="auto"/>
      </w:divBdr>
    </w:div>
    <w:div w:id="1820420944">
      <w:bodyDiv w:val="1"/>
      <w:marLeft w:val="0"/>
      <w:marRight w:val="0"/>
      <w:marTop w:val="0"/>
      <w:marBottom w:val="0"/>
      <w:divBdr>
        <w:top w:val="none" w:sz="0" w:space="0" w:color="auto"/>
        <w:left w:val="none" w:sz="0" w:space="0" w:color="auto"/>
        <w:bottom w:val="none" w:sz="0" w:space="0" w:color="auto"/>
        <w:right w:val="none" w:sz="0" w:space="0" w:color="auto"/>
      </w:divBdr>
    </w:div>
    <w:div w:id="1954557154">
      <w:bodyDiv w:val="1"/>
      <w:marLeft w:val="0"/>
      <w:marRight w:val="0"/>
      <w:marTop w:val="0"/>
      <w:marBottom w:val="0"/>
      <w:divBdr>
        <w:top w:val="none" w:sz="0" w:space="0" w:color="auto"/>
        <w:left w:val="none" w:sz="0" w:space="0" w:color="auto"/>
        <w:bottom w:val="none" w:sz="0" w:space="0" w:color="auto"/>
        <w:right w:val="none" w:sz="0" w:space="0" w:color="auto"/>
      </w:divBdr>
    </w:div>
    <w:div w:id="1984114470">
      <w:bodyDiv w:val="1"/>
      <w:marLeft w:val="0"/>
      <w:marRight w:val="0"/>
      <w:marTop w:val="0"/>
      <w:marBottom w:val="0"/>
      <w:divBdr>
        <w:top w:val="none" w:sz="0" w:space="0" w:color="auto"/>
        <w:left w:val="none" w:sz="0" w:space="0" w:color="auto"/>
        <w:bottom w:val="none" w:sz="0" w:space="0" w:color="auto"/>
        <w:right w:val="none" w:sz="0" w:space="0" w:color="auto"/>
      </w:divBdr>
      <w:divsChild>
        <w:div w:id="1700473622">
          <w:marLeft w:val="1843"/>
          <w:marRight w:val="0"/>
          <w:marTop w:val="154"/>
          <w:marBottom w:val="0"/>
          <w:divBdr>
            <w:top w:val="none" w:sz="0" w:space="0" w:color="auto"/>
            <w:left w:val="none" w:sz="0" w:space="0" w:color="auto"/>
            <w:bottom w:val="none" w:sz="0" w:space="0" w:color="auto"/>
            <w:right w:val="none" w:sz="0" w:space="0" w:color="auto"/>
          </w:divBdr>
        </w:div>
      </w:divsChild>
    </w:div>
    <w:div w:id="201930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924</Words>
  <Characters>5270</Characters>
  <Application>Microsoft Office Word</Application>
  <DocSecurity>0</DocSecurity>
  <Lines>43</Lines>
  <Paragraphs>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kachinoriyasu</dc:creator>
  <cp:keywords/>
  <dc:description/>
  <cp:lastModifiedBy>Microsoft Office User</cp:lastModifiedBy>
  <cp:revision>5</cp:revision>
  <cp:lastPrinted>2019-09-26T04:51:00Z</cp:lastPrinted>
  <dcterms:created xsi:type="dcterms:W3CDTF">2023-05-24T03:22:00Z</dcterms:created>
  <dcterms:modified xsi:type="dcterms:W3CDTF">2023-05-30T07:21:00Z</dcterms:modified>
</cp:coreProperties>
</file>