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Liberation Sans" w:hAnsi="Liberation Sans"/>
          <w:b/>
          <w:i w:val="0"/>
          <w:color w:val="6F765D"/>
          <w:sz w:val="16"/>
        </w:rPr>
        <w:t>REVISED HOMEPAGE PROPOSAL / OPEN PLATFORM EDITION</w:t>
      </w:r>
    </w:p>
    <w:p>
      <w:pPr>
        <w:spacing w:after="40"/>
      </w:pPr>
      <w:r>
        <w:rPr>
          <w:rFonts w:ascii="Liberation Serif" w:hAnsi="Liberation Serif"/>
          <w:b w:val="0"/>
          <w:i w:val="0"/>
          <w:color w:val="20221F"/>
          <w:sz w:val="74"/>
        </w:rPr>
        <w:t>Gastrospaces</w:t>
      </w:r>
    </w:p>
    <w:p>
      <w:pPr>
        <w:spacing w:after="100"/>
      </w:pPr>
      <w:r>
        <w:rPr>
          <w:rFonts w:ascii="Liberation Serif" w:hAnsi="Liberation Serif"/>
          <w:b w:val="0"/>
          <w:i/>
          <w:color w:val="41443F"/>
          <w:sz w:val="30"/>
        </w:rPr>
        <w:t>Website direction, copy deck, and content architecture</w:t>
      </w:r>
    </w:p>
    <w:p>
      <w:pPr>
        <w:spacing w:after="260"/>
      </w:pPr>
      <w:r>
        <w:rPr>
          <w:rFonts w:ascii="Liberation Sans" w:hAnsi="Liberation Sans"/>
          <w:b w:val="0"/>
          <w:i w:val="0"/>
          <w:color w:val="64675F"/>
          <w:sz w:val="19"/>
        </w:rPr>
        <w:t>Una piattaforma aperta e curata per la ricerca sui gastrospaces</w:t>
      </w:r>
      <w:r>
        <w:rPr>
          <w:rFonts w:ascii="Liberation Sans" w:hAnsi="Liberation Sans"/>
          <w:b w:val="0"/>
          <w:i w:val="0"/>
          <w:color w:val="64675F"/>
          <w:sz w:val="19"/>
        </w:rPr>
        <w:t xml:space="preserve">  ·  Andrea Borghini, Nicola Piras, Beatrice Serini  ·  29 luglio 2026</w:t>
      </w:r>
    </w:p>
    <w:p>
      <w:pPr>
        <w:spacing w:after="200"/>
        <w:jc w:val="center"/>
      </w:pPr>
      <w:r>
        <w:drawing>
          <wp:inline xmlns:a="http://schemas.openxmlformats.org/drawingml/2006/main" xmlns:pic="http://schemas.openxmlformats.org/drawingml/2006/picture">
            <wp:extent cx="6446520" cy="4297680"/>
            <wp:docPr id="1" name="Picture 1"/>
            <wp:cNvGraphicFramePr>
              <a:graphicFrameLocks noChangeAspect="1"/>
            </wp:cNvGraphicFramePr>
            <a:graphic>
              <a:graphicData uri="http://schemas.openxmlformats.org/drawingml/2006/picture">
                <pic:pic>
                  <pic:nvPicPr>
                    <pic:cNvPr id="0" name="Gastrospaces_homepage_v3_desktop.png"/>
                    <pic:cNvPicPr/>
                  </pic:nvPicPr>
                  <pic:blipFill>
                    <a:blip r:embed="rId10"/>
                    <a:stretch>
                      <a:fillRect/>
                    </a:stretch>
                  </pic:blipFill>
                  <pic:spPr>
                    <a:xfrm>
                      <a:off x="0" y="0"/>
                      <a:ext cx="6446520" cy="4297680"/>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70"/>
        <w:gridCol w:w="2570"/>
        <w:gridCol w:w="2570"/>
        <w:gridCol w:w="2570"/>
      </w:tblGrid>
      <w:tr>
        <w:tc>
          <w:tcPr>
            <w:tcW w:type="dxa" w:w="2570"/>
            <w:shd w:fill="F3F2ED"/>
            <w:tcMar>
              <w:top w:w="100" w:type="dxa"/>
              <w:start w:w="40" w:type="dxa"/>
              <w:bottom w:w="100" w:type="dxa"/>
              <w:end w:w="40" w:type="dxa"/>
            </w:tcMar>
          </w:tcPr>
          <w:p>
            <w:pPr>
              <w:spacing w:after="0" w:line="276" w:lineRule="auto"/>
              <w:jc w:val="center"/>
            </w:pPr>
            <w:r/>
            <w:r>
              <w:rPr>
                <w:rFonts w:ascii="Liberation Sans" w:hAnsi="Liberation Sans"/>
                <w:b/>
                <w:i w:val="0"/>
                <w:color w:val="20221F"/>
                <w:sz w:val="15"/>
              </w:rPr>
              <w:t>IVORY</w:t>
            </w:r>
          </w:p>
        </w:tc>
        <w:tc>
          <w:tcPr>
            <w:tcW w:type="dxa" w:w="2570"/>
            <w:shd w:fill="E5E7E2"/>
            <w:tcMar>
              <w:top w:w="100" w:type="dxa"/>
              <w:start w:w="40" w:type="dxa"/>
              <w:bottom w:w="100" w:type="dxa"/>
              <w:end w:w="40" w:type="dxa"/>
            </w:tcMar>
          </w:tcPr>
          <w:p>
            <w:pPr>
              <w:spacing w:after="0" w:line="276" w:lineRule="auto"/>
              <w:jc w:val="center"/>
            </w:pPr>
            <w:r/>
            <w:r>
              <w:rPr>
                <w:rFonts w:ascii="Liberation Sans" w:hAnsi="Liberation Sans"/>
                <w:b/>
                <w:i w:val="0"/>
                <w:color w:val="20221F"/>
                <w:sz w:val="15"/>
              </w:rPr>
              <w:t>LIGHT GREY</w:t>
            </w:r>
          </w:p>
        </w:tc>
        <w:tc>
          <w:tcPr>
            <w:tcW w:type="dxa" w:w="2570"/>
            <w:shd w:fill="AEB58E"/>
            <w:tcMar>
              <w:top w:w="100" w:type="dxa"/>
              <w:start w:w="40" w:type="dxa"/>
              <w:bottom w:w="100" w:type="dxa"/>
              <w:end w:w="40" w:type="dxa"/>
            </w:tcMar>
          </w:tcPr>
          <w:p>
            <w:pPr>
              <w:spacing w:after="0" w:line="276" w:lineRule="auto"/>
              <w:jc w:val="center"/>
            </w:pPr>
            <w:r/>
            <w:r>
              <w:rPr>
                <w:rFonts w:ascii="Liberation Sans" w:hAnsi="Liberation Sans"/>
                <w:b/>
                <w:i w:val="0"/>
                <w:color w:val="20221F"/>
                <w:sz w:val="15"/>
              </w:rPr>
              <w:t>SAGE</w:t>
            </w:r>
          </w:p>
        </w:tc>
        <w:tc>
          <w:tcPr>
            <w:tcW w:type="dxa" w:w="2570"/>
            <w:shd w:fill="20221F"/>
            <w:tcMar>
              <w:top w:w="100" w:type="dxa"/>
              <w:start w:w="40" w:type="dxa"/>
              <w:bottom w:w="100" w:type="dxa"/>
              <w:end w:w="40" w:type="dxa"/>
            </w:tcMar>
          </w:tcPr>
          <w:p>
            <w:pPr>
              <w:spacing w:after="0" w:line="276" w:lineRule="auto"/>
              <w:jc w:val="center"/>
            </w:pPr>
            <w:r/>
            <w:r>
              <w:rPr>
                <w:rFonts w:ascii="Liberation Sans" w:hAnsi="Liberation Sans"/>
                <w:b/>
                <w:i w:val="0"/>
                <w:color w:val="FBFAF6"/>
                <w:sz w:val="15"/>
              </w:rPr>
              <w:t>GRAPHITE</w:t>
            </w:r>
          </w:p>
        </w:tc>
      </w:tr>
    </w:tbl>
    <w:p>
      <w:r>
        <w:br w:type="page"/>
      </w:r>
    </w:p>
    <w:p>
      <w:pPr>
        <w:pStyle w:val="GSLabel"/>
      </w:pPr>
      <w:r>
        <w:t>01 / SINTESI PER IL CONFRONTO INTERNO</w:t>
      </w:r>
    </w:p>
    <w:p>
      <w:pPr>
        <w:pStyle w:val="GSHeading1"/>
      </w:pPr>
      <w:r>
        <w:t>Una piattaforma, non soltanto un team.</w:t>
      </w:r>
    </w:p>
    <w:p>
      <w:pPr>
        <w:pStyle w:val="GSBody"/>
        <w:spacing w:after="140"/>
      </w:pPr>
      <w:r>
        <w:rPr>
          <w:i w:val="0"/>
          <w:color w:val="41443F"/>
        </w:rPr>
        <w:t>La nuova versione assume una scelta precisa: il sito non presenta soltanto la ricerca dei quattro autori del volume, ma costruisce uno spazio aperto e curato sulla ricerca relativa ai gastrospaces in senso più ampio. Andrea, Nicola e Beatrice sono quindi presentati come responsabili della gestione e della curatela dei contenuti, non come un research team chiuso.</w:t>
      </w:r>
    </w:p>
    <w:tbl>
      <w:tblPr>
        <w:tblW w:type="auto" w:w="0"/>
        <w:jc w:val="center"/>
        <w:tblLayout w:type="fixed"/>
        <w:tblLook w:firstColumn="1" w:firstRow="1" w:lastColumn="0" w:lastRow="0" w:noHBand="0" w:noVBand="1" w:val="04A0"/>
        <w:tblBorders>
          <w:top w:val="single" w:sz="4" w:space="0" w:color="BFC2BA"/>
          <w:left w:val="single" w:sz="4" w:space="0" w:color="BFC2BA"/>
          <w:bottom w:val="single" w:sz="4" w:space="0" w:color="BFC2BA"/>
          <w:right w:val="single" w:sz="4" w:space="0" w:color="BFC2BA"/>
          <w:insideH w:val="single" w:sz="4" w:space="0" w:color="BFC2BA"/>
          <w:insideV w:val="single" w:sz="4" w:space="0" w:color="BFC2BA"/>
        </w:tblBorders>
      </w:tblPr>
      <w:tblGrid>
        <w:gridCol w:w="5141"/>
        <w:gridCol w:w="5141"/>
      </w:tblGrid>
      <w:tr>
        <w:trPr>
          <w:tblHeader w:val="true"/>
        </w:trPr>
        <w:tc>
          <w:tcPr>
            <w:tcW w:type="dxa" w:w="2376"/>
            <w:shd w:fill="20221F"/>
            <w:tcMar>
              <w:top w:w="100" w:type="dxa"/>
              <w:start w:w="100" w:type="dxa"/>
              <w:bottom w:w="100" w:type="dxa"/>
              <w:end w:w="100" w:type="dxa"/>
            </w:tcMar>
          </w:tcPr>
          <w:p>
            <w:pPr>
              <w:spacing w:after="0" w:line="276" w:lineRule="auto"/>
              <w:jc w:val="left"/>
            </w:pPr>
            <w:r/>
            <w:r>
              <w:rPr>
                <w:rFonts w:ascii="Liberation Sans" w:hAnsi="Liberation Sans"/>
                <w:b/>
                <w:i w:val="0"/>
                <w:color w:val="FBFAF6"/>
                <w:sz w:val="16"/>
              </w:rPr>
              <w:t>TEMA</w:t>
            </w:r>
          </w:p>
        </w:tc>
        <w:tc>
          <w:tcPr>
            <w:tcW w:type="dxa" w:w="7704"/>
            <w:shd w:fill="20221F"/>
            <w:tcMar>
              <w:top w:w="100" w:type="dxa"/>
              <w:start w:w="100" w:type="dxa"/>
              <w:bottom w:w="100" w:type="dxa"/>
              <w:end w:w="100" w:type="dxa"/>
            </w:tcMar>
          </w:tcPr>
          <w:p>
            <w:pPr>
              <w:spacing w:after="0" w:line="276" w:lineRule="auto"/>
              <w:jc w:val="left"/>
            </w:pPr>
            <w:r/>
            <w:r>
              <w:rPr>
                <w:rFonts w:ascii="Liberation Sans" w:hAnsi="Liberation Sans"/>
                <w:b/>
                <w:i w:val="0"/>
                <w:color w:val="FBFAF6"/>
                <w:sz w:val="16"/>
              </w:rPr>
              <w:t>DECISIONE INCORPORATA</w:t>
            </w:r>
          </w:p>
        </w:tc>
      </w:tr>
      <w:tr>
        <w:trPr>
          <w:cantSplit/>
        </w:trPr>
        <w:tc>
          <w:tcPr>
            <w:tcW w:type="dxa" w:w="5141"/>
            <w:shd w:fill="E5E7E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Ambito</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Gastrospaces viene presentato come piattaforma accademica aperta: ospita il libro e i lavori del progetto, ma anche ricerche, casi, strumenti e materiali pertinenti prodotti da altri.</w:t>
            </w:r>
          </w:p>
        </w:tc>
      </w:tr>
      <w:tr>
        <w:trPr>
          <w:cantSplit/>
        </w:trPr>
        <w:tc>
          <w:tcPr>
            <w:tcW w:type="dxa" w:w="5141"/>
            <w:shd w:fill="DFE2D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Ruolo del gruppo</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Nel sito compare la formula “Content management &amp; curation”. Andrea Borghini, Nicola Piras e Beatrice Serini curano la selezione e l’organizzazione dei contenuti.</w:t>
            </w:r>
          </w:p>
        </w:tc>
      </w:tr>
      <w:tr>
        <w:trPr>
          <w:cantSplit/>
        </w:trPr>
        <w:tc>
          <w:tcPr>
            <w:tcW w:type="dxa" w:w="5141"/>
            <w:shd w:fill="E5E7E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Autorialità del libro</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Il volume resta attribuito in modo distinto ai quattro autori: Matteo Bonotti, Andrea Borghini, Nicola Piras e Beatrice Serini.</w:t>
            </w:r>
          </w:p>
        </w:tc>
      </w:tr>
      <w:tr>
        <w:trPr>
          <w:cantSplit/>
        </w:trPr>
        <w:tc>
          <w:tcPr>
            <w:tcW w:type="dxa" w:w="5141"/>
            <w:shd w:fill="DFE2D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Justice</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“Access” viene esplicitato: accesso a cibo, servizi, spazi condivisi, partecipazione civica e vita comunitaria.</w:t>
            </w:r>
          </w:p>
        </w:tc>
      </w:tr>
      <w:tr>
        <w:trPr>
          <w:cantSplit/>
        </w:trPr>
        <w:tc>
          <w:tcPr>
            <w:tcW w:type="dxa" w:w="5141"/>
            <w:shd w:fill="E5E7E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Culture &amp; Economy</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Hospitality viene sostituito da un entry point dedicato al ruolo dei gastrospaces come accessi alla cultura, motori economici e luoghi che modellano gusto, tradizioni, mobilità e vita comunitaria.</w:t>
            </w:r>
          </w:p>
        </w:tc>
      </w:tr>
      <w:tr>
        <w:trPr>
          <w:cantSplit/>
        </w:trPr>
        <w:tc>
          <w:tcPr>
            <w:tcW w:type="dxa" w:w="5141"/>
            <w:shd w:fill="DFE2D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Systems &amp; mapping</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La scalabilità non resta implicita: riceve una sezione autonoma su sistemi di gastrospaces, mappatura, raccolta dati e applicazioni.</w:t>
            </w:r>
          </w:p>
        </w:tc>
      </w:tr>
      <w:tr>
        <w:trPr>
          <w:cantSplit/>
        </w:trPr>
        <w:tc>
          <w:tcPr>
            <w:tcW w:type="dxa" w:w="5141"/>
            <w:shd w:fill="E5E7E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Research &amp; resources</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“Publications” diventa una sezione curata che distingue core texts, related scholarship e methods &amp; cases. I materiali esterni sono attribuiti chiaramente.</w:t>
            </w:r>
          </w:p>
        </w:tc>
      </w:tr>
      <w:tr>
        <w:trPr>
          <w:cantSplit/>
        </w:trPr>
        <w:tc>
          <w:tcPr>
            <w:tcW w:type="dxa" w:w="5141"/>
            <w:shd w:fill="DFE2D2"/>
            <w:tcMar>
              <w:top w:w="90" w:type="dxa"/>
              <w:start w:w="95" w:type="dxa"/>
              <w:bottom w:w="90" w:type="dxa"/>
              <w:end w:w="95" w:type="dxa"/>
            </w:tcMar>
          </w:tcPr>
          <w:p>
            <w:pPr>
              <w:spacing w:after="0" w:line="276" w:lineRule="auto"/>
              <w:jc w:val="left"/>
            </w:pPr>
            <w:r/>
            <w:r>
              <w:rPr>
                <w:rFonts w:ascii="Liberation Sans" w:hAnsi="Liberation Sans"/>
                <w:b/>
                <w:i w:val="0"/>
                <w:color w:val="20221F"/>
                <w:sz w:val="17"/>
              </w:rPr>
              <w:t>Gerarchia</w:t>
            </w:r>
          </w:p>
        </w:tc>
        <w:tc>
          <w:tcPr>
            <w:tcW w:type="dxa" w:w="5141"/>
            <w:shd w:fill="FBFAF6"/>
            <w:tcMar>
              <w:top w:w="90" w:type="dxa"/>
              <w:start w:w="110" w:type="dxa"/>
              <w:bottom w:w="90" w:type="dxa"/>
              <w:end w:w="110" w:type="dxa"/>
            </w:tcMar>
          </w:tcPr>
          <w:p>
            <w:pPr>
              <w:spacing w:after="0" w:line="269" w:lineRule="auto"/>
              <w:jc w:val="left"/>
            </w:pPr>
            <w:r/>
            <w:r>
              <w:rPr>
                <w:rFonts w:ascii="Liberation Sans" w:hAnsi="Liberation Sans"/>
                <w:b w:val="0"/>
                <w:i w:val="0"/>
                <w:color w:val="41443F"/>
                <w:sz w:val="17"/>
              </w:rPr>
              <w:t>Hero → About → Concepts → Systems &amp; Mapping → Book → Research &amp; Resources → Gallery → Content management.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82"/>
            <w:shd w:fill="DFE2D2"/>
            <w:tcMar>
              <w:top w:w="160" w:type="dxa"/>
              <w:start w:w="190" w:type="dxa"/>
              <w:bottom w:w="150" w:type="dxa"/>
              <w:end w:w="190" w:type="dxa"/>
            </w:tcMar>
            <w:tcBorders>
              <w:left w:val="single" w:sz="18" w:color="6F765D"/>
            </w:tcBorders>
          </w:tcPr>
          <w:p>
            <w:pPr>
              <w:spacing w:after="100"/>
            </w:pPr>
            <w:r>
              <w:rPr>
                <w:rFonts w:ascii="Liberation Serif" w:hAnsi="Liberation Serif"/>
                <w:b/>
                <w:i w:val="0"/>
                <w:color w:val="20221F"/>
                <w:sz w:val="28"/>
              </w:rPr>
              <w:t>Decisione di fondo proposta</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Gastrospaces è una piattaforma aperta e curata, non il sito personale di un gruppo chiuso.</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I contenuti possono essere prodotti dal progetto oppure selezionati da un campo più ampio, sempre con attribuzione chiara.</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La distinzione tra content managers e autori del libro rimane visibile e comprensibile.</w:t>
            </w:r>
          </w:p>
        </w:tc>
      </w:tr>
    </w:tbl>
    <w:p>
      <w:pPr>
        <w:spacing w:after="0"/>
      </w:pPr>
    </w:p>
    <w:p>
      <w:r>
        <w:br w:type="page"/>
      </w:r>
    </w:p>
    <w:p>
      <w:pPr>
        <w:pStyle w:val="GSLabel"/>
      </w:pPr>
      <w:r>
        <w:t>02 / INFORMATION ARCHITECTURE</w:t>
      </w:r>
    </w:p>
    <w:p>
      <w:pPr>
        <w:pStyle w:val="GSHeading1"/>
      </w:pPr>
      <w:r>
        <w:t>The field comes first.</w:t>
      </w:r>
    </w:p>
    <w:p>
      <w:pPr>
        <w:pStyle w:val="GSBody"/>
        <w:spacing w:after="140"/>
      </w:pPr>
      <w:r>
        <w:rPr>
          <w:i w:val="0"/>
          <w:color w:val="41443F"/>
        </w:rPr>
        <w:t>La struttura separa tre livelli: il concetto generale, il suo potenziale metodologico e applicativo, e i risultati specifici del progetto originario. Il libro rimane centrale, ma il visitatore incontra prima l’idea, gli entry points e la possibilità di studiare sistemi di gastrospaces a scale differenti.</w:t>
      </w:r>
    </w:p>
    <w:tbl>
      <w:tblPr>
        <w:tblW w:type="auto" w:w="0"/>
        <w:jc w:val="center"/>
        <w:tblLayout w:type="fixed"/>
        <w:tblLook w:firstColumn="1" w:firstRow="1" w:lastColumn="0" w:lastRow="0" w:noHBand="0" w:noVBand="1" w:val="04A0"/>
        <w:tblBorders>
          <w:top w:val="single" w:sz="4" w:space="0" w:color="D7D9D3"/>
          <w:left w:val="single" w:sz="4" w:space="0" w:color="D7D9D3"/>
          <w:bottom w:val="single" w:sz="4" w:space="0" w:color="D7D9D3"/>
          <w:right w:val="single" w:sz="4" w:space="0" w:color="D7D9D3"/>
          <w:insideH w:val="single" w:sz="4" w:space="0" w:color="D7D9D3"/>
          <w:insideV w:val="single" w:sz="4" w:space="0" w:color="D7D9D3"/>
        </w:tblBorders>
      </w:tblPr>
      <w:tblGrid>
        <w:gridCol w:w="1714"/>
        <w:gridCol w:w="1714"/>
        <w:gridCol w:w="1714"/>
        <w:gridCol w:w="1714"/>
        <w:gridCol w:w="1714"/>
        <w:gridCol w:w="1714"/>
      </w:tblGrid>
      <w:tr>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ABOUT</w:t>
            </w:r>
          </w:p>
        </w:tc>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CONCEPTS</w:t>
            </w:r>
          </w:p>
        </w:tc>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SYSTEMS</w:t>
            </w:r>
          </w:p>
        </w:tc>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BOOK</w:t>
            </w:r>
          </w:p>
        </w:tc>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RESEARCH</w:t>
            </w:r>
          </w:p>
        </w:tc>
        <w:tc>
          <w:tcPr>
            <w:tcW w:type="dxa" w:w="1714"/>
            <w:shd w:fill="E5E7E2"/>
            <w:tcMar>
              <w:top w:w="100" w:type="dxa"/>
              <w:start w:w="45" w:type="dxa"/>
              <w:bottom w:w="100" w:type="dxa"/>
              <w:end w:w="45" w:type="dxa"/>
            </w:tcMar>
          </w:tcPr>
          <w:p>
            <w:pPr>
              <w:spacing w:after="0" w:line="276" w:lineRule="auto"/>
              <w:jc w:val="center"/>
            </w:pPr>
            <w:r/>
            <w:r>
              <w:rPr>
                <w:rFonts w:ascii="Liberation Sans" w:hAnsi="Liberation Sans"/>
                <w:b/>
                <w:i w:val="0"/>
                <w:color w:val="20221F"/>
                <w:sz w:val="17"/>
              </w:rPr>
              <w:t>GALLERY</w:t>
            </w:r>
          </w:p>
        </w:tc>
      </w:tr>
    </w:tbl>
    <w:p>
      <w:pPr>
        <w:spacing w:after="40"/>
      </w:pP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3427"/>
        <w:gridCol w:w="3427"/>
        <w:gridCol w:w="3427"/>
      </w:tblGrid>
      <w:tr>
        <w:tc>
          <w:tcPr>
            <w:tcW w:type="dxa" w:w="936"/>
            <w:shd w:fill="E5E7E2"/>
            <w:tcMar>
              <w:top w:w="90" w:type="dxa"/>
              <w:start w:w="80" w:type="dxa"/>
              <w:bottom w:w="90" w:type="dxa"/>
              <w:end w:w="80" w:type="dxa"/>
            </w:tcMar>
          </w:tcPr>
          <w:p>
            <w:pPr>
              <w:spacing w:after="0" w:line="276" w:lineRule="auto"/>
              <w:jc w:val="center"/>
            </w:pPr>
            <w:r/>
            <w:r>
              <w:rPr>
                <w:rFonts w:ascii="Liberation Sans" w:hAnsi="Liberation Sans"/>
                <w:b/>
                <w:i w:val="0"/>
                <w:color w:val="20221F"/>
                <w:sz w:val="16"/>
              </w:rPr>
            </w:r>
          </w:p>
        </w:tc>
        <w:tc>
          <w:tcPr>
            <w:tcW w:type="dxa" w:w="2376"/>
            <w:shd w:fill="E5E7E2"/>
            <w:tcMar>
              <w:top w:w="90" w:type="dxa"/>
              <w:start w:w="80" w:type="dxa"/>
              <w:bottom w:w="90" w:type="dxa"/>
              <w:end w:w="80" w:type="dxa"/>
            </w:tcMar>
          </w:tcPr>
          <w:p>
            <w:pPr>
              <w:spacing w:after="0" w:line="276" w:lineRule="auto"/>
              <w:jc w:val="left"/>
            </w:pPr>
            <w:r/>
            <w:r>
              <w:rPr>
                <w:rFonts w:ascii="Liberation Sans" w:hAnsi="Liberation Sans"/>
                <w:b/>
                <w:i w:val="0"/>
                <w:color w:val="20221F"/>
                <w:sz w:val="16"/>
              </w:rPr>
              <w:t>SECTION</w:t>
            </w:r>
          </w:p>
        </w:tc>
        <w:tc>
          <w:tcPr>
            <w:tcW w:type="dxa" w:w="6768"/>
            <w:shd w:fill="E5E7E2"/>
            <w:tcMar>
              <w:top w:w="90" w:type="dxa"/>
              <w:start w:w="80" w:type="dxa"/>
              <w:bottom w:w="90" w:type="dxa"/>
              <w:end w:w="80" w:type="dxa"/>
            </w:tcMar>
          </w:tcPr>
          <w:p>
            <w:pPr>
              <w:spacing w:after="0" w:line="276" w:lineRule="auto"/>
              <w:jc w:val="left"/>
            </w:pPr>
            <w:r/>
            <w:r>
              <w:rPr>
                <w:rFonts w:ascii="Liberation Sans" w:hAnsi="Liberation Sans"/>
                <w:b/>
                <w:i w:val="0"/>
                <w:color w:val="20221F"/>
                <w:sz w:val="16"/>
              </w:rPr>
              <w:t>FUNCTION</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01</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Hero</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La tesi memorabile e il nuovo posizionamento: theory, scalable framework, open research platform.</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02</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About</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Definisce Gastrospaces e chiarisce subito che il sito raccoglie anche lavori, casi e metodi prodotti da altri.</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03</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Concepts</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Sei entry points provvisori: un vocabolario aperto, non una tassonomia definitiva.</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04</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Systems &amp; Mapping</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Spiega sistemi, scale, mappatura, tipologie di dati e possibili applicazioni.</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05</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Book</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Presenta il volume Routledge e distingue i quattro autori dalla gestione continuativa del sito.</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06</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Research &amp; Resources</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Organizza testi del progetto, letteratura collegata, metodi, casi, dataset e strumenti.</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07</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Gallery</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Archivio visuale e pubblico: mappe, field notes, talk, workshop, eventi e immagini attribuite.</w:t>
            </w:r>
          </w:p>
        </w:tc>
      </w:tr>
      <w:tr>
        <w:trPr>
          <w:cantSplit/>
        </w:trPr>
        <w:tc>
          <w:tcPr>
            <w:tcW w:type="dxa" w:w="3427"/>
            <w:shd w:fill="DFE2D2"/>
            <w:tcMar>
              <w:top w:w="90" w:type="dxa"/>
              <w:start w:w="90" w:type="dxa"/>
              <w:bottom w:w="90" w:type="dxa"/>
              <w:end w:w="90" w:type="dxa"/>
            </w:tcMar>
          </w:tcPr>
          <w:p>
            <w:pPr>
              <w:spacing w:after="0" w:line="276" w:lineRule="auto"/>
              <w:jc w:val="center"/>
            </w:pPr>
            <w:r/>
            <w:r>
              <w:rPr>
                <w:rFonts w:ascii="Liberation Sans" w:hAnsi="Liberation Sans"/>
                <w:b/>
                <w:i w:val="0"/>
                <w:color w:val="6F765D"/>
                <w:sz w:val="16"/>
              </w:rPr>
              <w:t>08</w:t>
            </w:r>
          </w:p>
        </w:tc>
        <w:tc>
          <w:tcPr>
            <w:tcW w:type="dxa" w:w="3427"/>
            <w:shd w:fill="FBFAF6"/>
            <w:tcMar>
              <w:top w:w="90" w:type="dxa"/>
              <w:start w:w="90" w:type="dxa"/>
              <w:bottom w:w="90" w:type="dxa"/>
              <w:end w:w="90" w:type="dxa"/>
            </w:tcMar>
          </w:tcPr>
          <w:p>
            <w:pPr>
              <w:spacing w:after="0" w:line="276" w:lineRule="auto"/>
              <w:jc w:val="left"/>
            </w:pPr>
            <w:r/>
            <w:r>
              <w:rPr>
                <w:rFonts w:ascii="Liberation Serif" w:hAnsi="Liberation Serif"/>
                <w:b w:val="0"/>
                <w:i w:val="0"/>
                <w:color w:val="20221F"/>
                <w:sz w:val="20"/>
              </w:rPr>
              <w:t>Closing</w:t>
            </w:r>
          </w:p>
        </w:tc>
        <w:tc>
          <w:tcPr>
            <w:tcW w:type="dxa" w:w="3427"/>
            <w:shd w:fill="FBFAF6"/>
            <w:tcMar>
              <w:top w:w="90" w:type="dxa"/>
              <w:start w:w="90" w:type="dxa"/>
              <w:bottom w:w="90" w:type="dxa"/>
              <w:end w:w="90" w:type="dxa"/>
            </w:tcMar>
          </w:tcPr>
          <w:p>
            <w:pPr>
              <w:spacing w:after="0" w:line="269" w:lineRule="auto"/>
              <w:jc w:val="left"/>
            </w:pPr>
            <w:r/>
            <w:r>
              <w:rPr>
                <w:rFonts w:ascii="Liberation Sans" w:hAnsi="Liberation Sans"/>
                <w:b w:val="0"/>
                <w:i w:val="0"/>
                <w:color w:val="41443F"/>
                <w:sz w:val="17"/>
              </w:rPr>
              <w:t>Esplicita content management &amp; curation e invita a suggerire risorse o collaborazioni.</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82"/>
            <w:shd w:fill="E5E7E2"/>
            <w:tcMar>
              <w:top w:w="160" w:type="dxa"/>
              <w:start w:w="190" w:type="dxa"/>
              <w:bottom w:w="150" w:type="dxa"/>
              <w:end w:w="190" w:type="dxa"/>
            </w:tcMar>
            <w:tcBorders>
              <w:left w:val="single" w:sz="18" w:color="6F765D"/>
            </w:tcBorders>
          </w:tcPr>
          <w:p>
            <w:pPr>
              <w:spacing w:after="100"/>
            </w:pPr>
            <w:r>
              <w:rPr>
                <w:rFonts w:ascii="Liberation Serif" w:hAnsi="Liberation Serif"/>
                <w:b/>
                <w:i w:val="0"/>
                <w:color w:val="20221F"/>
                <w:sz w:val="28"/>
              </w:rPr>
              <w:t>Editorial principle</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La homepage deve sembrare l’apertura di un saggio e, insieme, l’ingresso in una piattaforma di ricerca.</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La sezione Systems &amp; Mapping rende visibile il potenziale operativo per ricerca, policy, design e sviluppo.</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L’architettura resta modulare: nuove risorse, partner, casi e contributi possono essere aggiunti senza ridisegnare il sito.</w:t>
            </w:r>
          </w:p>
        </w:tc>
      </w:tr>
    </w:tbl>
    <w:p>
      <w:pPr>
        <w:spacing w:after="0"/>
      </w:pPr>
    </w:p>
    <w:p>
      <w:r>
        <w:br w:type="page"/>
      </w:r>
    </w:p>
    <w:p>
      <w:pPr>
        <w:pStyle w:val="GSLabel"/>
      </w:pPr>
      <w:r>
        <w:t>03 / VISUAL DIRECTION</w:t>
      </w:r>
    </w:p>
    <w:p>
      <w:pPr>
        <w:pStyle w:val="GSHeading1"/>
      </w:pPr>
      <w:r>
        <w:t>Editorial, architectural, and scalable.</w:t>
      </w:r>
    </w:p>
    <w:p>
      <w:pPr>
        <w:pStyle w:val="GSBody"/>
        <w:spacing w:after="140"/>
      </w:pPr>
      <w:r>
        <w:rPr>
          <w:i w:val="0"/>
          <w:color w:val="41443F"/>
        </w:rPr>
        <w:t>La direzione visiva resta sobria e durevole, ma i diagrammi non rappresentano più soltanto tavoli e soglie: diventano anche reti, relazioni, scale e sistemi. Salvia, grigio chiaro, avorio e grafite rimangono la palette di base.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41"/>
        <w:gridCol w:w="5141"/>
      </w:tblGrid>
      <w:tr>
        <w:tc>
          <w:tcPr>
            <w:tcW w:type="dxa" w:w="7992"/>
            <w:tcMar>
              <w:top w:w="0" w:type="dxa"/>
              <w:start w:w="0" w:type="dxa"/>
              <w:bottom w:w="0" w:type="dxa"/>
              <w:end w:w="0" w:type="dxa"/>
            </w:tcMar>
          </w:tcPr>
          <w:p>
            <w:pPr>
              <w:jc w:val="center"/>
            </w:pPr>
            <w:r>
              <w:drawing>
                <wp:inline xmlns:a="http://schemas.openxmlformats.org/drawingml/2006/main" xmlns:pic="http://schemas.openxmlformats.org/drawingml/2006/picture">
                  <wp:extent cx="4983480" cy="3322320"/>
                  <wp:docPr id="2" name="Picture 2"/>
                  <wp:cNvGraphicFramePr>
                    <a:graphicFrameLocks noChangeAspect="1"/>
                  </wp:cNvGraphicFramePr>
                  <a:graphic>
                    <a:graphicData uri="http://schemas.openxmlformats.org/drawingml/2006/picture">
                      <pic:pic>
                        <pic:nvPicPr>
                          <pic:cNvPr id="0" name="Gastrospaces_homepage_v3_desktop.png"/>
                          <pic:cNvPicPr/>
                        </pic:nvPicPr>
                        <pic:blipFill>
                          <a:blip r:embed="rId10"/>
                          <a:stretch>
                            <a:fillRect/>
                          </a:stretch>
                        </pic:blipFill>
                        <pic:spPr>
                          <a:xfrm>
                            <a:off x="0" y="0"/>
                            <a:ext cx="4983480" cy="3322320"/>
                          </a:xfrm>
                          <a:prstGeom prst="rect"/>
                        </pic:spPr>
                      </pic:pic>
                    </a:graphicData>
                  </a:graphic>
                </wp:inline>
              </w:drawing>
            </w:r>
          </w:p>
        </w:tc>
        <w:tc>
          <w:tcPr>
            <w:tcW w:type="dxa" w:w="2088"/>
            <w:tcMar>
              <w:top w:w="0" w:type="dxa"/>
              <w:start w:w="0" w:type="dxa"/>
              <w:bottom w:w="0" w:type="dxa"/>
              <w:end w:w="0" w:type="dxa"/>
            </w:tcMar>
          </w:tcPr>
          <w:p>
            <w:pPr>
              <w:jc w:val="center"/>
            </w:pPr>
            <w:r>
              <w:drawing>
                <wp:inline xmlns:a="http://schemas.openxmlformats.org/drawingml/2006/main" xmlns:pic="http://schemas.openxmlformats.org/drawingml/2006/picture">
                  <wp:extent cx="1216152" cy="2635939"/>
                  <wp:docPr id="3" name="Picture 3"/>
                  <wp:cNvGraphicFramePr>
                    <a:graphicFrameLocks noChangeAspect="1"/>
                  </wp:cNvGraphicFramePr>
                  <a:graphic>
                    <a:graphicData uri="http://schemas.openxmlformats.org/drawingml/2006/picture">
                      <pic:pic>
                        <pic:nvPicPr>
                          <pic:cNvPr id="0" name="Gastrospaces_homepage_v3_mobile.png"/>
                          <pic:cNvPicPr/>
                        </pic:nvPicPr>
                        <pic:blipFill>
                          <a:blip r:embed="rId11"/>
                          <a:stretch>
                            <a:fillRect/>
                          </a:stretch>
                        </pic:blipFill>
                        <pic:spPr>
                          <a:xfrm>
                            <a:off x="0" y="0"/>
                            <a:ext cx="1216152" cy="2635939"/>
                          </a:xfrm>
                          <a:prstGeom prst="rect"/>
                        </pic:spPr>
                      </pic:pic>
                    </a:graphicData>
                  </a:graphic>
                </wp:inline>
              </w:drawing>
            </w:r>
          </w:p>
        </w:tc>
      </w:tr>
    </w:tbl>
    <w:p>
      <w:pPr>
        <w:spacing w:after="20"/>
      </w:pPr>
    </w:p>
    <w:p>
      <w:pPr>
        <w:pStyle w:val="GSHeading2"/>
      </w:pPr>
      <w:r>
        <w:t>Palette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70"/>
        <w:gridCol w:w="2570"/>
        <w:gridCol w:w="2570"/>
        <w:gridCol w:w="2570"/>
      </w:tblGrid>
      <w:tr>
        <w:tc>
          <w:tcPr>
            <w:tcW w:type="dxa" w:w="2570"/>
            <w:shd w:fill="F3F2ED"/>
            <w:tcMar>
              <w:top w:w="90" w:type="dxa"/>
              <w:start w:w="50" w:type="dxa"/>
              <w:bottom w:w="90" w:type="dxa"/>
              <w:end w:w="50" w:type="dxa"/>
            </w:tcMar>
          </w:tcPr>
          <w:p>
            <w:pPr>
              <w:spacing w:after="0" w:line="276" w:lineRule="auto"/>
              <w:jc w:val="center"/>
            </w:pPr>
            <w:r/>
            <w:r>
              <w:rPr>
                <w:rFonts w:ascii="Liberation Sans" w:hAnsi="Liberation Sans"/>
                <w:b/>
                <w:i w:val="0"/>
                <w:color w:val="20221F"/>
                <w:sz w:val="16"/>
              </w:rPr>
              <w:t>Ivory</w:t>
            </w:r>
            <w:r>
              <w:rPr>
                <w:sz w:val="14"/>
              </w:rPr>
              <w:br/>
              <w:t>#F3F2ED</w:t>
            </w:r>
          </w:p>
        </w:tc>
        <w:tc>
          <w:tcPr>
            <w:tcW w:type="dxa" w:w="2570"/>
            <w:shd w:fill="E5E7E2"/>
            <w:tcMar>
              <w:top w:w="90" w:type="dxa"/>
              <w:start w:w="50" w:type="dxa"/>
              <w:bottom w:w="90" w:type="dxa"/>
              <w:end w:w="50" w:type="dxa"/>
            </w:tcMar>
          </w:tcPr>
          <w:p>
            <w:pPr>
              <w:spacing w:after="0" w:line="276" w:lineRule="auto"/>
              <w:jc w:val="center"/>
            </w:pPr>
            <w:r/>
            <w:r>
              <w:rPr>
                <w:rFonts w:ascii="Liberation Sans" w:hAnsi="Liberation Sans"/>
                <w:b/>
                <w:i w:val="0"/>
                <w:color w:val="20221F"/>
                <w:sz w:val="16"/>
              </w:rPr>
              <w:t>Light grey</w:t>
            </w:r>
            <w:r>
              <w:rPr>
                <w:sz w:val="14"/>
              </w:rPr>
              <w:br/>
              <w:t>#E5E7E2</w:t>
            </w:r>
          </w:p>
        </w:tc>
        <w:tc>
          <w:tcPr>
            <w:tcW w:type="dxa" w:w="2570"/>
            <w:shd w:fill="AEB58E"/>
            <w:tcMar>
              <w:top w:w="90" w:type="dxa"/>
              <w:start w:w="50" w:type="dxa"/>
              <w:bottom w:w="90" w:type="dxa"/>
              <w:end w:w="50" w:type="dxa"/>
            </w:tcMar>
          </w:tcPr>
          <w:p>
            <w:pPr>
              <w:spacing w:after="0" w:line="276" w:lineRule="auto"/>
              <w:jc w:val="center"/>
            </w:pPr>
            <w:r/>
            <w:r>
              <w:rPr>
                <w:rFonts w:ascii="Liberation Sans" w:hAnsi="Liberation Sans"/>
                <w:b/>
                <w:i w:val="0"/>
                <w:color w:val="20221F"/>
                <w:sz w:val="16"/>
              </w:rPr>
              <w:t>Sage</w:t>
            </w:r>
            <w:r>
              <w:rPr>
                <w:sz w:val="14"/>
              </w:rPr>
              <w:br/>
              <w:t>#AEB58E</w:t>
            </w:r>
          </w:p>
        </w:tc>
        <w:tc>
          <w:tcPr>
            <w:tcW w:type="dxa" w:w="2570"/>
            <w:shd w:fill="20221F"/>
            <w:tcMar>
              <w:top w:w="90" w:type="dxa"/>
              <w:start w:w="50" w:type="dxa"/>
              <w:bottom w:w="90" w:type="dxa"/>
              <w:end w:w="50" w:type="dxa"/>
            </w:tcMar>
          </w:tcPr>
          <w:p>
            <w:pPr>
              <w:spacing w:after="0" w:line="276" w:lineRule="auto"/>
              <w:jc w:val="center"/>
            </w:pPr>
            <w:r/>
            <w:r>
              <w:rPr>
                <w:rFonts w:ascii="Liberation Sans" w:hAnsi="Liberation Sans"/>
                <w:b/>
                <w:i w:val="0"/>
                <w:color w:val="FBFAF6"/>
                <w:sz w:val="16"/>
              </w:rPr>
              <w:t>Graphite</w:t>
            </w:r>
            <w:r>
              <w:rPr>
                <w:sz w:val="14"/>
              </w:rPr>
              <w:br/>
              <w:t>#20221F</w:t>
            </w:r>
          </w:p>
        </w:tc>
      </w:tr>
    </w:tbl>
    <w:p>
      <w:pPr>
        <w:pStyle w:val="GSHeading2"/>
      </w:pPr>
      <w:r>
        <w:t>Design rules</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3427"/>
        <w:gridCol w:w="3427"/>
        <w:gridCol w:w="3427"/>
      </w:tblGrid>
      <w:tr>
        <w:tc>
          <w:tcPr>
            <w:tcW w:type="dxa" w:w="3355"/>
            <w:shd w:fill="E5E7E2"/>
            <w:tcMar>
              <w:top w:w="130" w:type="dxa"/>
              <w:start w:w="140" w:type="dxa"/>
              <w:bottom w:w="140" w:type="dxa"/>
              <w:end w:w="140" w:type="dxa"/>
            </w:tcMar>
          </w:tcPr>
          <w:p>
            <w:pPr>
              <w:spacing w:after="240"/>
            </w:pPr>
            <w:r>
              <w:rPr>
                <w:rFonts w:ascii="Liberation Sans" w:hAnsi="Liberation Sans"/>
                <w:b/>
                <w:i w:val="0"/>
                <w:color w:val="6F765D"/>
                <w:sz w:val="17"/>
              </w:rPr>
              <w:t>01</w:t>
            </w:r>
          </w:p>
          <w:p>
            <w:pPr>
              <w:spacing w:after="120"/>
            </w:pPr>
            <w:r>
              <w:rPr>
                <w:rFonts w:ascii="Liberation Serif" w:hAnsi="Liberation Serif"/>
                <w:b w:val="0"/>
                <w:i w:val="0"/>
                <w:color w:val="20221F"/>
                <w:sz w:val="31"/>
              </w:rPr>
              <w:t>Typography first</w:t>
            </w:r>
          </w:p>
          <w:p>
            <w:pPr>
              <w:spacing w:after="0" w:line="276" w:lineRule="auto"/>
            </w:pPr>
            <w:r>
              <w:rPr>
                <w:rFonts w:ascii="Liberation Sans" w:hAnsi="Liberation Sans"/>
                <w:b w:val="0"/>
                <w:i w:val="0"/>
                <w:color w:val="41443F"/>
                <w:sz w:val="17"/>
              </w:rPr>
              <w:t>Serif editoriale per tesi e atmosfera; sans serif sobrio per navigazione, metadati, filtri e attribuzioni.</w:t>
            </w:r>
          </w:p>
        </w:tc>
        <w:tc>
          <w:tcPr>
            <w:tcW w:type="dxa" w:w="3355"/>
            <w:shd w:fill="DFE2D2"/>
            <w:tcMar>
              <w:top w:w="130" w:type="dxa"/>
              <w:start w:w="140" w:type="dxa"/>
              <w:bottom w:w="140" w:type="dxa"/>
              <w:end w:w="140" w:type="dxa"/>
            </w:tcMar>
          </w:tcPr>
          <w:p>
            <w:pPr>
              <w:spacing w:after="240"/>
            </w:pPr>
            <w:r>
              <w:rPr>
                <w:rFonts w:ascii="Liberation Sans" w:hAnsi="Liberation Sans"/>
                <w:b/>
                <w:i w:val="0"/>
                <w:color w:val="6F765D"/>
                <w:sz w:val="17"/>
              </w:rPr>
              <w:t>02</w:t>
            </w:r>
          </w:p>
          <w:p>
            <w:pPr>
              <w:spacing w:after="120"/>
            </w:pPr>
            <w:r>
              <w:rPr>
                <w:rFonts w:ascii="Liberation Serif" w:hAnsi="Liberation Serif"/>
                <w:b w:val="0"/>
                <w:i w:val="0"/>
                <w:color w:val="20221F"/>
                <w:sz w:val="31"/>
              </w:rPr>
              <w:t>Systems made visible</w:t>
            </w:r>
          </w:p>
          <w:p>
            <w:pPr>
              <w:spacing w:after="0" w:line="276" w:lineRule="auto"/>
            </w:pPr>
            <w:r>
              <w:rPr>
                <w:rFonts w:ascii="Liberation Sans" w:hAnsi="Liberation Sans"/>
                <w:b w:val="0"/>
                <w:i w:val="0"/>
                <w:color w:val="41443F"/>
                <w:sz w:val="17"/>
              </w:rPr>
              <w:t>Diagrammi, mappe, relazioni e scale mostrano il passaggio dal singolo luogo al sistema di gastrospaces.</w:t>
            </w:r>
          </w:p>
        </w:tc>
        <w:tc>
          <w:tcPr>
            <w:tcW w:type="dxa" w:w="3370"/>
            <w:shd w:fill="E5E7E2"/>
            <w:tcMar>
              <w:top w:w="130" w:type="dxa"/>
              <w:start w:w="140" w:type="dxa"/>
              <w:bottom w:w="140" w:type="dxa"/>
              <w:end w:w="140" w:type="dxa"/>
            </w:tcMar>
          </w:tcPr>
          <w:p>
            <w:pPr>
              <w:spacing w:after="240"/>
            </w:pPr>
            <w:r>
              <w:rPr>
                <w:rFonts w:ascii="Liberation Sans" w:hAnsi="Liberation Sans"/>
                <w:b/>
                <w:i w:val="0"/>
                <w:color w:val="6F765D"/>
                <w:sz w:val="17"/>
              </w:rPr>
              <w:t>03</w:t>
            </w:r>
          </w:p>
          <w:p>
            <w:pPr>
              <w:spacing w:after="120"/>
            </w:pPr>
            <w:r>
              <w:rPr>
                <w:rFonts w:ascii="Liberation Serif" w:hAnsi="Liberation Serif"/>
                <w:b w:val="0"/>
                <w:i w:val="0"/>
                <w:color w:val="20221F"/>
                <w:sz w:val="31"/>
              </w:rPr>
              <w:t>Durable curation</w:t>
            </w:r>
          </w:p>
          <w:p>
            <w:pPr>
              <w:spacing w:after="0" w:line="276" w:lineRule="auto"/>
            </w:pPr>
            <w:r>
              <w:rPr>
                <w:rFonts w:ascii="Liberation Sans" w:hAnsi="Liberation Sans"/>
                <w:b w:val="0"/>
                <w:i w:val="0"/>
                <w:color w:val="41443F"/>
                <w:sz w:val="17"/>
              </w:rPr>
              <w:t>Niente effetti vistosi o estetica da startup. Ogni materiale esterno è presentato con fonte, autore e link chiari.</w:t>
            </w:r>
          </w:p>
        </w:tc>
      </w:tr>
    </w:tbl>
    <w:p>
      <w:r>
        <w:br w:type="page"/>
      </w:r>
    </w:p>
    <w:p>
      <w:pPr>
        <w:pStyle w:val="GSLabel"/>
      </w:pPr>
      <w:r>
        <w:t>04 / WEBSITE COPY - OPENING AND ABOUT</w:t>
      </w:r>
    </w:p>
    <w:p>
      <w:pPr>
        <w:pStyle w:val="GSHeading1"/>
      </w:pPr>
      <w:r>
        <w:t>Proposed homepage copy</w:t>
      </w:r>
    </w:p>
    <w:p>
      <w:pPr>
        <w:pStyle w:val="GSBody"/>
        <w:spacing w:after="140"/>
      </w:pPr>
      <w:r>
        <w:rPr>
          <w:i w:val="0"/>
          <w:color w:val="41443F"/>
        </w:rPr>
        <w:t>Il testo seguente è una copy deck pulita e può essere trasferito direttamente nel sito.</w:t>
      </w:r>
    </w:p>
    <w:p>
      <w:pPr>
        <w:pStyle w:val="GSHeading2"/>
      </w:pPr>
      <w:r>
        <w:t>Hero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2"/>
      </w:tblGrid>
      <w:tr>
        <w:tc>
          <w:tcPr>
            <w:tcW w:type="dxa" w:w="10282"/>
            <w:shd w:fill="E5E7E2"/>
            <w:tcMar>
              <w:top w:w="150" w:type="dxa"/>
              <w:start w:w="160" w:type="dxa"/>
              <w:bottom w:w="150" w:type="dxa"/>
              <w:end w:w="160" w:type="dxa"/>
            </w:tcMar>
          </w:tcPr>
          <w:p>
            <w:r>
              <w:rPr>
                <w:rFonts w:ascii="Liberation Sans" w:hAnsi="Liberation Sans"/>
                <w:b/>
                <w:i w:val="0"/>
                <w:color w:val="6F765D"/>
                <w:sz w:val="16"/>
              </w:rPr>
              <w:t>PHILOSOPHY · SPACE · EVERYDAY LIFE</w:t>
            </w:r>
          </w:p>
          <w:p>
            <w:pPr>
              <w:spacing w:after="100"/>
            </w:pPr>
            <w:r>
              <w:rPr>
                <w:rFonts w:ascii="Liberation Serif" w:hAnsi="Liberation Serif"/>
                <w:b w:val="0"/>
                <w:i w:val="0"/>
                <w:color w:val="20221F"/>
                <w:sz w:val="52"/>
              </w:rPr>
              <w:t>Gastrospaces</w:t>
            </w:r>
          </w:p>
          <w:p>
            <w:pPr>
              <w:spacing w:after="220"/>
            </w:pPr>
            <w:r>
              <w:rPr>
                <w:rFonts w:ascii="Liberation Sans" w:hAnsi="Liberation Sans"/>
                <w:b/>
                <w:i w:val="0"/>
                <w:color w:val="6F765D"/>
                <w:sz w:val="18"/>
              </w:rPr>
              <w:t>A theory, a scalable framework, and an open research platform for understanding food and space.</w:t>
            </w:r>
          </w:p>
          <w:p>
            <w:pPr>
              <w:spacing w:after="120"/>
            </w:pPr>
            <w:r>
              <w:rPr>
                <w:rFonts w:ascii="Liberation Serif" w:hAnsi="Liberation Serif"/>
                <w:b w:val="0"/>
                <w:i w:val="0"/>
                <w:color w:val="20221F"/>
                <w:sz w:val="36"/>
              </w:rPr>
              <w:t>Every meal happens somewhere. That somewhere matters.</w:t>
            </w:r>
          </w:p>
          <w:p>
            <w:pPr>
              <w:spacing w:line="283" w:lineRule="auto"/>
            </w:pPr>
            <w:r>
              <w:rPr>
                <w:rFonts w:ascii="Liberation Sans" w:hAnsi="Liberation Sans"/>
                <w:b w:val="0"/>
                <w:i w:val="0"/>
                <w:color w:val="41443F"/>
                <w:sz w:val="19"/>
              </w:rPr>
              <w:t>These places are more than settings. Public or private, formal or improvised, they shape how we eat - and how memory, identity, politics, culture, belonging, exclusion, and economic life take form.</w:t>
            </w:r>
          </w:p>
        </w:tc>
      </w:tr>
    </w:tbl>
    <w:p>
      <w:pPr>
        <w:pStyle w:val="GSHeading2"/>
      </w:pPr>
      <w:r>
        <w:t>About</w:t>
      </w:r>
    </w:p>
    <w:p>
      <w:pPr>
        <w:pStyle w:val="GSBody"/>
        <w:spacing w:after="100"/>
      </w:pPr>
      <w:r>
        <w:rPr>
          <w:i w:val="0"/>
          <w:color w:val="41443F"/>
        </w:rPr>
        <w:t>Gastrospaces is a philosophical concept and a scalable framework for studying the spaces where eating takes place.</w:t>
      </w:r>
    </w:p>
    <w:p>
      <w:pPr>
        <w:pStyle w:val="GSBody"/>
        <w:spacing w:after="100"/>
      </w:pPr>
      <w:r>
        <w:rPr>
          <w:i w:val="0"/>
          <w:color w:val="41443F"/>
        </w:rPr>
        <w:t>It brings analytic ontology and political philosophy into conversation with food studies, geography, architecture, design, data and mapping, and the social sciences.</w:t>
      </w:r>
    </w:p>
    <w:p>
      <w:pPr>
        <w:pStyle w:val="GSBody"/>
        <w:spacing w:after="100"/>
      </w:pPr>
      <w:r>
        <w:rPr>
          <w:i w:val="0"/>
          <w:color w:val="41443F"/>
        </w:rPr>
        <w:t>This website is an open, curated platform. It gathers work produced by the authors of the Gastrospaces project as well as relevant research, cases, methods, and public materials developed by others.</w:t>
      </w:r>
    </w:p>
    <w:p>
      <w:pPr>
        <w:pStyle w:val="GSBody"/>
        <w:spacing w:after="100"/>
      </w:pPr>
      <w:r>
        <w:rPr>
          <w:i w:val="0"/>
          <w:color w:val="41443F"/>
        </w:rPr>
        <w:t>The aim is to build a shared language and create connections among scholars, policymakers, designers, practitioners, community organizations, and other stakeholders.</w:t>
      </w:r>
    </w:p>
    <w:p>
      <w:pPr>
        <w:pStyle w:val="GSQuote"/>
      </w:pPr>
      <w:r>
        <w:t>“Building a shared language - and a shared field - for thinking about food and space.”</w:t>
      </w:r>
    </w:p>
    <w:p>
      <w:pPr>
        <w:pStyle w:val="GSLabel"/>
      </w:pPr>
      <w:r>
        <w:t>A THEORY · A SCALABLE FRAMEWORK · AN OPEN RESEARCH PLATFORM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82"/>
            <w:shd w:fill="DFE2D2"/>
            <w:tcMar>
              <w:top w:w="160" w:type="dxa"/>
              <w:start w:w="190" w:type="dxa"/>
              <w:bottom w:w="150" w:type="dxa"/>
              <w:end w:w="190" w:type="dxa"/>
            </w:tcMar>
            <w:tcBorders>
              <w:left w:val="single" w:sz="18" w:color="6F765D"/>
            </w:tcBorders>
          </w:tcPr>
          <w:p>
            <w:pPr>
              <w:spacing w:after="100"/>
            </w:pPr>
            <w:r>
              <w:rPr>
                <w:rFonts w:ascii="Liberation Serif" w:hAnsi="Liberation Serif"/>
                <w:b/>
                <w:i w:val="0"/>
                <w:color w:val="20221F"/>
                <w:sz w:val="28"/>
              </w:rPr>
              <w:t>Editorial note</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Il nuovo descriptor introduce subito apertura e scalabilità, senza togliere centralità alla matrice filosofica.</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About chiarisce che il sito non si limita ai materiali prodotti dagli autori e che la curatela è parte della sua funzione.</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Nel menu resta “About”, perché è la voce più riconoscibile per orientarsi.</w:t>
            </w:r>
          </w:p>
        </w:tc>
      </w:tr>
    </w:tbl>
    <w:p>
      <w:pPr>
        <w:spacing w:after="0"/>
      </w:pPr>
    </w:p>
    <w:p>
      <w:r>
        <w:br w:type="page"/>
      </w:r>
    </w:p>
    <w:p>
      <w:pPr>
        <w:pStyle w:val="GSLabel"/>
      </w:pPr>
      <w:r>
        <w:t>05 / WEBSITE COPY - CONCEPTS</w:t>
      </w:r>
    </w:p>
    <w:p>
      <w:pPr>
        <w:pStyle w:val="GSHeading1"/>
      </w:pPr>
      <w:r>
        <w:t>Entry points</w:t>
      </w:r>
    </w:p>
    <w:p>
      <w:pPr>
        <w:pStyle w:val="GSBody"/>
        <w:spacing w:after="140"/>
      </w:pPr>
      <w:r>
        <w:rPr>
          <w:i w:val="0"/>
          <w:color w:val="41443F"/>
        </w:rPr>
        <w:t>Menu label: Concepts. Section label: Entry points. Section title: “A vocabulary of place and eating.” Le sei voci restano provvisorie e possono evolvere con l’ampliarsi del campo.</w:t>
      </w:r>
    </w:p>
    <w:p>
      <w:pPr>
        <w:pStyle w:val="GSQuote"/>
      </w:pPr>
      <w:r>
        <w:t>A vocabulary of place and eating.</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5141"/>
        <w:gridCol w:w="5141"/>
      </w:tblGrid>
      <w:tr>
        <w:trPr>
          <w:cantSplit/>
          <w:cantSplit/>
        </w:trPr>
        <w:tc>
          <w:tcPr>
            <w:tcW w:type="dxa" w:w="5040"/>
            <w:shd w:fill="E5E7E2"/>
            <w:tcMar>
              <w:top w:w="130" w:type="dxa"/>
              <w:start w:w="140" w:type="dxa"/>
              <w:bottom w:w="140" w:type="dxa"/>
              <w:end w:w="140" w:type="dxa"/>
            </w:tcMar>
          </w:tcPr>
          <w:p>
            <w:pPr>
              <w:spacing w:after="240"/>
            </w:pPr>
            <w:r>
              <w:rPr>
                <w:rFonts w:ascii="Liberation Sans" w:hAnsi="Liberation Sans"/>
                <w:b/>
                <w:i w:val="0"/>
                <w:color w:val="6F765D"/>
                <w:sz w:val="17"/>
              </w:rPr>
              <w:t>01</w:t>
            </w:r>
          </w:p>
          <w:p>
            <w:pPr>
              <w:spacing w:after="120"/>
            </w:pPr>
            <w:r>
              <w:rPr>
                <w:rFonts w:ascii="Liberation Serif" w:hAnsi="Liberation Serif"/>
                <w:b w:val="0"/>
                <w:i w:val="0"/>
                <w:color w:val="20221F"/>
                <w:sz w:val="31"/>
              </w:rPr>
              <w:t>Justice</w:t>
            </w:r>
          </w:p>
          <w:p>
            <w:pPr>
              <w:spacing w:after="0" w:line="276" w:lineRule="auto"/>
            </w:pPr>
            <w:r>
              <w:rPr>
                <w:rFonts w:ascii="Liberation Sans" w:hAnsi="Liberation Sans"/>
                <w:b w:val="0"/>
                <w:i w:val="0"/>
                <w:color w:val="41443F"/>
                <w:sz w:val="17"/>
              </w:rPr>
              <w:t>How gastrospaces distribute access to food, services, shared space, civic participation, and community life - and how they can reproduce exclusion, discrimination, and unequal power.</w:t>
            </w:r>
          </w:p>
        </w:tc>
        <w:tc>
          <w:tcPr>
            <w:tcW w:type="dxa" w:w="5040"/>
            <w:shd w:fill="DFE2D2"/>
            <w:tcMar>
              <w:top w:w="130" w:type="dxa"/>
              <w:start w:w="140" w:type="dxa"/>
              <w:bottom w:w="140" w:type="dxa"/>
              <w:end w:w="140" w:type="dxa"/>
            </w:tcMar>
          </w:tcPr>
          <w:p>
            <w:pPr>
              <w:spacing w:after="240"/>
            </w:pPr>
            <w:r>
              <w:rPr>
                <w:rFonts w:ascii="Liberation Sans" w:hAnsi="Liberation Sans"/>
                <w:b/>
                <w:i w:val="0"/>
                <w:color w:val="6F765D"/>
                <w:sz w:val="17"/>
              </w:rPr>
              <w:t>02</w:t>
            </w:r>
          </w:p>
          <w:p>
            <w:pPr>
              <w:spacing w:after="120"/>
            </w:pPr>
            <w:r>
              <w:rPr>
                <w:rFonts w:ascii="Liberation Serif" w:hAnsi="Liberation Serif"/>
                <w:b w:val="0"/>
                <w:i w:val="0"/>
                <w:color w:val="20221F"/>
                <w:sz w:val="31"/>
              </w:rPr>
              <w:t>Commensality</w:t>
            </w:r>
          </w:p>
          <w:p>
            <w:pPr>
              <w:spacing w:after="0" w:line="276" w:lineRule="auto"/>
            </w:pPr>
            <w:r>
              <w:rPr>
                <w:rFonts w:ascii="Liberation Sans" w:hAnsi="Liberation Sans"/>
                <w:b w:val="0"/>
                <w:i w:val="0"/>
                <w:color w:val="41443F"/>
                <w:sz w:val="17"/>
              </w:rPr>
              <w:t>The relations created by eating together, from intimacy and conviviality to civic belonging.</w:t>
            </w:r>
          </w:p>
        </w:tc>
      </w:tr>
      <w:tr>
        <w:trPr>
          <w:cantSplit/>
          <w:cantSplit/>
        </w:trPr>
        <w:tc>
          <w:tcPr>
            <w:tcW w:type="dxa" w:w="5040"/>
            <w:shd w:fill="E5E7E2"/>
            <w:tcMar>
              <w:top w:w="130" w:type="dxa"/>
              <w:start w:w="140" w:type="dxa"/>
              <w:bottom w:w="140" w:type="dxa"/>
              <w:end w:w="140" w:type="dxa"/>
            </w:tcMar>
          </w:tcPr>
          <w:p>
            <w:pPr>
              <w:spacing w:after="240"/>
            </w:pPr>
            <w:r>
              <w:rPr>
                <w:rFonts w:ascii="Liberation Sans" w:hAnsi="Liberation Sans"/>
                <w:b/>
                <w:i w:val="0"/>
                <w:color w:val="6F765D"/>
                <w:sz w:val="17"/>
              </w:rPr>
              <w:t>03</w:t>
            </w:r>
          </w:p>
          <w:p>
            <w:pPr>
              <w:spacing w:after="120"/>
            </w:pPr>
            <w:r>
              <w:rPr>
                <w:rFonts w:ascii="Liberation Serif" w:hAnsi="Liberation Serif"/>
                <w:b w:val="0"/>
                <w:i w:val="0"/>
                <w:color w:val="20221F"/>
                <w:sz w:val="31"/>
              </w:rPr>
              <w:t>Public Space</w:t>
            </w:r>
          </w:p>
          <w:p>
            <w:pPr>
              <w:spacing w:after="0" w:line="276" w:lineRule="auto"/>
            </w:pPr>
            <w:r>
              <w:rPr>
                <w:rFonts w:ascii="Liberation Sans" w:hAnsi="Liberation Sans"/>
                <w:b w:val="0"/>
                <w:i w:val="0"/>
                <w:color w:val="41443F"/>
                <w:sz w:val="17"/>
              </w:rPr>
              <w:t>The politics of shared tables, streets, markets, institutions, and informal gathering.</w:t>
            </w:r>
          </w:p>
        </w:tc>
        <w:tc>
          <w:tcPr>
            <w:tcW w:type="dxa" w:w="5040"/>
            <w:shd w:fill="E5E7E2"/>
            <w:tcMar>
              <w:top w:w="130" w:type="dxa"/>
              <w:start w:w="140" w:type="dxa"/>
              <w:bottom w:w="140" w:type="dxa"/>
              <w:end w:w="140" w:type="dxa"/>
            </w:tcMar>
          </w:tcPr>
          <w:p>
            <w:pPr>
              <w:spacing w:after="240"/>
            </w:pPr>
            <w:r>
              <w:rPr>
                <w:rFonts w:ascii="Liberation Sans" w:hAnsi="Liberation Sans"/>
                <w:b/>
                <w:i w:val="0"/>
                <w:color w:val="6F765D"/>
                <w:sz w:val="17"/>
              </w:rPr>
              <w:t>04</w:t>
            </w:r>
          </w:p>
          <w:p>
            <w:pPr>
              <w:spacing w:after="120"/>
            </w:pPr>
            <w:r>
              <w:rPr>
                <w:rFonts w:ascii="Liberation Serif" w:hAnsi="Liberation Serif"/>
                <w:b w:val="0"/>
                <w:i w:val="0"/>
                <w:color w:val="20221F"/>
                <w:sz w:val="31"/>
              </w:rPr>
              <w:t>Home</w:t>
            </w:r>
          </w:p>
          <w:p>
            <w:pPr>
              <w:spacing w:after="0" w:line="276" w:lineRule="auto"/>
            </w:pPr>
            <w:r>
              <w:rPr>
                <w:rFonts w:ascii="Liberation Sans" w:hAnsi="Liberation Sans"/>
                <w:b w:val="0"/>
                <w:i w:val="0"/>
                <w:color w:val="41443F"/>
                <w:sz w:val="17"/>
              </w:rPr>
              <w:t>Domestic arrangements as sites of care, routine, labour, memory, and unequal power.</w:t>
            </w:r>
          </w:p>
        </w:tc>
      </w:tr>
      <w:tr>
        <w:trPr>
          <w:cantSplit/>
          <w:cantSplit/>
        </w:trPr>
        <w:tc>
          <w:tcPr>
            <w:tcW w:type="dxa" w:w="5040"/>
            <w:shd w:fill="DFE2D2"/>
            <w:tcMar>
              <w:top w:w="130" w:type="dxa"/>
              <w:start w:w="140" w:type="dxa"/>
              <w:bottom w:w="140" w:type="dxa"/>
              <w:end w:w="140" w:type="dxa"/>
            </w:tcMar>
          </w:tcPr>
          <w:p>
            <w:pPr>
              <w:spacing w:after="240"/>
            </w:pPr>
            <w:r>
              <w:rPr>
                <w:rFonts w:ascii="Liberation Sans" w:hAnsi="Liberation Sans"/>
                <w:b/>
                <w:i w:val="0"/>
                <w:color w:val="6F765D"/>
                <w:sz w:val="17"/>
              </w:rPr>
              <w:t>05</w:t>
            </w:r>
          </w:p>
          <w:p>
            <w:pPr>
              <w:spacing w:after="120"/>
            </w:pPr>
            <w:r>
              <w:rPr>
                <w:rFonts w:ascii="Liberation Serif" w:hAnsi="Liberation Serif"/>
                <w:b w:val="0"/>
                <w:i w:val="0"/>
                <w:color w:val="20221F"/>
                <w:sz w:val="31"/>
              </w:rPr>
              <w:t>Culture &amp; Economy</w:t>
            </w:r>
          </w:p>
          <w:p>
            <w:pPr>
              <w:spacing w:after="0" w:line="276" w:lineRule="auto"/>
            </w:pPr>
            <w:r>
              <w:rPr>
                <w:rFonts w:ascii="Liberation Sans" w:hAnsi="Liberation Sans"/>
                <w:b w:val="0"/>
                <w:i w:val="0"/>
                <w:color w:val="41443F"/>
                <w:sz w:val="17"/>
              </w:rPr>
              <w:t>How gastrospaces act as gateways into cultures and as drivers of local and global economies, shaping taste, traditions, mobility, and community life.</w:t>
            </w:r>
          </w:p>
        </w:tc>
        <w:tc>
          <w:tcPr>
            <w:tcW w:type="dxa" w:w="5040"/>
            <w:shd w:fill="E5E7E2"/>
            <w:tcMar>
              <w:top w:w="130" w:type="dxa"/>
              <w:start w:w="140" w:type="dxa"/>
              <w:bottom w:w="140" w:type="dxa"/>
              <w:end w:w="140" w:type="dxa"/>
            </w:tcMar>
          </w:tcPr>
          <w:p>
            <w:pPr>
              <w:spacing w:after="240"/>
            </w:pPr>
            <w:r>
              <w:rPr>
                <w:rFonts w:ascii="Liberation Sans" w:hAnsi="Liberation Sans"/>
                <w:b/>
                <w:i w:val="0"/>
                <w:color w:val="6F765D"/>
                <w:sz w:val="17"/>
              </w:rPr>
              <w:t>06</w:t>
            </w:r>
          </w:p>
          <w:p>
            <w:pPr>
              <w:spacing w:after="120"/>
            </w:pPr>
            <w:r>
              <w:rPr>
                <w:rFonts w:ascii="Liberation Serif" w:hAnsi="Liberation Serif"/>
                <w:b w:val="0"/>
                <w:i w:val="0"/>
                <w:color w:val="20221F"/>
                <w:sz w:val="31"/>
              </w:rPr>
              <w:t>Atmosphere</w:t>
            </w:r>
          </w:p>
          <w:p>
            <w:pPr>
              <w:spacing w:after="0" w:line="276" w:lineRule="auto"/>
            </w:pPr>
            <w:r>
              <w:rPr>
                <w:rFonts w:ascii="Liberation Sans" w:hAnsi="Liberation Sans"/>
                <w:b w:val="0"/>
                <w:i w:val="0"/>
                <w:color w:val="41443F"/>
                <w:sz w:val="17"/>
              </w:rPr>
              <w:t>The sensory and affective qualities through which a place becomes inviting, alienating, familiar, or meaningful.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82"/>
            <w:shd w:fill="DFE2D2"/>
            <w:tcMar>
              <w:top w:w="160" w:type="dxa"/>
              <w:start w:w="190" w:type="dxa"/>
              <w:bottom w:w="150" w:type="dxa"/>
              <w:end w:w="190" w:type="dxa"/>
            </w:tcMar>
            <w:tcBorders>
              <w:left w:val="single" w:sz="18" w:color="6F765D"/>
            </w:tcBorders>
          </w:tcPr>
          <w:p>
            <w:pPr>
              <w:spacing w:after="100"/>
            </w:pPr>
            <w:r>
              <w:rPr>
                <w:rFonts w:ascii="Liberation Serif" w:hAnsi="Liberation Serif"/>
                <w:b/>
                <w:i w:val="0"/>
                <w:color w:val="20221F"/>
                <w:sz w:val="28"/>
              </w:rPr>
              <w:t>What changed</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Justice ora specifica l’oggetto dell’accesso: cibo, servizi, spazio condiviso, partecipazione civica e vita comunitaria.</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Culture &amp; Economy sostituisce Hospitality e rende visibili cultura, tradizioni, gusto, mobilità, economie locali e globali.</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Systems &amp; Mapping non viene compresso in una settima card: diventa una sezione autonoma, perché descrive un potenziale metodologico trasversale.</w:t>
            </w:r>
          </w:p>
        </w:tc>
      </w:tr>
    </w:tbl>
    <w:p>
      <w:pPr>
        <w:spacing w:after="0"/>
      </w:pPr>
    </w:p>
    <w:p>
      <w:r>
        <w:br w:type="page"/>
      </w:r>
    </w:p>
    <w:p>
      <w:pPr>
        <w:pStyle w:val="GSLabel"/>
      </w:pPr>
      <w:r>
        <w:t>06 / SYSTEMS &amp; MAPPING</w:t>
      </w:r>
    </w:p>
    <w:p>
      <w:pPr>
        <w:pStyle w:val="GSHeading1"/>
      </w:pPr>
      <w:r>
        <w:t>From places to systems.</w:t>
      </w:r>
    </w:p>
    <w:p>
      <w:pPr>
        <w:pStyle w:val="GSBody"/>
        <w:spacing w:after="140"/>
      </w:pPr>
      <w:r>
        <w:rPr>
          <w:i w:val="0"/>
          <w:color w:val="41443F"/>
        </w:rPr>
        <w:t>Questa è la principale aggiunta strutturale. Il concetto di gastrospace è scalabile e può sostenere lavori di mappatura, comparazione e raccolta dati adattati a domande molto diverse. La pagina deve mostrare questa potenzialità, non limitarla a una nota marginale.</w:t>
      </w:r>
    </w:p>
    <w:p>
      <w:pPr>
        <w:spacing w:after="160"/>
        <w:jc w:val="center"/>
      </w:pPr>
      <w:r>
        <w:drawing>
          <wp:inline xmlns:a="http://schemas.openxmlformats.org/drawingml/2006/main" xmlns:pic="http://schemas.openxmlformats.org/drawingml/2006/picture">
            <wp:extent cx="4983480" cy="3392481"/>
            <wp:docPr id="4" name="Picture 4"/>
            <wp:cNvGraphicFramePr>
              <a:graphicFrameLocks noChangeAspect="1"/>
            </wp:cNvGraphicFramePr>
            <a:graphic>
              <a:graphicData uri="http://schemas.openxmlformats.org/drawingml/2006/picture">
                <pic:pic>
                  <pic:nvPicPr>
                    <pic:cNvPr id="0" name="Gastrospaces_systems_map.png"/>
                    <pic:cNvPicPr/>
                  </pic:nvPicPr>
                  <pic:blipFill>
                    <a:blip r:embed="rId12"/>
                    <a:stretch>
                      <a:fillRect/>
                    </a:stretch>
                  </pic:blipFill>
                  <pic:spPr>
                    <a:xfrm>
                      <a:off x="0" y="0"/>
                      <a:ext cx="4983480" cy="3392481"/>
                    </a:xfrm>
                    <a:prstGeom prst="rect"/>
                  </pic:spPr>
                </pic:pic>
              </a:graphicData>
            </a:graphic>
          </wp:inline>
        </w:drawing>
      </w:r>
    </w:p>
    <w:p>
      <w:pPr>
        <w:pStyle w:val="GSHeading2"/>
      </w:pPr>
      <w:r>
        <w:t>Copy deck</w:t>
      </w:r>
    </w:p>
    <w:p>
      <w:pPr>
        <w:pStyle w:val="GSBody"/>
        <w:spacing w:after="80"/>
      </w:pPr>
      <w:r>
        <w:rPr>
          <w:i w:val="0"/>
          <w:color w:val="41443F"/>
        </w:rPr>
        <w:t>Gastrospaces rarely stand alone. They connect through people, practices, infrastructures, institutions, commodities, images, and data.</w:t>
      </w:r>
    </w:p>
    <w:p>
      <w:pPr>
        <w:pStyle w:val="GSBody"/>
        <w:spacing w:after="80"/>
      </w:pPr>
      <w:r>
        <w:rPr>
          <w:i w:val="0"/>
          <w:color w:val="41443F"/>
        </w:rPr>
        <w:t>The framework is scalable. It can be applied to a table, a building, a neighbourhood, a city, a region, or a transnational network. Individual places can be studied on their own or as parts of larger gastrospace systems.</w:t>
      </w:r>
    </w:p>
    <w:p>
      <w:pPr>
        <w:pStyle w:val="GSBody"/>
        <w:spacing w:after="80"/>
      </w:pPr>
      <w:r>
        <w:rPr>
          <w:i w:val="0"/>
          <w:color w:val="41443F"/>
        </w:rPr>
        <w:t>Each project can select and combine the data appropriate to its question - qualitative, spatial, social, economic, sensory, cultural, political, or environmental.</w:t>
      </w:r>
    </w:p>
    <w:p>
      <w:pPr>
        <w:pStyle w:val="GSQuote"/>
      </w:pPr>
      <w:r>
        <w:t>“One vocabulary, different datasets. One framework, different purposes.”</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3427"/>
        <w:gridCol w:w="3427"/>
        <w:gridCol w:w="3427"/>
      </w:tblGrid>
      <w:tr>
        <w:tc>
          <w:tcPr>
            <w:tcW w:type="dxa" w:w="3355"/>
            <w:shd w:fill="FBFAF6"/>
            <w:tcMar>
              <w:top w:w="130" w:type="dxa"/>
              <w:start w:w="140" w:type="dxa"/>
              <w:bottom w:w="140" w:type="dxa"/>
              <w:end w:w="140" w:type="dxa"/>
            </w:tcMar>
          </w:tcPr>
          <w:p>
            <w:pPr>
              <w:spacing w:after="240"/>
            </w:pPr>
            <w:r>
              <w:rPr>
                <w:rFonts w:ascii="Liberation Sans" w:hAnsi="Liberation Sans"/>
                <w:b/>
                <w:i w:val="0"/>
                <w:color w:val="6F765D"/>
                <w:sz w:val="17"/>
              </w:rPr>
              <w:t>01</w:t>
            </w:r>
          </w:p>
          <w:p>
            <w:pPr>
              <w:spacing w:after="120"/>
            </w:pPr>
            <w:r>
              <w:rPr>
                <w:rFonts w:ascii="Liberation Serif" w:hAnsi="Liberation Serif"/>
                <w:b w:val="0"/>
                <w:i w:val="0"/>
                <w:color w:val="20221F"/>
                <w:sz w:val="31"/>
              </w:rPr>
              <w:t>Map relations</w:t>
            </w:r>
          </w:p>
          <w:p>
            <w:pPr>
              <w:spacing w:after="0" w:line="276" w:lineRule="auto"/>
            </w:pPr>
            <w:r>
              <w:rPr>
                <w:rFonts w:ascii="Liberation Sans" w:hAnsi="Liberation Sans"/>
                <w:b w:val="0"/>
                <w:i w:val="0"/>
                <w:color w:val="41443F"/>
                <w:sz w:val="17"/>
              </w:rPr>
              <w:t>Actors, practices, flows, thresholds, ownership, institutions, and infrastructures.</w:t>
            </w:r>
          </w:p>
        </w:tc>
        <w:tc>
          <w:tcPr>
            <w:tcW w:type="dxa" w:w="3355"/>
            <w:shd w:fill="FBFAF6"/>
            <w:tcMar>
              <w:top w:w="130" w:type="dxa"/>
              <w:start w:w="140" w:type="dxa"/>
              <w:bottom w:w="140" w:type="dxa"/>
              <w:end w:w="140" w:type="dxa"/>
            </w:tcMar>
          </w:tcPr>
          <w:p>
            <w:pPr>
              <w:spacing w:after="240"/>
            </w:pPr>
            <w:r>
              <w:rPr>
                <w:rFonts w:ascii="Liberation Sans" w:hAnsi="Liberation Sans"/>
                <w:b/>
                <w:i w:val="0"/>
                <w:color w:val="6F765D"/>
                <w:sz w:val="17"/>
              </w:rPr>
              <w:t>02</w:t>
            </w:r>
          </w:p>
          <w:p>
            <w:pPr>
              <w:spacing w:after="120"/>
            </w:pPr>
            <w:r>
              <w:rPr>
                <w:rFonts w:ascii="Liberation Serif" w:hAnsi="Liberation Serif"/>
                <w:b w:val="0"/>
                <w:i w:val="0"/>
                <w:color w:val="20221F"/>
                <w:sz w:val="31"/>
              </w:rPr>
              <w:t>Assemble data</w:t>
            </w:r>
          </w:p>
          <w:p>
            <w:pPr>
              <w:spacing w:after="0" w:line="276" w:lineRule="auto"/>
            </w:pPr>
            <w:r>
              <w:rPr>
                <w:rFonts w:ascii="Liberation Sans" w:hAnsi="Liberation Sans"/>
                <w:b w:val="0"/>
                <w:i w:val="0"/>
                <w:color w:val="41443F"/>
                <w:sz w:val="17"/>
              </w:rPr>
              <w:t>Spatial, social, economic, sensory, cultural, political, and environmental evidence.</w:t>
            </w:r>
          </w:p>
        </w:tc>
        <w:tc>
          <w:tcPr>
            <w:tcW w:type="dxa" w:w="3370"/>
            <w:shd w:fill="FBFAF6"/>
            <w:tcMar>
              <w:top w:w="130" w:type="dxa"/>
              <w:start w:w="140" w:type="dxa"/>
              <w:bottom w:w="140" w:type="dxa"/>
              <w:end w:w="140" w:type="dxa"/>
            </w:tcMar>
          </w:tcPr>
          <w:p>
            <w:pPr>
              <w:spacing w:after="240"/>
            </w:pPr>
            <w:r>
              <w:rPr>
                <w:rFonts w:ascii="Liberation Sans" w:hAnsi="Liberation Sans"/>
                <w:b/>
                <w:i w:val="0"/>
                <w:color w:val="6F765D"/>
                <w:sz w:val="17"/>
              </w:rPr>
              <w:t>03</w:t>
            </w:r>
          </w:p>
          <w:p>
            <w:pPr>
              <w:spacing w:after="120"/>
            </w:pPr>
            <w:r>
              <w:rPr>
                <w:rFonts w:ascii="Liberation Serif" w:hAnsi="Liberation Serif"/>
                <w:b w:val="0"/>
                <w:i w:val="0"/>
                <w:color w:val="20221F"/>
                <w:sz w:val="31"/>
              </w:rPr>
              <w:t>Support action</w:t>
            </w:r>
          </w:p>
          <w:p>
            <w:pPr>
              <w:spacing w:after="0" w:line="276" w:lineRule="auto"/>
            </w:pPr>
            <w:r>
              <w:rPr>
                <w:rFonts w:ascii="Liberation Sans" w:hAnsi="Liberation Sans"/>
                <w:b w:val="0"/>
                <w:i w:val="0"/>
                <w:color w:val="41443F"/>
                <w:sz w:val="17"/>
              </w:rPr>
              <w:t>Research, policy, planning, design, management, and community initiatives.</w:t>
            </w:r>
          </w:p>
        </w:tc>
      </w:tr>
    </w:tbl>
    <w:p>
      <w:r>
        <w:br w:type="page"/>
      </w:r>
    </w:p>
    <w:p>
      <w:pPr>
        <w:pStyle w:val="GSLabel"/>
      </w:pPr>
      <w:r>
        <w:t>07 / BOOK AND RESEARCH &amp; RESOURCES</w:t>
      </w:r>
    </w:p>
    <w:p>
      <w:pPr>
        <w:pStyle w:val="GSHeading1"/>
      </w:pPr>
      <w:r>
        <w:t>The book within a wider field.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41"/>
        <w:gridCol w:w="5141"/>
      </w:tblGrid>
      <w:tr>
        <w:tc>
          <w:tcPr>
            <w:tcW w:type="dxa" w:w="3024"/>
            <w:tcMar>
              <w:top w:w="0" w:type="dxa"/>
              <w:start w:w="0" w:type="dxa"/>
              <w:bottom w:w="0" w:type="dxa"/>
              <w:end w:w="80" w:type="dxa"/>
            </w:tcMar>
          </w:tcPr>
          <w:p>
            <w:pPr>
              <w:jc w:val="center"/>
            </w:pPr>
            <w:r>
              <w:drawing>
                <wp:inline xmlns:a="http://schemas.openxmlformats.org/drawingml/2006/main" xmlns:pic="http://schemas.openxmlformats.org/drawingml/2006/picture">
                  <wp:extent cx="1783080" cy="2674620"/>
                  <wp:docPr id="5" name="Picture 5"/>
                  <wp:cNvGraphicFramePr>
                    <a:graphicFrameLocks noChangeAspect="1"/>
                  </wp:cNvGraphicFramePr>
                  <a:graphic>
                    <a:graphicData uri="http://schemas.openxmlformats.org/drawingml/2006/picture">
                      <pic:pic>
                        <pic:nvPicPr>
                          <pic:cNvPr id="0" name="Gastrospaces_book_cover.jpg"/>
                          <pic:cNvPicPr/>
                        </pic:nvPicPr>
                        <pic:blipFill>
                          <a:blip r:embed="rId13"/>
                          <a:stretch>
                            <a:fillRect/>
                          </a:stretch>
                        </pic:blipFill>
                        <pic:spPr>
                          <a:xfrm>
                            <a:off x="0" y="0"/>
                            <a:ext cx="1783080" cy="2674620"/>
                          </a:xfrm>
                          <a:prstGeom prst="rect"/>
                        </pic:spPr>
                      </pic:pic>
                    </a:graphicData>
                  </a:graphic>
                </wp:inline>
              </w:drawing>
            </w:r>
          </w:p>
        </w:tc>
        <w:tc>
          <w:tcPr>
            <w:tcW w:type="dxa" w:w="7056"/>
            <w:tcMar>
              <w:top w:w="0" w:type="dxa"/>
              <w:start w:w="0" w:type="dxa"/>
              <w:bottom w:w="0" w:type="dxa"/>
              <w:end w:w="80" w:type="dxa"/>
            </w:tcMar>
          </w:tcPr>
          <w:p>
            <w:r>
              <w:rPr>
                <w:rFonts w:ascii="Liberation Serif" w:hAnsi="Liberation Serif"/>
                <w:b w:val="0"/>
                <w:i/>
                <w:color w:val="20221F"/>
                <w:sz w:val="36"/>
              </w:rPr>
              <w:t>Gastrospaces: A Philosophical Study of Where We Eat</w:t>
            </w:r>
          </w:p>
          <w:p>
            <w:pPr>
              <w:spacing w:line="274" w:lineRule="auto"/>
            </w:pPr>
            <w:r>
              <w:rPr>
                <w:rFonts w:ascii="Liberation Sans" w:hAnsi="Liberation Sans"/>
                <w:b w:val="0"/>
                <w:i w:val="0"/>
                <w:color w:val="41443F"/>
                <w:sz w:val="18"/>
              </w:rPr>
              <w:t>The book develops a systematic philosophical framework for understanding the spaces where eating takes place. Combining analytic political philosophy and ontology, it examines gastrospaces as sites of social interaction, justice and injustice, cultural identity, and everyday life. Through examples ranging from domestic kitchens to restaurants, schools, markets, and public spaces, it offers both a conceptual framework and a practical toolbox for scholars, policymakers, designers, and practitioners.</w:t>
            </w:r>
          </w:p>
          <w:p>
            <w:r>
              <w:rPr>
                <w:rFonts w:ascii="Liberation Sans" w:hAnsi="Liberation Sans"/>
                <w:b/>
                <w:i w:val="0"/>
                <w:color w:val="64675F"/>
                <w:sz w:val="16"/>
              </w:rPr>
              <w:t>Matteo Bonotti · Andrea Borghini · Nicola Piras · Beatrice Serini  |  Routledge, 2025</w:t>
            </w:r>
          </w:p>
        </w:tc>
      </w:tr>
    </w:tbl>
    <w:p>
      <w:pPr>
        <w:pStyle w:val="GSHeading2"/>
      </w:pPr>
      <w:r>
        <w:t>Research &amp; resources</w:t>
      </w:r>
    </w:p>
    <w:p>
      <w:pPr>
        <w:pStyle w:val="GSBody"/>
        <w:spacing w:after="140"/>
      </w:pPr>
      <w:r>
        <w:rPr>
          <w:i w:val="0"/>
          <w:color w:val="41443F"/>
        </w:rPr>
        <w:t>The platform brings together work by the book’s authors and by a wider community of scholars, practitioners, designers, and organizations whose research helps develop, apply, or challenge the gastrospaces approach.</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3427"/>
        <w:gridCol w:w="3427"/>
        <w:gridCol w:w="3427"/>
      </w:tblGrid>
      <w:tr>
        <w:tc>
          <w:tcPr>
            <w:tcW w:type="dxa" w:w="3355"/>
            <w:shd w:fill="E5E7E2"/>
            <w:tcMar>
              <w:top w:w="130" w:type="dxa"/>
              <w:start w:w="140" w:type="dxa"/>
              <w:bottom w:w="140" w:type="dxa"/>
              <w:end w:w="140" w:type="dxa"/>
            </w:tcMar>
          </w:tcPr>
          <w:p>
            <w:pPr>
              <w:spacing w:after="240"/>
            </w:pPr>
            <w:r>
              <w:rPr>
                <w:rFonts w:ascii="Liberation Sans" w:hAnsi="Liberation Sans"/>
                <w:b/>
                <w:i w:val="0"/>
                <w:color w:val="6F765D"/>
                <w:sz w:val="17"/>
              </w:rPr>
              <w:t>01</w:t>
            </w:r>
          </w:p>
          <w:p>
            <w:pPr>
              <w:spacing w:after="120"/>
            </w:pPr>
            <w:r>
              <w:rPr>
                <w:rFonts w:ascii="Liberation Serif" w:hAnsi="Liberation Serif"/>
                <w:b w:val="0"/>
                <w:i w:val="0"/>
                <w:color w:val="20221F"/>
                <w:sz w:val="31"/>
              </w:rPr>
              <w:t>Core texts</w:t>
            </w:r>
          </w:p>
          <w:p>
            <w:pPr>
              <w:spacing w:after="0" w:line="276" w:lineRule="auto"/>
            </w:pPr>
            <w:r>
              <w:rPr>
                <w:rFonts w:ascii="Liberation Sans" w:hAnsi="Liberation Sans"/>
                <w:b w:val="0"/>
                <w:i w:val="0"/>
                <w:color w:val="41443F"/>
                <w:sz w:val="17"/>
              </w:rPr>
              <w:t>The book and papers that develop the concept and its philosophical foundations.</w:t>
            </w:r>
          </w:p>
        </w:tc>
        <w:tc>
          <w:tcPr>
            <w:tcW w:type="dxa" w:w="3355"/>
            <w:shd w:fill="E5E7E2"/>
            <w:tcMar>
              <w:top w:w="130" w:type="dxa"/>
              <w:start w:w="140" w:type="dxa"/>
              <w:bottom w:w="140" w:type="dxa"/>
              <w:end w:w="140" w:type="dxa"/>
            </w:tcMar>
          </w:tcPr>
          <w:p>
            <w:pPr>
              <w:spacing w:after="240"/>
            </w:pPr>
            <w:r>
              <w:rPr>
                <w:rFonts w:ascii="Liberation Sans" w:hAnsi="Liberation Sans"/>
                <w:b/>
                <w:i w:val="0"/>
                <w:color w:val="6F765D"/>
                <w:sz w:val="17"/>
              </w:rPr>
              <w:t>02</w:t>
            </w:r>
          </w:p>
          <w:p>
            <w:pPr>
              <w:spacing w:after="120"/>
            </w:pPr>
            <w:r>
              <w:rPr>
                <w:rFonts w:ascii="Liberation Serif" w:hAnsi="Liberation Serif"/>
                <w:b w:val="0"/>
                <w:i w:val="0"/>
                <w:color w:val="20221F"/>
                <w:sz w:val="31"/>
              </w:rPr>
              <w:t>Related scholarship</w:t>
            </w:r>
          </w:p>
          <w:p>
            <w:pPr>
              <w:spacing w:after="0" w:line="276" w:lineRule="auto"/>
            </w:pPr>
            <w:r>
              <w:rPr>
                <w:rFonts w:ascii="Liberation Sans" w:hAnsi="Liberation Sans"/>
                <w:b w:val="0"/>
                <w:i w:val="0"/>
                <w:color w:val="41443F"/>
                <w:sz w:val="17"/>
              </w:rPr>
              <w:t>Selected work on food, space, justice, culture, design, geography, and everyday life.</w:t>
            </w:r>
          </w:p>
        </w:tc>
        <w:tc>
          <w:tcPr>
            <w:tcW w:type="dxa" w:w="3370"/>
            <w:shd w:fill="DFE2D2"/>
            <w:tcMar>
              <w:top w:w="130" w:type="dxa"/>
              <w:start w:w="140" w:type="dxa"/>
              <w:bottom w:w="140" w:type="dxa"/>
              <w:end w:w="140" w:type="dxa"/>
            </w:tcMar>
          </w:tcPr>
          <w:p>
            <w:pPr>
              <w:spacing w:after="240"/>
            </w:pPr>
            <w:r>
              <w:rPr>
                <w:rFonts w:ascii="Liberation Sans" w:hAnsi="Liberation Sans"/>
                <w:b/>
                <w:i w:val="0"/>
                <w:color w:val="6F765D"/>
                <w:sz w:val="17"/>
              </w:rPr>
              <w:t>03</w:t>
            </w:r>
          </w:p>
          <w:p>
            <w:pPr>
              <w:spacing w:after="120"/>
            </w:pPr>
            <w:r>
              <w:rPr>
                <w:rFonts w:ascii="Liberation Serif" w:hAnsi="Liberation Serif"/>
                <w:b w:val="0"/>
                <w:i w:val="0"/>
                <w:color w:val="20221F"/>
                <w:sz w:val="31"/>
              </w:rPr>
              <w:t>Methods &amp; cases</w:t>
            </w:r>
          </w:p>
          <w:p>
            <w:pPr>
              <w:spacing w:after="0" w:line="276" w:lineRule="auto"/>
            </w:pPr>
            <w:r>
              <w:rPr>
                <w:rFonts w:ascii="Liberation Sans" w:hAnsi="Liberation Sans"/>
                <w:b w:val="0"/>
                <w:i w:val="0"/>
                <w:color w:val="41443F"/>
                <w:sz w:val="17"/>
              </w:rPr>
              <w:t>Mapping projects, datasets, ontologies, field studies, and policy or design tools.</w:t>
            </w:r>
          </w:p>
        </w:tc>
      </w:tr>
    </w:tbl>
    <w:p>
      <w:pPr>
        <w:pStyle w:val="GSHeading2"/>
      </w:pPr>
      <w:r>
        <w:t>Initial core-text list</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3427"/>
        <w:gridCol w:w="3427"/>
        <w:gridCol w:w="3427"/>
      </w:tblGrid>
      <w:tr>
        <w:tc>
          <w:tcPr>
            <w:tcW w:type="dxa" w:w="936"/>
            <w:shd w:fill="20221F"/>
            <w:tcMar>
              <w:top w:w="80" w:type="dxa"/>
              <w:start w:w="70" w:type="dxa"/>
              <w:bottom w:w="80" w:type="dxa"/>
              <w:end w:w="70" w:type="dxa"/>
            </w:tcMar>
          </w:tcPr>
          <w:p>
            <w:pPr>
              <w:spacing w:after="0" w:line="276" w:lineRule="auto"/>
              <w:jc w:val="left"/>
            </w:pPr>
            <w:r/>
            <w:r>
              <w:rPr>
                <w:rFonts w:ascii="Liberation Sans" w:hAnsi="Liberation Sans"/>
                <w:b/>
                <w:i w:val="0"/>
                <w:color w:val="FBFAF6"/>
                <w:sz w:val="15"/>
              </w:rPr>
              <w:t>YEAR</w:t>
            </w:r>
          </w:p>
        </w:tc>
        <w:tc>
          <w:tcPr>
            <w:tcW w:type="dxa" w:w="6696"/>
            <w:shd w:fill="20221F"/>
            <w:tcMar>
              <w:top w:w="80" w:type="dxa"/>
              <w:start w:w="70" w:type="dxa"/>
              <w:bottom w:w="80" w:type="dxa"/>
              <w:end w:w="70" w:type="dxa"/>
            </w:tcMar>
          </w:tcPr>
          <w:p>
            <w:pPr>
              <w:spacing w:after="0" w:line="276" w:lineRule="auto"/>
              <w:jc w:val="left"/>
            </w:pPr>
            <w:r/>
            <w:r>
              <w:rPr>
                <w:rFonts w:ascii="Liberation Sans" w:hAnsi="Liberation Sans"/>
                <w:b/>
                <w:i w:val="0"/>
                <w:color w:val="FBFAF6"/>
                <w:sz w:val="15"/>
              </w:rPr>
              <w:t>TITLE</w:t>
            </w:r>
          </w:p>
        </w:tc>
        <w:tc>
          <w:tcPr>
            <w:tcW w:type="dxa" w:w="2448"/>
            <w:shd w:fill="20221F"/>
            <w:tcMar>
              <w:top w:w="80" w:type="dxa"/>
              <w:start w:w="70" w:type="dxa"/>
              <w:bottom w:w="80" w:type="dxa"/>
              <w:end w:w="70" w:type="dxa"/>
            </w:tcMar>
          </w:tcPr>
          <w:p>
            <w:pPr>
              <w:spacing w:after="0" w:line="276" w:lineRule="auto"/>
              <w:jc w:val="left"/>
            </w:pPr>
            <w:r/>
            <w:r>
              <w:rPr>
                <w:rFonts w:ascii="Liberation Sans" w:hAnsi="Liberation Sans"/>
                <w:b/>
                <w:i w:val="0"/>
                <w:color w:val="FBFAF6"/>
                <w:sz w:val="15"/>
              </w:rPr>
              <w:t>VENUE</w:t>
            </w:r>
          </w:p>
        </w:tc>
      </w:tr>
      <w:tr>
        <w:trPr>
          <w:cantSplit/>
        </w:trPr>
        <w:tc>
          <w:tcPr>
            <w:tcW w:type="dxa" w:w="3427"/>
            <w:tcMar>
              <w:top w:w="78" w:type="dxa"/>
              <w:start w:w="75" w:type="dxa"/>
              <w:bottom w:w="78" w:type="dxa"/>
              <w:end w:w="75" w:type="dxa"/>
            </w:tcMar>
          </w:tcPr>
          <w:p>
            <w:pPr>
              <w:spacing w:after="0" w:line="276" w:lineRule="auto"/>
              <w:jc w:val="center"/>
            </w:pPr>
            <w:r/>
            <w:r>
              <w:rPr>
                <w:rFonts w:ascii="Liberation Sans" w:hAnsi="Liberation Sans"/>
                <w:b/>
                <w:i w:val="0"/>
                <w:color w:val="6F765D"/>
                <w:sz w:val="16"/>
              </w:rPr>
              <w:t>2023</w:t>
            </w:r>
          </w:p>
        </w:tc>
        <w:tc>
          <w:tcPr>
            <w:tcW w:type="dxa" w:w="3427"/>
            <w:tcMar>
              <w:top w:w="78" w:type="dxa"/>
              <w:start w:w="75" w:type="dxa"/>
              <w:bottom w:w="78" w:type="dxa"/>
              <w:end w:w="75" w:type="dxa"/>
            </w:tcMar>
          </w:tcPr>
          <w:p>
            <w:pPr>
              <w:spacing w:after="0" w:line="276" w:lineRule="auto"/>
              <w:jc w:val="left"/>
            </w:pPr>
            <w:r/>
            <w:r>
              <w:rPr>
                <w:rFonts w:ascii="Liberation Serif" w:hAnsi="Liberation Serif"/>
                <w:b w:val="0"/>
                <w:i w:val="0"/>
                <w:color w:val="20221F"/>
                <w:sz w:val="18"/>
              </w:rPr>
              <w:t>The Justice and Ontology of Gastrospaces</w:t>
            </w:r>
          </w:p>
        </w:tc>
        <w:tc>
          <w:tcPr>
            <w:tcW w:type="dxa" w:w="3427"/>
            <w:tcMar>
              <w:top w:w="78" w:type="dxa"/>
              <w:start w:w="75" w:type="dxa"/>
              <w:bottom w:w="78" w:type="dxa"/>
              <w:end w:w="75" w:type="dxa"/>
            </w:tcMar>
          </w:tcPr>
          <w:p>
            <w:pPr>
              <w:spacing w:after="0" w:line="276" w:lineRule="auto"/>
              <w:jc w:val="left"/>
            </w:pPr>
            <w:r/>
            <w:r>
              <w:rPr>
                <w:rFonts w:ascii="Liberation Sans" w:hAnsi="Liberation Sans"/>
                <w:b w:val="0"/>
                <w:i w:val="0"/>
                <w:color w:val="64675F"/>
                <w:sz w:val="15"/>
              </w:rPr>
              <w:t>Ethical Theory and Moral Practice</w:t>
            </w:r>
          </w:p>
        </w:tc>
      </w:tr>
      <w:tr>
        <w:trPr>
          <w:cantSplit/>
        </w:trPr>
        <w:tc>
          <w:tcPr>
            <w:tcW w:type="dxa" w:w="3427"/>
            <w:tcMar>
              <w:top w:w="78" w:type="dxa"/>
              <w:start w:w="75" w:type="dxa"/>
              <w:bottom w:w="78" w:type="dxa"/>
              <w:end w:w="75" w:type="dxa"/>
            </w:tcMar>
          </w:tcPr>
          <w:p>
            <w:pPr>
              <w:spacing w:after="0" w:line="276" w:lineRule="auto"/>
              <w:jc w:val="center"/>
            </w:pPr>
            <w:r/>
            <w:r>
              <w:rPr>
                <w:rFonts w:ascii="Liberation Sans" w:hAnsi="Liberation Sans"/>
                <w:b/>
                <w:i w:val="0"/>
                <w:color w:val="6F765D"/>
                <w:sz w:val="16"/>
              </w:rPr>
              <w:t>2022</w:t>
            </w:r>
          </w:p>
        </w:tc>
        <w:tc>
          <w:tcPr>
            <w:tcW w:type="dxa" w:w="3427"/>
            <w:tcMar>
              <w:top w:w="78" w:type="dxa"/>
              <w:start w:w="75" w:type="dxa"/>
              <w:bottom w:w="78" w:type="dxa"/>
              <w:end w:w="75" w:type="dxa"/>
            </w:tcMar>
          </w:tcPr>
          <w:p>
            <w:pPr>
              <w:spacing w:after="0" w:line="276" w:lineRule="auto"/>
              <w:jc w:val="left"/>
            </w:pPr>
            <w:r/>
            <w:r>
              <w:rPr>
                <w:rFonts w:ascii="Liberation Serif" w:hAnsi="Liberation Serif"/>
                <w:b w:val="0"/>
                <w:i w:val="0"/>
                <w:color w:val="20221F"/>
                <w:sz w:val="18"/>
              </w:rPr>
              <w:t>Learning from COVID-19: Public Justification and the Ontology of Everyday Life</w:t>
            </w:r>
          </w:p>
        </w:tc>
        <w:tc>
          <w:tcPr>
            <w:tcW w:type="dxa" w:w="3427"/>
            <w:tcMar>
              <w:top w:w="78" w:type="dxa"/>
              <w:start w:w="75" w:type="dxa"/>
              <w:bottom w:w="78" w:type="dxa"/>
              <w:end w:w="75" w:type="dxa"/>
            </w:tcMar>
          </w:tcPr>
          <w:p>
            <w:pPr>
              <w:spacing w:after="0" w:line="276" w:lineRule="auto"/>
              <w:jc w:val="left"/>
            </w:pPr>
            <w:r/>
            <w:r>
              <w:rPr>
                <w:rFonts w:ascii="Liberation Sans" w:hAnsi="Liberation Sans"/>
                <w:b w:val="0"/>
                <w:i w:val="0"/>
                <w:color w:val="64675F"/>
                <w:sz w:val="15"/>
              </w:rPr>
              <w:t>Social Theory and Practice</w:t>
            </w:r>
          </w:p>
        </w:tc>
      </w:tr>
      <w:tr>
        <w:trPr>
          <w:cantSplit/>
        </w:trPr>
        <w:tc>
          <w:tcPr>
            <w:tcW w:type="dxa" w:w="3427"/>
            <w:tcMar>
              <w:top w:w="78" w:type="dxa"/>
              <w:start w:w="75" w:type="dxa"/>
              <w:bottom w:w="78" w:type="dxa"/>
              <w:end w:w="75" w:type="dxa"/>
            </w:tcMar>
          </w:tcPr>
          <w:p>
            <w:pPr>
              <w:spacing w:after="0" w:line="276" w:lineRule="auto"/>
              <w:jc w:val="center"/>
            </w:pPr>
            <w:r/>
            <w:r>
              <w:rPr>
                <w:rFonts w:ascii="Liberation Sans" w:hAnsi="Liberation Sans"/>
                <w:b/>
                <w:i w:val="0"/>
                <w:color w:val="6F765D"/>
                <w:sz w:val="16"/>
              </w:rPr>
              <w:t>2022</w:t>
            </w:r>
          </w:p>
        </w:tc>
        <w:tc>
          <w:tcPr>
            <w:tcW w:type="dxa" w:w="3427"/>
            <w:tcMar>
              <w:top w:w="78" w:type="dxa"/>
              <w:start w:w="75" w:type="dxa"/>
              <w:bottom w:w="78" w:type="dxa"/>
              <w:end w:w="75" w:type="dxa"/>
            </w:tcMar>
          </w:tcPr>
          <w:p>
            <w:pPr>
              <w:spacing w:after="0" w:line="276" w:lineRule="auto"/>
              <w:jc w:val="left"/>
            </w:pPr>
            <w:r/>
            <w:r>
              <w:rPr>
                <w:rFonts w:ascii="Liberation Serif" w:hAnsi="Liberation Serif"/>
                <w:b w:val="0"/>
                <w:i w:val="0"/>
                <w:color w:val="20221F"/>
                <w:sz w:val="18"/>
              </w:rPr>
              <w:t>Eating Local: A Philosophical Toolbox</w:t>
            </w:r>
          </w:p>
        </w:tc>
        <w:tc>
          <w:tcPr>
            <w:tcW w:type="dxa" w:w="3427"/>
            <w:tcMar>
              <w:top w:w="78" w:type="dxa"/>
              <w:start w:w="75" w:type="dxa"/>
              <w:bottom w:w="78" w:type="dxa"/>
              <w:end w:w="75" w:type="dxa"/>
            </w:tcMar>
          </w:tcPr>
          <w:p>
            <w:pPr>
              <w:spacing w:after="0" w:line="276" w:lineRule="auto"/>
              <w:jc w:val="left"/>
            </w:pPr>
            <w:r/>
            <w:r>
              <w:rPr>
                <w:rFonts w:ascii="Liberation Sans" w:hAnsi="Liberation Sans"/>
                <w:b w:val="0"/>
                <w:i w:val="0"/>
                <w:color w:val="64675F"/>
                <w:sz w:val="15"/>
              </w:rPr>
              <w:t>The Philosophical Quarterly</w:t>
            </w:r>
          </w:p>
        </w:tc>
      </w:tr>
      <w:tr>
        <w:trPr>
          <w:cantSplit/>
        </w:trPr>
        <w:tc>
          <w:tcPr>
            <w:tcW w:type="dxa" w:w="3427"/>
            <w:tcMar>
              <w:top w:w="78" w:type="dxa"/>
              <w:start w:w="75" w:type="dxa"/>
              <w:bottom w:w="78" w:type="dxa"/>
              <w:end w:w="75" w:type="dxa"/>
            </w:tcMar>
          </w:tcPr>
          <w:p>
            <w:pPr>
              <w:spacing w:after="0" w:line="276" w:lineRule="auto"/>
              <w:jc w:val="center"/>
            </w:pPr>
            <w:r/>
            <w:r>
              <w:rPr>
                <w:rFonts w:ascii="Liberation Sans" w:hAnsi="Liberation Sans"/>
                <w:b/>
                <w:i w:val="0"/>
                <w:color w:val="6F765D"/>
                <w:sz w:val="16"/>
              </w:rPr>
              <w:t>2022</w:t>
            </w:r>
          </w:p>
        </w:tc>
        <w:tc>
          <w:tcPr>
            <w:tcW w:type="dxa" w:w="3427"/>
            <w:tcMar>
              <w:top w:w="78" w:type="dxa"/>
              <w:start w:w="75" w:type="dxa"/>
              <w:bottom w:w="78" w:type="dxa"/>
              <w:end w:w="75" w:type="dxa"/>
            </w:tcMar>
          </w:tcPr>
          <w:p>
            <w:pPr>
              <w:spacing w:after="0" w:line="276" w:lineRule="auto"/>
              <w:jc w:val="left"/>
            </w:pPr>
            <w:r/>
            <w:r>
              <w:rPr>
                <w:rFonts w:ascii="Liberation Serif" w:hAnsi="Liberation Serif"/>
                <w:b w:val="0"/>
                <w:i w:val="0"/>
                <w:color w:val="20221F"/>
                <w:sz w:val="18"/>
              </w:rPr>
              <w:t>Cooking and Dining as Forms of Public Art</w:t>
            </w:r>
          </w:p>
        </w:tc>
        <w:tc>
          <w:tcPr>
            <w:tcW w:type="dxa" w:w="3427"/>
            <w:tcMar>
              <w:top w:w="78" w:type="dxa"/>
              <w:start w:w="75" w:type="dxa"/>
              <w:bottom w:w="78" w:type="dxa"/>
              <w:end w:w="75" w:type="dxa"/>
            </w:tcMar>
          </w:tcPr>
          <w:p>
            <w:pPr>
              <w:spacing w:after="0" w:line="276" w:lineRule="auto"/>
              <w:jc w:val="left"/>
            </w:pPr>
            <w:r/>
            <w:r>
              <w:rPr>
                <w:rFonts w:ascii="Liberation Sans" w:hAnsi="Liberation Sans"/>
                <w:b w:val="0"/>
                <w:i w:val="0"/>
                <w:color w:val="64675F"/>
                <w:sz w:val="15"/>
              </w:rPr>
              <w:t>Food, Culture &amp; Society</w:t>
            </w:r>
          </w:p>
        </w:tc>
      </w:tr>
    </w:tbl>
    <w:p>
      <w:pPr>
        <w:spacing w:before="100" w:after="0"/>
      </w:pPr>
      <w:r>
        <w:rPr>
          <w:rFonts w:ascii="Liberation Sans" w:hAnsi="Liberation Sans"/>
          <w:b/>
          <w:i w:val="0"/>
          <w:color w:val="6F765D"/>
          <w:sz w:val="16"/>
        </w:rPr>
        <w:t xml:space="preserve">Curation rule: </w:t>
      </w:r>
      <w:r>
        <w:rPr>
          <w:rFonts w:ascii="Liberation Sans" w:hAnsi="Liberation Sans"/>
          <w:b w:val="0"/>
          <w:i/>
          <w:color w:val="64675F"/>
          <w:sz w:val="16"/>
        </w:rPr>
        <w:t>project materials are identified as core texts; external resources are added with full attribution and links. A discreet “Suggest a resource” invitation can support visibility and connections.</w:t>
      </w:r>
    </w:p>
    <w:p>
      <w:r>
        <w:br w:type="page"/>
      </w:r>
    </w:p>
    <w:p>
      <w:pPr>
        <w:pStyle w:val="GSLabel"/>
      </w:pPr>
      <w:r>
        <w:t>08 / GALLERY AND CONTENT MANAGEMENT</w:t>
      </w:r>
    </w:p>
    <w:p>
      <w:pPr>
        <w:pStyle w:val="GSHeading1"/>
      </w:pPr>
      <w:r>
        <w:t>A growing archive, clearly curated.</w:t>
      </w:r>
    </w:p>
    <w:p>
      <w:pPr>
        <w:pStyle w:val="GSBody"/>
        <w:spacing w:after="140"/>
      </w:pPr>
      <w:r>
        <w:rPr>
          <w:i w:val="0"/>
          <w:color w:val="41443F"/>
        </w:rPr>
        <w:t>Gallery resta una sezione utile, ma diventa parte della funzione curatoriale della piattaforma. Può ospitare non solo fotografie, ma anche mappe, field notes, diagrammi, talk, workshop, eventi e materiali pubblici.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41"/>
        <w:gridCol w:w="5141"/>
      </w:tblGrid>
      <w:tr>
        <w:tc>
          <w:tcPr>
            <w:tcW w:type="dxa" w:w="6552"/>
          </w:tcPr>
          <w:p>
            <w:pPr>
              <w:jc w:val="center"/>
            </w:pPr>
            <w:r>
              <w:drawing>
                <wp:inline xmlns:a="http://schemas.openxmlformats.org/drawingml/2006/main" xmlns:pic="http://schemas.openxmlformats.org/drawingml/2006/picture">
                  <wp:extent cx="4069080" cy="2786896"/>
                  <wp:docPr id="6" name="Picture 6"/>
                  <wp:cNvGraphicFramePr>
                    <a:graphicFrameLocks noChangeAspect="1"/>
                  </wp:cNvGraphicFramePr>
                  <a:graphic>
                    <a:graphicData uri="http://schemas.openxmlformats.org/drawingml/2006/picture">
                      <pic:pic>
                        <pic:nvPicPr>
                          <pic:cNvPr id="0" name="_clean_06_gallery.png"/>
                          <pic:cNvPicPr/>
                        </pic:nvPicPr>
                        <pic:blipFill>
                          <a:blip r:embed="rId14"/>
                          <a:stretch>
                            <a:fillRect/>
                          </a:stretch>
                        </pic:blipFill>
                        <pic:spPr>
                          <a:xfrm>
                            <a:off x="0" y="0"/>
                            <a:ext cx="4069080" cy="2786896"/>
                          </a:xfrm>
                          <a:prstGeom prst="rect"/>
                        </pic:spPr>
                      </pic:pic>
                    </a:graphicData>
                  </a:graphic>
                </wp:inline>
              </w:drawing>
            </w:r>
          </w:p>
        </w:tc>
        <w:tc>
          <w:tcPr>
            <w:tcW w:type="dxa" w:w="3528"/>
          </w:tcPr>
          <w:p>
            <w:r>
              <w:rPr>
                <w:rFonts w:ascii="Liberation Serif" w:hAnsi="Liberation Serif"/>
                <w:b w:val="0"/>
                <w:i w:val="0"/>
                <w:color w:val="20221F"/>
                <w:sz w:val="32"/>
              </w:rPr>
              <w:t>Gallery copy</w:t>
            </w:r>
          </w:p>
          <w:p>
            <w:pPr>
              <w:spacing w:line="276" w:lineRule="auto"/>
            </w:pPr>
            <w:r>
              <w:rPr>
                <w:rFonts w:ascii="Liberation Sans" w:hAnsi="Liberation Sans"/>
                <w:b w:val="0"/>
                <w:i w:val="0"/>
                <w:color w:val="41443F"/>
                <w:sz w:val="18"/>
              </w:rPr>
              <w:t>Maps, field observations, talks, workshops, public events, and images of gastrospaces. Materials may come from the project or from contributors and will be clearly attributed.</w:t>
            </w:r>
          </w:p>
          <w:p>
            <w:pPr>
              <w:spacing w:before="180"/>
            </w:pPr>
            <w:r>
              <w:rPr>
                <w:rFonts w:ascii="Liberation Sans" w:hAnsi="Liberation Sans"/>
                <w:b/>
                <w:i w:val="0"/>
                <w:color w:val="6F765D"/>
                <w:sz w:val="16"/>
              </w:rPr>
              <w:t>Suggested opening categories</w:t>
            </w:r>
          </w:p>
          <w:p>
            <w:pPr>
              <w:spacing w:after="40"/>
            </w:pPr>
            <w:r>
              <w:rPr>
                <w:rFonts w:ascii="Liberation Sans" w:hAnsi="Liberation Sans"/>
                <w:b w:val="0"/>
                <w:i w:val="0"/>
                <w:color w:val="41443F"/>
                <w:sz w:val="17"/>
              </w:rPr>
              <w:t>• Places / field observations</w:t>
            </w:r>
          </w:p>
          <w:p>
            <w:pPr>
              <w:spacing w:after="40"/>
            </w:pPr>
            <w:r>
              <w:rPr>
                <w:rFonts w:ascii="Liberation Sans" w:hAnsi="Liberation Sans"/>
                <w:b w:val="0"/>
                <w:i w:val="0"/>
                <w:color w:val="41443F"/>
                <w:sz w:val="17"/>
              </w:rPr>
              <w:t>• Systems / maps and data</w:t>
            </w:r>
          </w:p>
          <w:p>
            <w:pPr>
              <w:spacing w:after="40"/>
            </w:pPr>
            <w:r>
              <w:rPr>
                <w:rFonts w:ascii="Liberation Sans" w:hAnsi="Liberation Sans"/>
                <w:b w:val="0"/>
                <w:i w:val="0"/>
                <w:color w:val="41443F"/>
                <w:sz w:val="17"/>
              </w:rPr>
              <w:t>• Conversations / talks and events</w:t>
            </w:r>
          </w:p>
        </w:tc>
      </w:tr>
    </w:tbl>
    <w:p>
      <w:pPr>
        <w:pStyle w:val="GSHeading2"/>
      </w:pPr>
      <w:r>
        <w:t>Public-facing attribution</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5141"/>
        <w:gridCol w:w="5141"/>
      </w:tblGrid>
      <w:tr>
        <w:tc>
          <w:tcPr>
            <w:tcW w:type="dxa" w:w="5040"/>
            <w:shd w:fill="DFE2D2"/>
            <w:tcMar>
              <w:top w:w="130" w:type="dxa"/>
              <w:start w:w="140" w:type="dxa"/>
              <w:bottom w:w="140" w:type="dxa"/>
              <w:end w:w="140" w:type="dxa"/>
            </w:tcMar>
          </w:tcPr>
          <w:p>
            <w:pPr>
              <w:spacing w:after="240"/>
            </w:pPr>
            <w:r>
              <w:rPr>
                <w:rFonts w:ascii="Liberation Sans" w:hAnsi="Liberation Sans"/>
                <w:b/>
                <w:i w:val="0"/>
                <w:color w:val="6F765D"/>
                <w:sz w:val="17"/>
              </w:rPr>
              <w:t>01</w:t>
            </w:r>
          </w:p>
          <w:p>
            <w:pPr>
              <w:spacing w:after="120"/>
            </w:pPr>
            <w:r>
              <w:rPr>
                <w:rFonts w:ascii="Liberation Serif" w:hAnsi="Liberation Serif"/>
                <w:b w:val="0"/>
                <w:i w:val="0"/>
                <w:color w:val="20221F"/>
                <w:sz w:val="31"/>
              </w:rPr>
              <w:t>Content management &amp; curation</w:t>
            </w:r>
          </w:p>
          <w:p>
            <w:pPr>
              <w:spacing w:after="0" w:line="276" w:lineRule="auto"/>
            </w:pPr>
            <w:r>
              <w:rPr>
                <w:rFonts w:ascii="Liberation Sans" w:hAnsi="Liberation Sans"/>
                <w:b w:val="0"/>
                <w:i w:val="0"/>
                <w:color w:val="41443F"/>
                <w:sz w:val="17"/>
              </w:rPr>
              <w:t>Andrea Borghini · Nicola Piras · Beatrice Serini. The platform curates research and materials from a wider field.</w:t>
            </w:r>
          </w:p>
        </w:tc>
        <w:tc>
          <w:tcPr>
            <w:tcW w:type="dxa" w:w="5040"/>
            <w:shd w:fill="E5E7E2"/>
            <w:tcMar>
              <w:top w:w="130" w:type="dxa"/>
              <w:start w:w="140" w:type="dxa"/>
              <w:bottom w:w="140" w:type="dxa"/>
              <w:end w:w="140" w:type="dxa"/>
            </w:tcMar>
          </w:tcPr>
          <w:p>
            <w:pPr>
              <w:spacing w:after="240"/>
            </w:pPr>
            <w:r>
              <w:rPr>
                <w:rFonts w:ascii="Liberation Sans" w:hAnsi="Liberation Sans"/>
                <w:b/>
                <w:i w:val="0"/>
                <w:color w:val="6F765D"/>
                <w:sz w:val="17"/>
              </w:rPr>
              <w:t>02</w:t>
            </w:r>
          </w:p>
          <w:p>
            <w:pPr>
              <w:spacing w:after="120"/>
            </w:pPr>
            <w:r>
              <w:rPr>
                <w:rFonts w:ascii="Liberation Serif" w:hAnsi="Liberation Serif"/>
                <w:b w:val="0"/>
                <w:i w:val="0"/>
                <w:color w:val="20221F"/>
                <w:sz w:val="31"/>
              </w:rPr>
              <w:t>The Routledge volume</w:t>
            </w:r>
          </w:p>
          <w:p>
            <w:pPr>
              <w:spacing w:after="0" w:line="276" w:lineRule="auto"/>
            </w:pPr>
            <w:r>
              <w:rPr>
                <w:rFonts w:ascii="Liberation Sans" w:hAnsi="Liberation Sans"/>
                <w:b w:val="0"/>
                <w:i w:val="0"/>
                <w:color w:val="41443F"/>
                <w:sz w:val="17"/>
              </w:rPr>
              <w:t>Matteo Bonotti · Andrea Borghini · Nicola Piras · Beatrice Serini.</w:t>
            </w:r>
          </w:p>
        </w:tc>
      </w:tr>
    </w:tbl>
    <w:p>
      <w:pPr>
        <w:pStyle w:val="GSQuote"/>
      </w:pPr>
      <w:r>
        <w:t>“Towards a shared language of where we eat.”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82"/>
            <w:shd w:fill="DFE2D2"/>
            <w:tcMar>
              <w:top w:w="160" w:type="dxa"/>
              <w:start w:w="190" w:type="dxa"/>
              <w:bottom w:w="150" w:type="dxa"/>
              <w:end w:w="190" w:type="dxa"/>
            </w:tcMar>
            <w:tcBorders>
              <w:left w:val="single" w:sz="18" w:color="6F765D"/>
            </w:tcBorders>
          </w:tcPr>
          <w:p>
            <w:pPr>
              <w:spacing w:after="100"/>
            </w:pPr>
            <w:r>
              <w:rPr>
                <w:rFonts w:ascii="Liberation Serif" w:hAnsi="Liberation Serif"/>
                <w:b/>
                <w:i w:val="0"/>
                <w:color w:val="20221F"/>
                <w:sz w:val="28"/>
              </w:rPr>
              <w:t>Why this distinction works</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Evita di presentare la piattaforma come esclusivamente proprietaria o autoreferenziale.</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Conserva una chiara responsabilità editoriale: qualcuno seleziona, verifica, organizza e aggiorna i materiali.</w:t>
            </w:r>
          </w:p>
          <w:p>
            <w:pPr>
              <w:spacing w:after="40"/>
              <w:ind w:left="29"/>
            </w:pPr>
            <w:r>
              <w:rPr>
                <w:rFonts w:ascii="Liberation Sans" w:hAnsi="Liberation Sans"/>
                <w:b/>
                <w:i w:val="0"/>
                <w:color w:val="6F765D"/>
                <w:sz w:val="19"/>
              </w:rPr>
              <w:t xml:space="preserve">• </w:t>
            </w:r>
            <w:r>
              <w:rPr>
                <w:rFonts w:ascii="Liberation Sans" w:hAnsi="Liberation Sans"/>
                <w:b w:val="0"/>
                <w:i w:val="0"/>
                <w:color w:val="41443F"/>
                <w:sz w:val="19"/>
              </w:rPr>
              <w:t>Rende possibile coinvolgere Matteo, altri studiosi, stakeholder e partner senza doverli definire tutti come membri di un unico team.</w:t>
            </w:r>
          </w:p>
        </w:tc>
      </w:tr>
    </w:tbl>
    <w:p>
      <w:pPr>
        <w:spacing w:after="0"/>
      </w:pPr>
    </w:p>
    <w:p>
      <w:r>
        <w:br w:type="page"/>
      </w:r>
    </w:p>
    <w:p>
      <w:pPr>
        <w:pStyle w:val="GSLabel"/>
      </w:pPr>
      <w:r>
        <w:t>09 / VISUAL OVERVIEW AND LAUNCH CHECKLIST</w:t>
      </w:r>
    </w:p>
    <w:p>
      <w:pPr>
        <w:pStyle w:val="GSHeading1"/>
      </w:pPr>
      <w:r>
        <w:t>The revised one-page sequence</w:t>
      </w:r>
    </w:p>
    <w:p>
      <w:pPr>
        <w:spacing w:after="160"/>
        <w:jc w:val="center"/>
      </w:pPr>
      <w:r>
        <w:drawing>
          <wp:inline xmlns:a="http://schemas.openxmlformats.org/drawingml/2006/main" xmlns:pic="http://schemas.openxmlformats.org/drawingml/2006/picture">
            <wp:extent cx="4315968" cy="5831352"/>
            <wp:docPr id="7" name="Picture 7"/>
            <wp:cNvGraphicFramePr>
              <a:graphicFrameLocks noChangeAspect="1"/>
            </wp:cNvGraphicFramePr>
            <a:graphic>
              <a:graphicData uri="http://schemas.openxmlformats.org/drawingml/2006/picture">
                <pic:pic>
                  <pic:nvPicPr>
                    <pic:cNvPr id="0" name="Gastrospaces_v3_section_overview.png"/>
                    <pic:cNvPicPr/>
                  </pic:nvPicPr>
                  <pic:blipFill>
                    <a:blip r:embed="rId15"/>
                    <a:stretch>
                      <a:fillRect/>
                    </a:stretch>
                  </pic:blipFill>
                  <pic:spPr>
                    <a:xfrm>
                      <a:off x="0" y="0"/>
                      <a:ext cx="4315968" cy="5831352"/>
                    </a:xfrm>
                    <a:prstGeom prst="rect"/>
                  </pic:spPr>
                </pic:pic>
              </a:graphicData>
            </a:graphic>
          </wp:inline>
        </w:drawing>
      </w:r>
    </w:p>
    <w:p>
      <w:pPr>
        <w:pStyle w:val="GSHeading2"/>
      </w:pPr>
      <w:r>
        <w:t>Minimum decisions for the next iteration</w:t>
      </w:r>
    </w:p>
    <w:tbl>
      <w:tblPr>
        <w:tblW w:type="auto" w:w="0"/>
        <w:jc w:val="center"/>
        <w:tblLayout w:type="fixed"/>
        <w:tblLook w:firstColumn="1" w:firstRow="1" w:lastColumn="0" w:lastRow="0" w:noHBand="0" w:noVBand="1" w:val="04A0"/>
        <w:tblBorders>
          <w:top w:val="single" w:sz="4" w:space="0" w:color="C9CBC3"/>
          <w:left w:val="single" w:sz="4" w:space="0" w:color="C9CBC3"/>
          <w:bottom w:val="single" w:sz="4" w:space="0" w:color="C9CBC3"/>
          <w:right w:val="single" w:sz="4" w:space="0" w:color="C9CBC3"/>
          <w:insideH w:val="single" w:sz="4" w:space="0" w:color="C9CBC3"/>
          <w:insideV w:val="single" w:sz="4" w:space="0" w:color="C9CBC3"/>
        </w:tblBorders>
      </w:tblPr>
      <w:tblGrid>
        <w:gridCol w:w="5141"/>
        <w:gridCol w:w="5141"/>
      </w:tblGrid>
      <w:tr>
        <w:tc>
          <w:tcPr>
            <w:tcW w:type="dxa" w:w="5040"/>
            <w:shd w:fill="E5E7E2"/>
            <w:tcMar>
              <w:top w:w="130" w:type="dxa"/>
              <w:start w:w="150" w:type="dxa"/>
              <w:bottom w:w="130" w:type="dxa"/>
              <w:end w:w="150" w:type="dxa"/>
            </w:tcMar>
          </w:tcPr>
          <w:p>
            <w:r>
              <w:rPr>
                <w:rFonts w:ascii="Liberation Sans" w:hAnsi="Liberation Sans"/>
                <w:b/>
                <w:i w:val="0"/>
                <w:color w:val="6F765D"/>
                <w:sz w:val="16"/>
              </w:rPr>
              <w:t>CONTENT &amp; CURATION</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Confermare la formula pubblica “Content management &amp; curation”.</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Decidere se Matteo avrà anche un ruolo continuativo nella curatela del sito.</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Selezionare 4-8 risorse esterne per il lancio e definire criteri di attribuzione.</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Scegliere 2-3 esempi concreti di sistemi/mappature da mostrare.</w:t>
            </w:r>
          </w:p>
        </w:tc>
        <w:tc>
          <w:tcPr>
            <w:tcW w:type="dxa" w:w="5040"/>
            <w:shd w:fill="DFE2D2"/>
            <w:tcMar>
              <w:top w:w="130" w:type="dxa"/>
              <w:start w:w="150" w:type="dxa"/>
              <w:bottom w:w="130" w:type="dxa"/>
              <w:end w:w="150" w:type="dxa"/>
            </w:tcMar>
          </w:tcPr>
          <w:p>
            <w:r>
              <w:rPr>
                <w:rFonts w:ascii="Liberation Sans" w:hAnsi="Liberation Sans"/>
                <w:b/>
                <w:i w:val="0"/>
                <w:color w:val="6F765D"/>
                <w:sz w:val="16"/>
              </w:rPr>
              <w:t>ASSETS &amp; BUILD</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Caricare 3-5 immagini o visual references nella cartella condivisa.</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Definire dominio, contatto e procedura “Suggest a resource”.</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Costruire filtri semplici per core texts, related scholarship e methods &amp; cases.</w:t>
            </w:r>
          </w:p>
          <w:p>
            <w:pPr>
              <w:spacing w:after="80" w:line="269" w:lineRule="auto"/>
            </w:pPr>
            <w:r>
              <w:rPr>
                <w:rFonts w:ascii="Liberation Sans" w:hAnsi="Liberation Sans"/>
                <w:b/>
                <w:i w:val="0"/>
                <w:color w:val="6F765D"/>
                <w:sz w:val="18"/>
              </w:rPr>
              <w:t xml:space="preserve">• </w:t>
            </w:r>
            <w:r>
              <w:rPr>
                <w:rFonts w:ascii="Liberation Sans" w:hAnsi="Liberation Sans"/>
                <w:b w:val="0"/>
                <w:i w:val="0"/>
                <w:color w:val="41443F"/>
                <w:sz w:val="17"/>
              </w:rPr>
              <w:t>Testare accessibilità, responsive design e manutenzione editoriale.</w:t>
            </w:r>
          </w:p>
        </w:tc>
      </w:tr>
    </w:tbl>
    <w:sectPr w:rsidR="00FC693F" w:rsidRPr="0006063C" w:rsidSect="00034616">
      <w:footerReference w:type="default" r:id="rId9"/>
      <w:pgSz w:w="12240" w:h="15840"/>
      <w:pgMar w:top="835" w:right="979" w:bottom="792"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27"/>
      <w:gridCol w:w="3427"/>
      <w:gridCol w:w="3427"/>
    </w:tblGrid>
    <w:tr>
      <w:tc>
        <w:tcPr>
          <w:tcW w:type="dxa" w:w="3888"/>
          <w:tcMar>
            <w:top w:w="30" w:type="dxa"/>
            <w:start w:w="0" w:type="dxa"/>
            <w:bottom w:w="0" w:type="dxa"/>
            <w:end w:w="0" w:type="dxa"/>
          </w:tcMar>
        </w:tcPr>
        <w:p>
          <w:pPr>
            <w:spacing w:after="0" w:line="276" w:lineRule="auto"/>
            <w:jc w:val="left"/>
          </w:pPr>
          <w:r/>
          <w:r>
            <w:rPr>
              <w:rFonts w:ascii="Liberation Sans" w:hAnsi="Liberation Sans"/>
              <w:b/>
              <w:i w:val="0"/>
              <w:color w:val="64675F"/>
              <w:sz w:val="14"/>
            </w:rPr>
            <w:t>GASTROSPACES / OPEN PLATFORM PROPOSAL</w:t>
          </w:r>
        </w:p>
      </w:tc>
      <w:tc>
        <w:tcPr>
          <w:tcW w:type="dxa" w:w="2880"/>
          <w:tcMar>
            <w:top w:w="30" w:type="dxa"/>
            <w:start w:w="0" w:type="dxa"/>
            <w:bottom w:w="0" w:type="dxa"/>
            <w:end w:w="0" w:type="dxa"/>
          </w:tcMar>
        </w:tcPr>
        <w:p>
          <w:pPr>
            <w:spacing w:after="0" w:line="276" w:lineRule="auto"/>
            <w:jc w:val="center"/>
          </w:pPr>
          <w:r/>
          <w:r>
            <w:rPr>
              <w:rFonts w:ascii="Liberation Sans" w:hAnsi="Liberation Sans"/>
              <w:b/>
              <w:i w:val="0"/>
              <w:color w:val="64675F"/>
              <w:sz w:val="14"/>
            </w:rPr>
            <w:t>29 JULY 2026</w:t>
          </w:r>
        </w:p>
      </w:tc>
      <w:tc>
        <w:tcPr>
          <w:tcW w:type="dxa" w:w="3514"/>
          <w:tcMar>
            <w:top w:w="30" w:type="dxa"/>
            <w:start w:w="0" w:type="dxa"/>
            <w:bottom w:w="0" w:type="dxa"/>
            <w:end w:w="0" w:type="dxa"/>
          </w:tcMar>
        </w:tcPr>
        <w:p>
          <w:pPr>
            <w:jc w:val="right"/>
          </w:pPr>
          <w:r>
            <w:rPr>
              <w:rFonts w:ascii="Liberation Sans" w:hAnsi="Liberation Sans"/>
              <w:b/>
              <w:i w:val="0"/>
              <w:color w:val="64675F"/>
              <w:sz w:val="14"/>
            </w:rPr>
            <w:t xml:space="preserve">WORKING DOCUMENT ·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ans" w:hAnsi="Liberation Sans"/>
      <w:color w:val="414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Label">
    <w:name w:val="GS Label"/>
    <w:pPr>
      <w:keepNext/>
      <w:spacing w:before="0" w:after="140"/>
    </w:pPr>
    <w:rPr>
      <w:rFonts w:ascii="Liberation Sans" w:hAnsi="Liberation Sans"/>
      <w:b/>
      <w:caps/>
      <w:color w:val="6F765D"/>
      <w:sz w:val="16"/>
    </w:rPr>
  </w:style>
  <w:style w:type="paragraph" w:customStyle="1" w:styleId="GSHeading1">
    <w:name w:val="GS Heading 1"/>
    <w:pPr>
      <w:keepNext/>
      <w:spacing w:before="0" w:after="200" w:line="228" w:lineRule="auto"/>
    </w:pPr>
    <w:rPr>
      <w:rFonts w:ascii="Liberation Serif" w:hAnsi="Liberation Serif"/>
      <w:b w:val="0"/>
      <w:color w:val="20221F"/>
      <w:sz w:val="52"/>
    </w:rPr>
  </w:style>
  <w:style w:type="paragraph" w:customStyle="1" w:styleId="GSHeading2">
    <w:name w:val="GS Heading 2"/>
    <w:pPr>
      <w:keepNext/>
      <w:spacing w:before="200" w:after="100"/>
    </w:pPr>
    <w:rPr>
      <w:rFonts w:ascii="Liberation Serif" w:hAnsi="Liberation Serif"/>
      <w:b w:val="0"/>
      <w:color w:val="20221F"/>
      <w:sz w:val="34"/>
    </w:rPr>
  </w:style>
  <w:style w:type="paragraph" w:customStyle="1" w:styleId="GSBody">
    <w:name w:val="GS Body"/>
    <w:pPr>
      <w:spacing w:after="140" w:line="283" w:lineRule="auto"/>
    </w:pPr>
    <w:rPr>
      <w:rFonts w:ascii="Liberation Sans" w:hAnsi="Liberation Sans"/>
      <w:color w:val="41443F"/>
      <w:sz w:val="20"/>
    </w:rPr>
  </w:style>
  <w:style w:type="paragraph" w:customStyle="1" w:styleId="GSQuote">
    <w:name w:val="GS Quote"/>
    <w:pPr>
      <w:keepNext/>
      <w:spacing w:before="140" w:after="100"/>
      <w:ind w:left="259"/>
    </w:pPr>
    <w:rPr>
      <w:rFonts w:ascii="Liberation Serif" w:hAnsi="Liberation Serif"/>
      <w:i/>
      <w:color w:val="20221F"/>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Gastrospaces - Open Platform Homepage Proposal v3</dc:title>
  <dc:subject>Website direction, copy deck, and content architecture</dc:subject>
  <dc:creator>Andrea Borghini, Nicola Piras, Beatrice Serini</dc:creator>
  <cp:keywords>Gastrospaces, website, open research platform, systems, mapping, content curation</cp:keywords>
  <dc:description>Revised proposal, 29 July 2026</dc:description>
  <cp:lastModifiedBy/>
  <cp:revision>1</cp:revision>
  <dcterms:created xsi:type="dcterms:W3CDTF">2013-12-23T23:15:00Z</dcterms:created>
  <dcterms:modified xsi:type="dcterms:W3CDTF">2013-12-23T23:15:00Z</dcterms:modified>
  <cp:category/>
</cp:coreProperties>
</file>