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2.3.1: SAS -  Simple Inference</w:t>
      </w:r>
    </w:p>
    <w:p>
      <w:pPr>
        <w:pStyle w:val="Normal"/>
        <w:rPr/>
      </w:pPr>
      <w:r>
        <w:rPr/>
        <w:t>Dr. Bean – Stat 5100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Example</w:t>
      </w:r>
      <w:r>
        <w:rPr/>
        <w:t>: (The Toluca Company data from Chapter 1 &amp; Chapter 3 Handouts)</w:t>
      </w:r>
    </w:p>
    <w:p>
      <w:pPr>
        <w:pStyle w:val="Normal"/>
        <w:rPr/>
      </w:pPr>
      <w:r>
        <w:rPr/>
        <w:t xml:space="preserve">We really want to say something about </w:t>
      </w:r>
      <w:r>
        <w:rPr>
          <w:u w:val="single"/>
        </w:rPr>
        <w:t>how</w:t>
      </w:r>
      <w:r>
        <w:rPr/>
        <w:t xml:space="preserve"> lotsize affects workhours – does it?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>/*********************************************************/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>/* Input Toluca data (recall Ch. 1 example) */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hd w:fill="FFFFFF" w:val="clear"/>
        </w:rPr>
        <w:t>data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toluca; </w:t>
      </w:r>
      <w:r>
        <w:rPr>
          <w:rFonts w:cs="Courier New" w:ascii="Courier New" w:hAnsi="Courier New"/>
          <w:b/>
          <w:color w:val="0000FF"/>
          <w:shd w:fill="FFFFFF" w:val="clear"/>
        </w:rPr>
        <w:t>input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lotsize workhours @@; </w:t>
      </w:r>
      <w:r>
        <w:rPr>
          <w:rFonts w:cs="Courier New" w:ascii="Courier New" w:hAnsi="Courier New"/>
          <w:b/>
          <w:color w:val="0000FF"/>
          <w:shd w:fill="FFFFFF" w:val="clear"/>
        </w:rPr>
        <w:t>cards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C0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 xml:space="preserve">   </w:t>
      </w: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>80  399   30  121   50  221   90  376   70  361   60  224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C0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 xml:space="preserve">  </w:t>
      </w: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>120  546   80  352  100  353   50  157   40  160   70  252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C0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 xml:space="preserve">   </w:t>
      </w: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>90  389   20  113  110  435  100  420   30  212   50  268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C0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 xml:space="preserve">   </w:t>
      </w: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>90  377  110  421   30  273   90  468   40  244   80  342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C0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 xml:space="preserve">   </w:t>
      </w: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>70  323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hd w:fill="FFFFFF" w:val="clear"/>
        </w:rPr>
        <w:t>run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8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>/* Now fit simple linear model with Y=workhours and</w:t>
      </w:r>
    </w:p>
    <w:p>
      <w:pPr>
        <w:pStyle w:val="Normal"/>
        <w:rPr>
          <w:rFonts w:ascii="Courier New" w:hAnsi="Courier New" w:cs="Courier New"/>
          <w:b/>
          <w:b/>
          <w:color w:val="008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hd w:fill="FFFFFF" w:val="clear"/>
        </w:rPr>
        <w:t xml:space="preserve">X=lotsize, with residuals and predicted values saved 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hd w:fill="FFFFFF" w:val="clear"/>
        </w:rPr>
        <w:t>in data set tolucaout */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hd w:fill="FFFFFF" w:val="clear"/>
        </w:rPr>
        <w:t>proc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bCs/>
          <w:color w:val="000080"/>
          <w:shd w:fill="FFFFFF" w:val="clear"/>
        </w:rPr>
        <w:t>reg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00FF"/>
          <w:shd w:fill="FFFFFF" w:val="clear"/>
        </w:rPr>
        <w:t>data</w:t>
      </w:r>
      <w:r>
        <w:rPr>
          <w:rFonts w:cs="Courier New" w:ascii="Courier New" w:hAnsi="Courier New"/>
          <w:b/>
          <w:color w:val="000000"/>
          <w:shd w:fill="FFFFFF" w:val="clear"/>
        </w:rPr>
        <w:t>=toluca;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model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workhours = lotsize;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output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00FF"/>
          <w:shd w:fill="FFFFFF" w:val="clear"/>
        </w:rPr>
        <w:t>out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=tolucaout </w:t>
      </w:r>
      <w:r>
        <w:rPr>
          <w:rFonts w:cs="Courier New" w:ascii="Courier New" w:hAnsi="Courier New"/>
          <w:b/>
          <w:color w:val="0000FF"/>
          <w:shd w:fill="FFFFFF" w:val="clear"/>
        </w:rPr>
        <w:t>r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=resid </w:t>
      </w:r>
      <w:r>
        <w:rPr>
          <w:rFonts w:cs="Courier New" w:ascii="Courier New" w:hAnsi="Courier New"/>
          <w:b/>
          <w:color w:val="0000FF"/>
          <w:shd w:fill="FFFFFF" w:val="clear"/>
        </w:rPr>
        <w:t>p</w:t>
      </w:r>
      <w:r>
        <w:rPr>
          <w:rFonts w:cs="Courier New" w:ascii="Courier New" w:hAnsi="Courier New"/>
          <w:b/>
          <w:color w:val="000000"/>
          <w:shd w:fill="FFFFFF" w:val="clear"/>
        </w:rPr>
        <w:t>=pred;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title1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800080"/>
          <w:shd w:fill="FFFFFF" w:val="clear"/>
        </w:rPr>
        <w:t>'Simple linear model'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hd w:fill="FFFFFF" w:val="clear"/>
        </w:rPr>
        <w:t>run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0000"/>
          <w:szCs w:val="20"/>
          <w:shd w:fill="FFFFFF" w:val="clear"/>
        </w:rPr>
      </w:pPr>
      <w:r>
        <w:rPr>
          <w:rFonts w:cs="Courier New" w:ascii="Courier New" w:hAnsi="Courier New"/>
          <w:b/>
          <w:color w:val="008000"/>
          <w:szCs w:val="20"/>
          <w:shd w:fill="FFFFFF" w:val="clear"/>
        </w:rPr>
        <w:t>/* Check assumptions */</w:t>
      </w:r>
    </w:p>
    <w:p>
      <w:pPr>
        <w:pStyle w:val="Normal"/>
        <w:rPr>
          <w:rFonts w:ascii="Courier New" w:hAnsi="Courier New" w:cs="Courier New"/>
          <w:b/>
          <w:b/>
          <w:color w:val="008000"/>
          <w:szCs w:val="20"/>
          <w:shd w:fill="FFFFFF" w:val="clear"/>
        </w:rPr>
      </w:pPr>
      <w:r>
        <w:rPr>
          <w:rFonts w:cs="Courier New" w:ascii="Courier New" w:hAnsi="Courier New"/>
          <w:b/>
          <w:color w:val="008000"/>
          <w:szCs w:val="20"/>
          <w:shd w:fill="FFFFFF" w:val="clear"/>
        </w:rPr>
        <w:t>/* Define shortcut macro, using line copied from</w:t>
      </w:r>
    </w:p>
    <w:p>
      <w:pPr>
        <w:pStyle w:val="Normal"/>
        <w:rPr>
          <w:rFonts w:ascii="Courier New" w:hAnsi="Courier New" w:cs="Courier New"/>
          <w:b/>
          <w:b/>
          <w:color w:val="008000"/>
          <w:szCs w:val="20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0"/>
          <w:shd w:fill="FFFFFF" w:val="clear"/>
        </w:rPr>
        <w:t xml:space="preserve">    </w:t>
      </w:r>
      <w:r>
        <w:rPr>
          <w:rFonts w:cs="Courier New" w:ascii="Courier New" w:hAnsi="Courier New"/>
          <w:b/>
          <w:color w:val="008000"/>
          <w:sz w:val="22"/>
          <w:szCs w:val="20"/>
          <w:shd w:fill="FFFFFF" w:val="clear"/>
        </w:rPr>
        <w:t>www.stat.usu.edu/jrstevens/stat5100/resid_num_diag_1line.sas</w:t>
      </w:r>
    </w:p>
    <w:p>
      <w:pPr>
        <w:pStyle w:val="Normal"/>
        <w:rPr>
          <w:rFonts w:ascii="Courier New" w:hAnsi="Courier New" w:cs="Courier New"/>
          <w:b/>
          <w:b/>
          <w:color w:val="000000"/>
          <w:szCs w:val="20"/>
          <w:shd w:fill="FFFFFF" w:val="clear"/>
        </w:rPr>
      </w:pPr>
      <w:r>
        <w:rPr>
          <w:rFonts w:cs="Courier New" w:ascii="Courier New" w:hAnsi="Courier New"/>
          <w:b/>
          <w:color w:val="008000"/>
          <w:szCs w:val="2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8000"/>
          <w:szCs w:val="20"/>
          <w:shd w:fill="FFFFFF" w:val="clear"/>
        </w:rPr>
        <w:t>*/</w:t>
      </w:r>
    </w:p>
    <w:p>
      <w:pPr>
        <w:pStyle w:val="Normal"/>
        <w:rPr>
          <w:rFonts w:ascii="Courier New" w:hAnsi="Courier New" w:cs="Courier New"/>
          <w:b/>
          <w:b/>
          <w:color w:val="000000"/>
          <w:szCs w:val="2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zCs w:val="20"/>
          <w:shd w:fill="FFFFFF" w:val="clear"/>
        </w:rPr>
        <w:t>%macro</w:t>
      </w:r>
      <w:r>
        <w:rPr>
          <w:rFonts w:cs="Courier New" w:ascii="Courier New" w:hAnsi="Courier New"/>
          <w:b/>
          <w:color w:val="000000"/>
          <w:szCs w:val="20"/>
          <w:shd w:fill="FFFFFF" w:val="clear"/>
        </w:rPr>
        <w:t xml:space="preserve"> resid_num_diag(dataset, ...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hd w:fill="FFFFFF" w:val="clear"/>
        </w:rPr>
        <w:t>%</w:t>
      </w:r>
      <w:r>
        <w:rPr>
          <w:rFonts w:cs="Courier New" w:ascii="Courier New" w:hAnsi="Courier New"/>
          <w:b/>
          <w:bCs/>
          <w:i/>
          <w:iCs/>
          <w:color w:val="000000"/>
          <w:sz w:val="22"/>
          <w:shd w:fill="FFFFFF" w:val="clear"/>
        </w:rPr>
        <w:t>resid_num_diag</w:t>
      </w:r>
      <w:r>
        <w:rPr>
          <w:rFonts w:cs="Courier New" w:ascii="Courier New" w:hAnsi="Courier New"/>
          <w:b/>
          <w:color w:val="000000"/>
          <w:sz w:val="22"/>
          <w:shd w:fill="FFFFFF" w:val="clear"/>
        </w:rPr>
        <w:t>(dataset=out1, datavar=resid, label=</w:t>
      </w:r>
      <w:r>
        <w:rPr>
          <w:rFonts w:cs="Courier New" w:ascii="Courier New" w:hAnsi="Courier New"/>
          <w:b/>
          <w:color w:val="800080"/>
          <w:sz w:val="22"/>
          <w:shd w:fill="FFFFFF" w:val="clear"/>
        </w:rPr>
        <w:t>'Residual'</w:t>
      </w:r>
      <w:r>
        <w:rPr>
          <w:rFonts w:cs="Courier New" w:ascii="Courier New" w:hAnsi="Courier New"/>
          <w:b/>
          <w:color w:val="000000"/>
          <w:sz w:val="22"/>
          <w:shd w:fill="FFFFFF" w:val="clear"/>
        </w:rPr>
        <w:t xml:space="preserve">, 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0000"/>
          <w:sz w:val="22"/>
          <w:shd w:fill="FFFFFF" w:val="clear"/>
        </w:rPr>
        <w:t>predvar=pred, predlabel=</w:t>
      </w:r>
      <w:r>
        <w:rPr>
          <w:rFonts w:cs="Courier New" w:ascii="Courier New" w:hAnsi="Courier New"/>
          <w:b/>
          <w:color w:val="800080"/>
          <w:sz w:val="22"/>
          <w:shd w:fill="FFFFFF" w:val="clear"/>
        </w:rPr>
        <w:t>'Predicted Value'</w:t>
      </w:r>
      <w:r>
        <w:rPr>
          <w:rFonts w:cs="Courier New" w:ascii="Courier New" w:hAnsi="Courier New"/>
          <w:b/>
          <w:color w:val="000000"/>
          <w:sz w:val="22"/>
          <w:shd w:fill="FFFFFF" w:val="clear"/>
        </w:rPr>
        <w:t>);</w:t>
      </w:r>
    </w:p>
    <w:p>
      <w:pPr>
        <w:pStyle w:val="Normal"/>
        <w:rPr>
          <w:rFonts w:ascii="Courier New" w:hAnsi="Courier New" w:cs="Courier New"/>
          <w:b/>
          <w:b/>
          <w:color w:val="008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8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8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>/* See output from this on p.5 of Handout #4.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hd w:fill="FFFFFF" w:val="clear"/>
        </w:rPr>
        <w:t>Only when assumptions are met does inference make sense! */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/* Fit a simple linear model with Y=workhours and X=lotsize;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output the 95% confidence intervals for the coefficients.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Get predicted values (call them Predict here) and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upper and lower 95% prediction and confidence intervals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for each X value; put all this in a dataset called confidence.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Also, include prediction for two X-levels not in original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data set (X=10 and X=130). */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z w:val="22"/>
          <w:szCs w:val="22"/>
          <w:shd w:fill="FFFFFF" w:val="clear"/>
        </w:rPr>
        <w:t>data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dummy;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input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lotsize @@;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cards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C0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 xml:space="preserve">  </w:t>
      </w:r>
      <w:r>
        <w:rPr>
          <w:rFonts w:cs="Courier New" w:ascii="Courier New" w:hAnsi="Courier New"/>
          <w:b/>
          <w:color w:val="000000"/>
          <w:sz w:val="22"/>
          <w:szCs w:val="22"/>
          <w:shd w:fill="FFFFC0" w:val="clear"/>
        </w:rPr>
        <w:t>10 130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z w:val="22"/>
          <w:szCs w:val="22"/>
          <w:shd w:fill="FFFFFF" w:val="clear"/>
        </w:rPr>
        <w:t>data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trick;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set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toluca dummy;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>run;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z w:val="22"/>
          <w:szCs w:val="22"/>
          <w:shd w:fill="FFFFFF" w:val="clear"/>
        </w:rPr>
        <w:t>proc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2"/>
          <w:szCs w:val="22"/>
          <w:shd w:fill="FFFFFF" w:val="clear"/>
        </w:rPr>
        <w:t>reg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data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>=trick;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model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workhours = lotsize /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clb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alpha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>=</w:t>
      </w:r>
      <w:r>
        <w:rPr>
          <w:rFonts w:cs="Courier New" w:ascii="Courier New" w:hAnsi="Courier New"/>
          <w:b/>
          <w:bCs/>
          <w:color w:val="008080"/>
          <w:sz w:val="22"/>
          <w:szCs w:val="22"/>
          <w:shd w:fill="FFFFFF" w:val="clear"/>
        </w:rPr>
        <w:t>.05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; 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                                     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/* 1-alpha is level */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output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out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=confidence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p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>=Predict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                 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ucl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=uPred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/* upper and lower limits for */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                 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lcl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=lPred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/*      individual prediction */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                 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uclm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=uConf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/* upper and lower limits for */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                 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lclm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=lConf;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/*      group mean confidence */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z w:val="22"/>
          <w:szCs w:val="22"/>
          <w:shd w:fill="FFFFFF" w:val="clear"/>
        </w:rPr>
        <w:t>title1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800080"/>
          <w:sz w:val="22"/>
          <w:szCs w:val="22"/>
          <w:shd w:fill="FFFFFF" w:val="clear"/>
        </w:rPr>
        <w:t>'Regression with 95% interval estimation'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z w:val="22"/>
          <w:szCs w:val="22"/>
          <w:shd w:fill="FFFFFF" w:val="clear"/>
        </w:rPr>
        <w:t>run</w:t>
      </w: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</w:r>
    </w:p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8414"/>
            </w:tblGrid>
            <w:tr>
              <w:trPr/>
              <w:tc>
                <w:tcPr>
                  <w:tcW w:w="8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/>
                      <w:iCs/>
                      <w:sz w:val="20"/>
                      <w:szCs w:val="20"/>
                    </w:rPr>
                    <w:t>Regression with 95% interval estimation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  <w:bookmarkStart w:id="1" w:name="IDX10"/>
            <w:bookmarkStart w:id="2" w:name="IDX10"/>
            <w:bookmarkEnd w:id="2"/>
          </w:p>
          <w:tbl>
            <w:tblPr>
              <w:tblW w:w="8398" w:type="dxa"/>
              <w:jc w:val="center"/>
              <w:tblInd w:w="0" w:type="dxa"/>
              <w:tblLayout w:type="fixed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noHBand="0" w:noVBand="1" w:firstColumn="1" w:lastRow="0" w:lastColumn="0" w:firstRow="1"/>
            </w:tblPr>
            <w:tblGrid>
              <w:gridCol w:w="1174"/>
              <w:gridCol w:w="556"/>
              <w:gridCol w:w="1320"/>
              <w:gridCol w:w="1190"/>
              <w:gridCol w:w="970"/>
              <w:gridCol w:w="928"/>
              <w:gridCol w:w="1012"/>
              <w:gridCol w:w="1247"/>
            </w:tblGrid>
            <w:tr>
              <w:trPr>
                <w:tblHeader w:val="true"/>
              </w:trPr>
              <w:tc>
                <w:tcPr>
                  <w:tcW w:w="8397" w:type="dxa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Parameter Estimates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117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55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13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Parameter</w:t>
                    <w:br/>
                    <w:t>Estimate</w:t>
                  </w:r>
                </w:p>
              </w:tc>
              <w:tc>
                <w:tcPr>
                  <w:tcW w:w="11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Standard</w:t>
                    <w:br/>
                    <w:t>Error</w:t>
                  </w:r>
                </w:p>
              </w:tc>
              <w:tc>
                <w:tcPr>
                  <w:tcW w:w="9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92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 &gt; |t|</w:t>
                  </w:r>
                </w:p>
              </w:tc>
              <w:tc>
                <w:tcPr>
                  <w:tcW w:w="2259" w:type="dxa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95% Confidence Limits</w:t>
                  </w:r>
                </w:p>
              </w:tc>
            </w:tr>
            <w:tr>
              <w:trPr/>
              <w:tc>
                <w:tcPr>
                  <w:tcW w:w="117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55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62.36586</w:t>
                  </w:r>
                </w:p>
              </w:tc>
              <w:tc>
                <w:tcPr>
                  <w:tcW w:w="11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26.17743</w:t>
                  </w:r>
                </w:p>
              </w:tc>
              <w:tc>
                <w:tcPr>
                  <w:tcW w:w="9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2.38</w:t>
                  </w:r>
                </w:p>
              </w:tc>
              <w:tc>
                <w:tcPr>
                  <w:tcW w:w="92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0.0259</w:t>
                  </w:r>
                </w:p>
              </w:tc>
              <w:tc>
                <w:tcPr>
                  <w:tcW w:w="10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8.21371</w:t>
                  </w:r>
                </w:p>
              </w:tc>
              <w:tc>
                <w:tcPr>
                  <w:tcW w:w="124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116.51801</w:t>
                  </w:r>
                </w:p>
              </w:tc>
            </w:tr>
            <w:tr>
              <w:trPr/>
              <w:tc>
                <w:tcPr>
                  <w:tcW w:w="117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lotsize</w:t>
                  </w:r>
                </w:p>
              </w:tc>
              <w:tc>
                <w:tcPr>
                  <w:tcW w:w="55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3.57020</w:t>
                  </w:r>
                </w:p>
              </w:tc>
              <w:tc>
                <w:tcPr>
                  <w:tcW w:w="119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0.34697</w:t>
                  </w:r>
                </w:p>
              </w:tc>
              <w:tc>
                <w:tcPr>
                  <w:tcW w:w="9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10.29</w:t>
                  </w:r>
                </w:p>
              </w:tc>
              <w:tc>
                <w:tcPr>
                  <w:tcW w:w="92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&lt;.0001</w:t>
                  </w:r>
                </w:p>
              </w:tc>
              <w:tc>
                <w:tcPr>
                  <w:tcW w:w="10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2.85244</w:t>
                  </w:r>
                </w:p>
              </w:tc>
              <w:tc>
                <w:tcPr>
                  <w:tcW w:w="124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4.28797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ascii="Courier New" w:hAnsi="Courier New" w:cs="Courier New"/>
                <w:b/>
                <w:b/>
                <w:color w:val="000000"/>
                <w:sz w:val="22"/>
                <w:szCs w:val="22"/>
                <w:shd w:fill="FFFFFF" w:val="clear"/>
              </w:rPr>
            </w:pPr>
            <w:r>
              <w:rPr/>
              <w:drawing>
                <wp:inline distT="0" distB="0" distL="0" distR="0">
                  <wp:extent cx="3200400" cy="2400300"/>
                  <wp:effectExtent l="0" t="0" r="0" b="0"/>
                  <wp:docPr id="1" name="Picture 2" descr="Scatterplot of workhours by lotsize overlaid with the fit line, a 95% confidence band and lower and upper 95% prediction limi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Scatterplot of workhours by lotsize overlaid with the fit line, a 95% confidence band and lower and upper 95% prediction limit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</w:r>
    </w:p>
    <w:p>
      <w:pPr>
        <w:pStyle w:val="Normal"/>
        <w:rPr>
          <w:rFonts w:ascii="SAS Monospace" w:hAnsi="SAS Monospace" w:cs="SAS Monospace"/>
          <w:sz w:val="16"/>
          <w:szCs w:val="16"/>
        </w:rPr>
      </w:pPr>
      <w:r>
        <w:rPr>
          <w:rFonts w:cs="SAS Monospace" w:ascii="SAS Monospace" w:hAnsi="SAS Monospace"/>
          <w:sz w:val="16"/>
          <w:szCs w:val="16"/>
        </w:rPr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>/* Look at partial result  */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hd w:fill="FFFFFF" w:val="clear"/>
        </w:rPr>
        <w:t>proc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bCs/>
          <w:color w:val="000080"/>
          <w:shd w:fill="FFFFFF" w:val="clear"/>
        </w:rPr>
        <w:t>print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00FF"/>
          <w:shd w:fill="FFFFFF" w:val="clear"/>
        </w:rPr>
        <w:t>data</w:t>
      </w:r>
      <w:r>
        <w:rPr>
          <w:rFonts w:cs="Courier New" w:ascii="Courier New" w:hAnsi="Courier New"/>
          <w:b/>
          <w:color w:val="000000"/>
          <w:shd w:fill="FFFFFF" w:val="clear"/>
        </w:rPr>
        <w:t>=confidence;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where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lotsize &lt; </w:t>
      </w:r>
      <w:r>
        <w:rPr>
          <w:rFonts w:cs="Courier New" w:ascii="Courier New" w:hAnsi="Courier New"/>
          <w:b/>
          <w:bCs/>
          <w:color w:val="008080"/>
          <w:shd w:fill="FFFFFF" w:val="clear"/>
        </w:rPr>
        <w:t>50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;   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     </w:t>
      </w:r>
      <w:r>
        <w:rPr>
          <w:rFonts w:cs="Courier New" w:ascii="Courier New" w:hAnsi="Courier New"/>
          <w:b/>
          <w:color w:val="008000"/>
          <w:shd w:fill="FFFFFF" w:val="clear"/>
        </w:rPr>
        <w:t>/* which observations to use in proc */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var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lotsize workhours Predict lPred uPred lConf uConf;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title1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800080"/>
          <w:shd w:fill="FFFFFF" w:val="clear"/>
        </w:rPr>
        <w:t>'Predicted values and confidence and predicted intervals'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title2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800080"/>
          <w:shd w:fill="FFFFFF" w:val="clear"/>
        </w:rPr>
        <w:t>'for lotsize &lt; 50; these are 95% intervals.'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hd w:fill="FFFFFF" w:val="clear"/>
        </w:rPr>
        <w:t>run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8414"/>
            </w:tblGrid>
            <w:tr>
              <w:trPr/>
              <w:tc>
                <w:tcPr>
                  <w:tcW w:w="8414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/>
                      <w:iCs/>
                      <w:sz w:val="20"/>
                      <w:szCs w:val="20"/>
                    </w:rPr>
                    <w:t>Predicted values and confidence and predicted intervals</w:t>
                  </w:r>
                </w:p>
              </w:tc>
            </w:tr>
            <w:tr>
              <w:trPr/>
              <w:tc>
                <w:tcPr>
                  <w:tcW w:w="841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/>
                      <w:iCs/>
                      <w:sz w:val="20"/>
                      <w:szCs w:val="20"/>
                    </w:rPr>
                    <w:t>for lotsize &lt; 50; these are 95% intervals.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tbl>
            <w:tblPr>
              <w:tblW w:w="8075" w:type="dxa"/>
              <w:jc w:val="center"/>
              <w:tblInd w:w="0" w:type="dxa"/>
              <w:tblLayout w:type="fixed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noHBand="0" w:noVBand="1" w:firstColumn="1" w:lastRow="0" w:lastColumn="0" w:firstRow="1"/>
            </w:tblPr>
            <w:tblGrid>
              <w:gridCol w:w="654"/>
              <w:gridCol w:w="880"/>
              <w:gridCol w:w="1360"/>
              <w:gridCol w:w="1020"/>
              <w:gridCol w:w="1101"/>
              <w:gridCol w:w="1020"/>
              <w:gridCol w:w="1020"/>
              <w:gridCol w:w="1019"/>
            </w:tblGrid>
            <w:tr>
              <w:trPr>
                <w:tblHeader w:val="true"/>
              </w:trPr>
              <w:tc>
                <w:tcPr>
                  <w:tcW w:w="6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</w:t>
                  </w:r>
                </w:p>
              </w:tc>
              <w:tc>
                <w:tcPr>
                  <w:tcW w:w="88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lotsize</w:t>
                  </w:r>
                </w:p>
              </w:tc>
              <w:tc>
                <w:tcPr>
                  <w:tcW w:w="13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workhours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Predict</w:t>
                  </w:r>
                </w:p>
              </w:tc>
              <w:tc>
                <w:tcPr>
                  <w:tcW w:w="11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lPred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uPred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lConf</w:t>
                  </w:r>
                </w:p>
              </w:tc>
              <w:tc>
                <w:tcPr>
                  <w:tcW w:w="101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uConf</w:t>
                  </w:r>
                </w:p>
              </w:tc>
            </w:tr>
            <w:tr>
              <w:trPr/>
              <w:tc>
                <w:tcPr>
                  <w:tcW w:w="6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30</w:t>
                  </w:r>
                </w:p>
              </w:tc>
              <w:tc>
                <w:tcPr>
                  <w:tcW w:w="13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121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169.472</w:t>
                  </w:r>
                </w:p>
              </w:tc>
              <w:tc>
                <w:tcPr>
                  <w:tcW w:w="11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62.5464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276.397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134.367</w:t>
                  </w:r>
                </w:p>
              </w:tc>
              <w:tc>
                <w:tcPr>
                  <w:tcW w:w="101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204.577</w:t>
                  </w:r>
                </w:p>
              </w:tc>
            </w:tr>
            <w:tr>
              <w:trPr/>
              <w:tc>
                <w:tcPr>
                  <w:tcW w:w="6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88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40</w:t>
                  </w:r>
                </w:p>
              </w:tc>
              <w:tc>
                <w:tcPr>
                  <w:tcW w:w="13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160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205.174</w:t>
                  </w:r>
                </w:p>
              </w:tc>
              <w:tc>
                <w:tcPr>
                  <w:tcW w:w="11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99.9483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310.400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175.649</w:t>
                  </w:r>
                </w:p>
              </w:tc>
              <w:tc>
                <w:tcPr>
                  <w:tcW w:w="101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234.698</w:t>
                  </w:r>
                </w:p>
              </w:tc>
            </w:tr>
            <w:tr>
              <w:trPr/>
              <w:tc>
                <w:tcPr>
                  <w:tcW w:w="6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14</w:t>
                  </w:r>
                </w:p>
              </w:tc>
              <w:tc>
                <w:tcPr>
                  <w:tcW w:w="88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20</w:t>
                  </w:r>
                </w:p>
              </w:tc>
              <w:tc>
                <w:tcPr>
                  <w:tcW w:w="13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113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133.770</w:t>
                  </w:r>
                </w:p>
              </w:tc>
              <w:tc>
                <w:tcPr>
                  <w:tcW w:w="11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24.6977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242.842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92.587</w:t>
                  </w:r>
                </w:p>
              </w:tc>
              <w:tc>
                <w:tcPr>
                  <w:tcW w:w="101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174.952</w:t>
                  </w:r>
                </w:p>
              </w:tc>
            </w:tr>
            <w:tr>
              <w:trPr/>
              <w:tc>
                <w:tcPr>
                  <w:tcW w:w="6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17</w:t>
                  </w:r>
                </w:p>
              </w:tc>
              <w:tc>
                <w:tcPr>
                  <w:tcW w:w="88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30</w:t>
                  </w:r>
                </w:p>
              </w:tc>
              <w:tc>
                <w:tcPr>
                  <w:tcW w:w="13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212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169.472</w:t>
                  </w:r>
                </w:p>
              </w:tc>
              <w:tc>
                <w:tcPr>
                  <w:tcW w:w="11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62.5464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276.397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134.367</w:t>
                  </w:r>
                </w:p>
              </w:tc>
              <w:tc>
                <w:tcPr>
                  <w:tcW w:w="101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204.577</w:t>
                  </w:r>
                </w:p>
              </w:tc>
            </w:tr>
            <w:tr>
              <w:trPr/>
              <w:tc>
                <w:tcPr>
                  <w:tcW w:w="6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21</w:t>
                  </w:r>
                </w:p>
              </w:tc>
              <w:tc>
                <w:tcPr>
                  <w:tcW w:w="88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30</w:t>
                  </w:r>
                </w:p>
              </w:tc>
              <w:tc>
                <w:tcPr>
                  <w:tcW w:w="13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273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169.472</w:t>
                  </w:r>
                </w:p>
              </w:tc>
              <w:tc>
                <w:tcPr>
                  <w:tcW w:w="11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62.5464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276.397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134.367</w:t>
                  </w:r>
                </w:p>
              </w:tc>
              <w:tc>
                <w:tcPr>
                  <w:tcW w:w="101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204.577</w:t>
                  </w:r>
                </w:p>
              </w:tc>
            </w:tr>
            <w:tr>
              <w:trPr/>
              <w:tc>
                <w:tcPr>
                  <w:tcW w:w="6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23</w:t>
                  </w:r>
                </w:p>
              </w:tc>
              <w:tc>
                <w:tcPr>
                  <w:tcW w:w="88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40</w:t>
                  </w:r>
                </w:p>
              </w:tc>
              <w:tc>
                <w:tcPr>
                  <w:tcW w:w="13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244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205.174</w:t>
                  </w:r>
                </w:p>
              </w:tc>
              <w:tc>
                <w:tcPr>
                  <w:tcW w:w="11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99.9483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310.400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175.649</w:t>
                  </w:r>
                </w:p>
              </w:tc>
              <w:tc>
                <w:tcPr>
                  <w:tcW w:w="101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234.698</w:t>
                  </w:r>
                </w:p>
              </w:tc>
            </w:tr>
            <w:tr>
              <w:trPr/>
              <w:tc>
                <w:tcPr>
                  <w:tcW w:w="65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26</w:t>
                  </w:r>
                </w:p>
              </w:tc>
              <w:tc>
                <w:tcPr>
                  <w:tcW w:w="88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10</w:t>
                  </w:r>
                </w:p>
              </w:tc>
              <w:tc>
                <w:tcPr>
                  <w:tcW w:w="13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.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98.068</w:t>
                  </w:r>
                </w:p>
              </w:tc>
              <w:tc>
                <w:tcPr>
                  <w:tcW w:w="11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-13.5719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209.708</w:t>
                  </w:r>
                </w:p>
              </w:tc>
              <w:tc>
                <w:tcPr>
                  <w:tcW w:w="102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50.500</w:t>
                  </w:r>
                </w:p>
              </w:tc>
              <w:tc>
                <w:tcPr>
                  <w:tcW w:w="101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145.636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Courier New" w:hAnsi="Courier New" w:cs="Courier New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FFFFF" w:val="clear"/>
              </w:rPr>
            </w:r>
          </w:p>
        </w:tc>
      </w:tr>
    </w:tbl>
    <w:p>
      <w:pPr>
        <w:pStyle w:val="Normal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0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0000"/>
          <w:sz w:val="22"/>
          <w:szCs w:val="22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/*************************************************************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Note: there are other ways to get the CI for Y in SAS, but they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aren't included here; just know that if you needed to, you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could get the SE for Yhat using the stdp and stdi options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 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in proc reg.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  <w:t>*************************************************************/</w:t>
      </w:r>
    </w:p>
    <w:p>
      <w:pPr>
        <w:pStyle w:val="Normal"/>
        <w:rPr>
          <w:rFonts w:ascii="Courier New" w:hAnsi="Courier New" w:cs="Courier New"/>
          <w:b/>
          <w:b/>
          <w:color w:val="008000"/>
          <w:sz w:val="22"/>
          <w:szCs w:val="22"/>
          <w:shd w:fill="FFFFFF" w:val="clear"/>
        </w:rPr>
      </w:pPr>
      <w:r>
        <w:rPr>
          <w:rFonts w:cs="Courier New" w:ascii="Courier New" w:hAnsi="Courier New"/>
          <w:b/>
          <w:color w:val="008000"/>
          <w:sz w:val="22"/>
          <w:szCs w:val="22"/>
          <w:shd w:fill="FFFFFF" w:val="clear"/>
        </w:rPr>
      </w:r>
    </w:p>
    <w:p>
      <w:pPr>
        <w:pStyle w:val="Normal"/>
        <w:rPr>
          <w:rFonts w:ascii="Courier New" w:hAnsi="Courier New" w:cs="Courier New"/>
          <w:b/>
          <w:b/>
          <w:color w:val="008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</w:r>
      <w:r>
        <w:br w:type="page"/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8000"/>
          <w:shd w:fill="FFFFFF" w:val="clear"/>
        </w:rPr>
        <w:t>/* Look at Reduced model */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hd w:fill="FFFFFF" w:val="clear"/>
        </w:rPr>
        <w:t>proc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bCs/>
          <w:color w:val="000080"/>
          <w:shd w:fill="FFFFFF" w:val="clear"/>
        </w:rPr>
        <w:t>reg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0000FF"/>
          <w:shd w:fill="FFFFFF" w:val="clear"/>
        </w:rPr>
        <w:t>data</w:t>
      </w:r>
      <w:r>
        <w:rPr>
          <w:rFonts w:cs="Courier New" w:ascii="Courier New" w:hAnsi="Courier New"/>
          <w:b/>
          <w:color w:val="000000"/>
          <w:shd w:fill="FFFFFF" w:val="clear"/>
        </w:rPr>
        <w:t>=toluca;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model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workhours = ;</w:t>
      </w:r>
    </w:p>
    <w:p>
      <w:pPr>
        <w:pStyle w:val="Normal"/>
        <w:rPr>
          <w:rFonts w:ascii="Courier New" w:hAnsi="Courier New" w:cs="Courier New"/>
          <w:b/>
          <w:b/>
          <w:color w:val="000000"/>
          <w:shd w:fill="FFFFFF" w:val="clear"/>
        </w:rPr>
      </w:pPr>
      <w:r>
        <w:rPr>
          <w:rFonts w:cs="Courier New" w:ascii="Courier New" w:hAnsi="Courier New"/>
          <w:b/>
          <w:color w:val="000000"/>
          <w:shd w:fill="FFFFFF" w:val="clear"/>
        </w:rPr>
        <w:t xml:space="preserve">  </w:t>
      </w:r>
      <w:r>
        <w:rPr>
          <w:rFonts w:cs="Courier New" w:ascii="Courier New" w:hAnsi="Courier New"/>
          <w:b/>
          <w:color w:val="0000FF"/>
          <w:shd w:fill="FFFFFF" w:val="clear"/>
        </w:rPr>
        <w:t>title1</w:t>
      </w:r>
      <w:r>
        <w:rPr>
          <w:rFonts w:cs="Courier New" w:ascii="Courier New" w:hAnsi="Courier New"/>
          <w:b/>
          <w:color w:val="000000"/>
          <w:shd w:fill="FFFFFF" w:val="clear"/>
        </w:rPr>
        <w:t xml:space="preserve"> </w:t>
      </w:r>
      <w:r>
        <w:rPr>
          <w:rFonts w:cs="Courier New" w:ascii="Courier New" w:hAnsi="Courier New"/>
          <w:b/>
          <w:color w:val="800080"/>
          <w:shd w:fill="FFFFFF" w:val="clear"/>
        </w:rPr>
        <w:t>'Reduced Model (dropped lotsize predictor)'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b/>
          <w:bCs/>
          <w:color w:val="000080"/>
          <w:shd w:fill="FFFFFF" w:val="clear"/>
        </w:rPr>
        <w:t>run</w:t>
      </w:r>
      <w:r>
        <w:rPr>
          <w:rFonts w:cs="Courier New" w:ascii="Courier New" w:hAnsi="Courier New"/>
          <w:b/>
          <w:color w:val="000000"/>
          <w:shd w:fill="FFFFFF" w:val="clear"/>
        </w:rPr>
        <w:t>;</w:t>
      </w: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8414"/>
            </w:tblGrid>
            <w:tr>
              <w:trPr/>
              <w:tc>
                <w:tcPr>
                  <w:tcW w:w="8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/>
                      <w:iCs/>
                      <w:sz w:val="20"/>
                      <w:szCs w:val="20"/>
                    </w:rPr>
                    <w:t>Reduced Model (dropped lotsize predictor)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  <w:bookmarkStart w:id="3" w:name="IDX16"/>
            <w:bookmarkStart w:id="4" w:name="IDX16"/>
            <w:bookmarkEnd w:id="4"/>
          </w:p>
          <w:tbl>
            <w:tblPr>
              <w:tblW w:w="6432" w:type="dxa"/>
              <w:jc w:val="center"/>
              <w:tblInd w:w="0" w:type="dxa"/>
              <w:tblLayout w:type="fixed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noHBand="0" w:noVBand="1" w:firstColumn="1" w:lastRow="0" w:lastColumn="0" w:firstRow="1"/>
            </w:tblPr>
            <w:tblGrid>
              <w:gridCol w:w="1887"/>
              <w:gridCol w:w="559"/>
              <w:gridCol w:w="1067"/>
              <w:gridCol w:w="975"/>
              <w:gridCol w:w="1046"/>
              <w:gridCol w:w="897"/>
            </w:tblGrid>
            <w:tr>
              <w:trPr>
                <w:tblHeader w:val="true"/>
              </w:trPr>
              <w:tc>
                <w:tcPr>
                  <w:tcW w:w="6431" w:type="dxa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Analysis of Variance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188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5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106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Sum of</w:t>
                    <w:br/>
                    <w:t>Squares</w:t>
                  </w:r>
                </w:p>
              </w:tc>
              <w:tc>
                <w:tcPr>
                  <w:tcW w:w="97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Mean</w:t>
                    <w:br/>
                    <w:t>Square</w:t>
                  </w:r>
                </w:p>
              </w:tc>
              <w:tc>
                <w:tcPr>
                  <w:tcW w:w="104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89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 &gt; F</w:t>
                  </w:r>
                </w:p>
              </w:tc>
            </w:tr>
            <w:tr>
              <w:trPr/>
              <w:tc>
                <w:tcPr>
                  <w:tcW w:w="188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5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6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97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.</w:t>
                  </w:r>
                </w:p>
              </w:tc>
              <w:tc>
                <w:tcPr>
                  <w:tcW w:w="104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.</w:t>
                  </w:r>
                </w:p>
              </w:tc>
              <w:tc>
                <w:tcPr>
                  <w:tcW w:w="89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.</w:t>
                  </w:r>
                </w:p>
              </w:tc>
            </w:tr>
            <w:tr>
              <w:trPr/>
              <w:tc>
                <w:tcPr>
                  <w:tcW w:w="188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5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24</w:t>
                  </w:r>
                </w:p>
              </w:tc>
              <w:tc>
                <w:tcPr>
                  <w:tcW w:w="106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307203</w:t>
                  </w:r>
                </w:p>
              </w:tc>
              <w:tc>
                <w:tcPr>
                  <w:tcW w:w="97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12800</w:t>
                  </w:r>
                </w:p>
              </w:tc>
              <w:tc>
                <w:tcPr>
                  <w:tcW w:w="104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89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 </w:t>
                  </w:r>
                </w:p>
              </w:tc>
            </w:tr>
            <w:tr>
              <w:trPr/>
              <w:tc>
                <w:tcPr>
                  <w:tcW w:w="188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55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24</w:t>
                  </w:r>
                </w:p>
              </w:tc>
              <w:tc>
                <w:tcPr>
                  <w:tcW w:w="106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307203</w:t>
                  </w:r>
                </w:p>
              </w:tc>
              <w:tc>
                <w:tcPr>
                  <w:tcW w:w="97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104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89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 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  <w:bookmarkStart w:id="5" w:name="IDX18"/>
            <w:bookmarkStart w:id="6" w:name="IDX17"/>
            <w:bookmarkStart w:id="7" w:name="IDX18"/>
            <w:bookmarkStart w:id="8" w:name="IDX17"/>
            <w:bookmarkEnd w:id="7"/>
            <w:bookmarkEnd w:id="8"/>
          </w:p>
          <w:tbl>
            <w:tblPr>
              <w:tblW w:w="6197" w:type="dxa"/>
              <w:jc w:val="center"/>
              <w:tblInd w:w="0" w:type="dxa"/>
              <w:tblLayout w:type="fixed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noHBand="0" w:noVBand="1" w:firstColumn="1" w:lastRow="0" w:lastColumn="0" w:firstRow="1"/>
            </w:tblPr>
            <w:tblGrid>
              <w:gridCol w:w="1186"/>
              <w:gridCol w:w="560"/>
              <w:gridCol w:w="1333"/>
              <w:gridCol w:w="1201"/>
              <w:gridCol w:w="981"/>
              <w:gridCol w:w="935"/>
            </w:tblGrid>
            <w:tr>
              <w:trPr>
                <w:tblHeader w:val="true"/>
              </w:trPr>
              <w:tc>
                <w:tcPr>
                  <w:tcW w:w="6196" w:type="dxa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Parameter Estimates</w:t>
                  </w:r>
                </w:p>
              </w:tc>
            </w:tr>
            <w:tr>
              <w:trPr>
                <w:tblHeader w:val="true"/>
              </w:trPr>
              <w:tc>
                <w:tcPr>
                  <w:tcW w:w="118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5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133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Parameter</w:t>
                    <w:br/>
                    <w:t>Estimate</w:t>
                  </w:r>
                </w:p>
              </w:tc>
              <w:tc>
                <w:tcPr>
                  <w:tcW w:w="12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Standard</w:t>
                    <w:br/>
                    <w:t>Error</w:t>
                  </w:r>
                </w:p>
              </w:tc>
              <w:tc>
                <w:tcPr>
                  <w:tcW w:w="98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93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 &gt; |t|</w:t>
                  </w:r>
                </w:p>
              </w:tc>
            </w:tr>
            <w:tr>
              <w:trPr/>
              <w:tc>
                <w:tcPr>
                  <w:tcW w:w="118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56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3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312.28000</w:t>
                  </w:r>
                </w:p>
              </w:tc>
              <w:tc>
                <w:tcPr>
                  <w:tcW w:w="120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22.62753</w:t>
                  </w:r>
                </w:p>
              </w:tc>
              <w:tc>
                <w:tcPr>
                  <w:tcW w:w="98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13.80</w:t>
                  </w:r>
                </w:p>
              </w:tc>
              <w:tc>
                <w:tcPr>
                  <w:tcW w:w="93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jc w:val="right"/>
                    <w:rPr/>
                  </w:pPr>
                  <w:r>
                    <w:rPr/>
                    <w:t>&lt;.0001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Courier New" w:hAnsi="Courier New" w:cs="Courier New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shd w:fill="FFFFFF" w:val="clear"/>
              </w:rPr>
            </w:pPr>
            <w:r>
              <w:rPr/>
              <w:drawing>
                <wp:inline distT="0" distB="0" distL="0" distR="0">
                  <wp:extent cx="3200400" cy="3200400"/>
                  <wp:effectExtent l="0" t="0" r="0" b="0"/>
                  <wp:docPr id="2" name="Picture 3" descr="Panel of fit diagnostics for workhou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Panel of fit diagnostics for workhou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AS 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25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b3076"/>
    <w:rPr/>
  </w:style>
  <w:style w:type="character" w:styleId="InternetLink">
    <w:name w:val="Hyperlink"/>
    <w:basedOn w:val="DefaultParagraphFont"/>
    <w:rsid w:val="00cc692c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a4440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cb307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a4440a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42b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LibreOffice/7.0.3.1$Linux_X86_64 LibreOffice_project/00$Build-1</Application>
  <Pages>7</Pages>
  <Words>591</Words>
  <Characters>3191</Characters>
  <CharactersWithSpaces>3902</CharactersWithSpaces>
  <Paragraphs>205</Paragraphs>
  <Company>Utah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2019-12-21T16:55:00Z</dcterms:created>
  <dc:creator>John R Stevens</dc:creator>
  <dc:description/>
  <dc:language>en-US</dc:language>
  <cp:lastModifiedBy>Brennan Bean</cp:lastModifiedBy>
  <dcterms:modified xsi:type="dcterms:W3CDTF">2019-12-21T16:55:00Z</dcterms:modified>
  <cp:revision>3</cp:revision>
  <dc:subject/>
  <dc:title>Stat 5100 – Chapter 1 Handout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Utah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