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color w:val="B81F24"/>
          <w:sz w:val="60"/>
        </w:rPr>
        <w:t>零售业务数字化转型三年行动方案</w:t>
      </w:r>
    </w:p>
    <w:p>
      <w:pPr>
        <w:jc w:val="center"/>
      </w:pPr>
      <w:r>
        <w:rPr>
          <w:rFonts w:ascii="等线" w:hAnsi="等线" w:eastAsia="等线"/>
          <w:b w:val="0"/>
          <w:color w:val="2B2B2B"/>
          <w:sz w:val="30"/>
        </w:rPr>
        <w:t>——以数据驱动客户经营，构建"线上+线下"一体化智能服务体系</w:t>
      </w:r>
    </w:p>
    <w:p/>
    <w:p>
      <w:pPr>
        <w:jc w:val="center"/>
      </w:pPr>
      <w:r>
        <w:rPr>
          <w:rFonts w:ascii="等线" w:hAnsi="等线" w:eastAsia="等线"/>
          <w:b w:val="0"/>
          <w:color w:val="666666"/>
          <w:sz w:val="24"/>
        </w:rPr>
        <w:t>汇报人：李明　｜　数字金融部总经理　｜　2026年9月</w:t>
      </w:r>
    </w:p>
    <w:p>
      <w:pPr>
        <w:jc w:val="center"/>
      </w:pPr>
      <w:r>
        <w:rPr>
          <w:rFonts w:ascii="等线" w:hAnsi="等线" w:eastAsia="等线"/>
          <w:b w:val="0"/>
          <w:color w:val="666666"/>
          <w:sz w:val="22"/>
        </w:rPr>
        <w:t>数字金融部 · 华信银行</w:t>
      </w:r>
    </w:p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CONTENTS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目录</w:t>
      </w:r>
    </w:p>
    <w:p>
      <w:r>
        <w:rPr>
          <w:rFonts w:ascii="等线" w:hAnsi="等线" w:eastAsia="等线"/>
          <w:b w:val="0"/>
          <w:color w:val="666666"/>
          <w:sz w:val="24"/>
        </w:rPr>
        <w:t>内容概览</w:t>
      </w:r>
    </w:p>
    <w:p>
      <w:pPr>
        <w:spacing w:after="200"/>
        <w:pBdr>
          <w:bottom w:val="single" w:sz="8" w:space="1" w:color="B81F24"/>
        </w:pBdr>
      </w:pP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章节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英文副标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01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项目概述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Project Overview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市场分析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Market Analysis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战略规划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Strategic Planning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执行方案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Execution Plan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财务预测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Financial Forecast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06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风险管控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Risk Management</w:t>
            </w:r>
          </w:p>
        </w:tc>
      </w:tr>
    </w:tbl>
    <w:p/>
    <w:p>
      <w:r>
        <w:br w:type="page"/>
      </w:r>
    </w:p>
    <w:p>
      <w:r>
        <w:rPr>
          <w:rFonts w:ascii="等线" w:hAnsi="等线" w:eastAsia="等线"/>
          <w:b/>
          <w:color w:val="666666"/>
          <w:sz w:val="22"/>
        </w:rPr>
        <w:t>CHAPTER 1</w:t>
      </w:r>
    </w:p>
    <w:p>
      <w:r>
        <w:rPr>
          <w:rFonts w:ascii="黑体" w:hAnsi="黑体" w:eastAsia="黑体"/>
          <w:b/>
          <w:color w:val="B81F24"/>
          <w:sz w:val="108"/>
        </w:rPr>
        <w:t>1</w:t>
      </w:r>
    </w:p>
    <w:p>
      <w:pPr>
        <w:pStyle w:val="Heading1"/>
      </w:pPr>
      <w:r>
        <w:rPr>
          <w:rFonts w:ascii="黑体" w:hAnsi="黑体" w:eastAsia="黑体"/>
          <w:b/>
          <w:color w:val="2B2B2B"/>
          <w:sz w:val="52"/>
        </w:rPr>
        <w:t>概述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666666"/>
          <w:sz w:val="26"/>
        </w:rPr>
        <w:t>从规划到落地，本部分介绍数字化转型的背景、目标与总体思路</w:t>
      </w:r>
    </w:p>
    <w:p>
      <w:pPr>
        <w:spacing w:after="80"/>
      </w:pPr>
      <w:r>
        <w:rPr>
          <w:rFonts w:ascii="等线" w:hAnsi="等线" w:eastAsia="等线"/>
          <w:b w:val="0"/>
          <w:i/>
          <w:color w:val="666666"/>
          <w:sz w:val="22"/>
        </w:rPr>
        <w:t>零售业务转型背景与战略定位</w:t>
      </w:r>
    </w:p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1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项目概述</w:t>
      </w:r>
    </w:p>
    <w:p>
      <w:r>
        <w:rPr>
          <w:rFonts w:ascii="等线" w:hAnsi="等线" w:eastAsia="等线"/>
          <w:b w:val="0"/>
          <w:color w:val="666666"/>
          <w:sz w:val="24"/>
        </w:rPr>
        <w:t>第1章 · 转型背景、目标与范围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一、转型背景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受利率市场化持续深化、存贷利差收窄、客户行为线上化加速三重因素驱动，传统"以网点为中心"的经营模式面临增长瓶颈。2026年上半年全行零售客户线上渗透率已达78%，但存量客户经营效率仍有较大提升空间。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二、项目目标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三年内实现零售客户AUM（管理资产规模）年均增速不低于12%；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手机银行月活用户（MAU）占客户总数比例由45%提升至65%；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网点服务效能提升30%，单网点获客成本下降20%。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三、项目范围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覆盖零售存贷款、财富管理、信用卡、消费金融四大业务条线，涉及总行数字金融部、零售银行部、风险管理部、科技部四个协同部门。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四、实施原则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"客户为本、数据驱动、敏捷迭代、风险可控"。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项目里程碑时间轴图（横向流程图）——2026 Q1：现状诊断与需求调研；2026 Q2-Q3：数字化平台建设；2026 Q4-2027 Q2：试点网点验证；2027 Q3-2028 Q4：全行推广与效果评估。</w:t>
      </w:r>
    </w:p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2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市场分析</w:t>
      </w:r>
    </w:p>
    <w:p>
      <w:r>
        <w:rPr>
          <w:rFonts w:ascii="等线" w:hAnsi="等线" w:eastAsia="等线"/>
          <w:b w:val="0"/>
          <w:color w:val="666666"/>
          <w:sz w:val="24"/>
        </w:rPr>
        <w:t>第2章 · 宏观环境、竞争格局与客户洞察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一、宏观环境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2026年上半年LPR维持低位运行，商业银行净息差（NIM）行业平均降至1.68%，同比收窄0.12个百分点，中间业务收入占比成为盈利结构优化的关键。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二、同业竞争格局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国有大行加速布局"手机银行+开放银行"生态，头部城商行财富管理AUM增速达18%，行业竞争已从渠道竞争转向"数据+场景"竞争。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三、客户行为洞察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90后、00后客群线上渠道使用率超90%；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高净值客户仍偏好"线上触达+线下顾问"混合服务模式；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客户对个性化理财建议的需求同比提升35%。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四、本行现状对标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本行零售存款市场份额3.2%，财富管理AUM市场份额2.1%，均低于行业前十平均水平，存在明显提升空间。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柱状图——近三年零售存款规模及市场份额对比：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年度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零售存款规模（亿元）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市场份额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2024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3,420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2.9%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2025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3,890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3.0%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2026E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4,560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3.2%</w:t>
            </w:r>
          </w:p>
        </w:tc>
      </w:tr>
    </w:tbl>
    <w:p/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3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战略规划</w:t>
      </w:r>
    </w:p>
    <w:p>
      <w:r>
        <w:rPr>
          <w:rFonts w:ascii="等线" w:hAnsi="等线" w:eastAsia="等线"/>
          <w:b w:val="0"/>
          <w:color w:val="666666"/>
          <w:sz w:val="24"/>
        </w:rPr>
        <w:t>第3章 · 三大战略支柱与六大重点举措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一、数据驱动经营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建设统一客户数据中台（CDP），整合全渠道行为数据；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构建客户分层分群模型，实现精准营销触达。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二、渠道融合升级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手机银行APP功能重构，强化财富管理与生活场景嵌入；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网点向"轻型化、场景化、顾问式"转型，试点20家智能网点。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三、产品与服务创新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推出智能投顾服务，覆盖大众富裕客群；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打造"信贷工厂"模式，提升小微贷款审批效率至T+1。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战略框架图（金字塔/矩阵结构图）——顶层：客户价值最大化；中层：数据驱动、渠道融合、产品创新（三大支柱）；底层：科技、风控、人才三大支撑体系。</w:t>
      </w:r>
    </w:p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4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执行方案</w:t>
      </w:r>
    </w:p>
    <w:p>
      <w:r>
        <w:rPr>
          <w:rFonts w:ascii="等线" w:hAnsi="等线" w:eastAsia="等线"/>
          <w:b w:val="0"/>
          <w:color w:val="666666"/>
          <w:sz w:val="24"/>
        </w:rPr>
        <w:t>第4章 · 分阶段实施路径与保障机制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一、分阶段实施路径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436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436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核心任务</w:t>
            </w:r>
          </w:p>
        </w:tc>
        <w:tc>
          <w:tcPr>
            <w:tcW w:type="dxa" w:w="2436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责任部门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第一阶段：筑基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2026 Q3-Q4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客户数据中台上线、试点网点改造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科技部/数字金融部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第二阶段：验证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2027 Q1-Q2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20家试点网点运营、智能投顾灰度上线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零售银行部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第三阶段：推广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2027 Q3-2028 Q2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全行网点分批推广、产品体系全面上线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各分行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第四阶段：优化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2028 Q3-Q4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效果复盘、模型迭代、成本优化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全行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二、保障机制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建立"总行—分行—支行"三级敏捷项目组，双周复盘；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设立转型专项预算，首年投入不低于1.2亿元；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配套员工数字化技能培训，覆盖全行零售条线员工95%以上。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甘特图（Gantt Chart）——按上表四个阶段绘制横向进度条，标注关键节点（试点上线、全面推广、效果评估）。</w:t>
      </w:r>
    </w:p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5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财务预测</w:t>
      </w:r>
    </w:p>
    <w:p>
      <w:r>
        <w:rPr>
          <w:rFonts w:ascii="等线" w:hAnsi="等线" w:eastAsia="等线"/>
          <w:b w:val="0"/>
          <w:color w:val="666666"/>
          <w:sz w:val="24"/>
        </w:rPr>
        <w:t>第5章 · 收入贡献、成本效益与关键指标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一、收入贡献预测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数字化转型预计三年内为零售条线新增中间业务收入约8.6亿元，其中财富管理手续费收入贡献占比达55%。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二、成本效益分析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网点轻型化改造预计降低单网点运营成本18%，全行三年累计节约运营成本约2.3亿元。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三、关键财务指标预测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零售业务营业收入年均复合增长率（CAGR）预计达14.5%；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零售业务成本收入比由48%优化至42%；</w:t>
      </w:r>
    </w:p>
    <w:p>
      <w:pPr>
        <w:pStyle w:val="ListBullet"/>
        <w:spacing w:after="60"/>
      </w:pPr>
      <w:r>
        <w:rPr>
          <w:rFonts w:ascii="等线" w:hAnsi="等线" w:eastAsia="等线"/>
          <w:b w:val="0"/>
          <w:color w:val="2B2B2B"/>
          <w:sz w:val="23"/>
        </w:rPr>
        <w:t>零售业务对全行净利润贡献占比由32%提升至40%。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折线图——零售业务营业收入与净利润三年预测（单位：亿元），可搭配柱状图叠加"成本收入比"趋势线，形成组合图表：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年度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营业收入（亿元）</w:t>
            </w:r>
          </w:p>
        </w:tc>
        <w:tc>
          <w:tcPr>
            <w:tcW w:type="dxa" w:w="3249"/>
            <w:shd w:fill="B81F24"/>
          </w:tcPr>
          <w:p>
            <w:pPr>
              <w:spacing w:after="40"/>
            </w:pPr>
            <w:r>
              <w:rPr>
                <w:rFonts w:ascii="等线" w:hAnsi="等线" w:eastAsia="等线"/>
                <w:b/>
                <w:color w:val="FFFFFF"/>
                <w:sz w:val="21"/>
              </w:rPr>
              <w:t>净利润（亿元）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2026E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68.2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21.5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2027E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78.9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26.8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2028E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89.6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等线" w:hAnsi="等线" w:eastAsia="等线"/>
                <w:sz w:val="21"/>
              </w:rPr>
              <w:t>32.4</w:t>
            </w:r>
          </w:p>
        </w:tc>
      </w:tr>
    </w:tbl>
    <w:p/>
    <w:p>
      <w:r>
        <w:br w:type="page"/>
      </w:r>
    </w:p>
    <w:p>
      <w:r>
        <w:rPr>
          <w:rFonts w:ascii="等线" w:hAnsi="等线" w:eastAsia="等线"/>
          <w:b/>
          <w:color w:val="B81F24"/>
          <w:sz w:val="22"/>
        </w:rPr>
        <w:t>6 CHAPTER</w:t>
      </w:r>
    </w:p>
    <w:p>
      <w:pPr>
        <w:pStyle w:val="Heading1"/>
        <w:spacing w:before="40" w:after="120"/>
      </w:pPr>
      <w:r>
        <w:rPr>
          <w:rFonts w:ascii="黑体" w:hAnsi="黑体" w:eastAsia="黑体"/>
          <w:b/>
          <w:color w:val="2B2B2B"/>
          <w:sz w:val="40"/>
        </w:rPr>
        <w:t>风险管控</w:t>
      </w:r>
    </w:p>
    <w:p>
      <w:r>
        <w:rPr>
          <w:rFonts w:ascii="等线" w:hAnsi="等线" w:eastAsia="等线"/>
          <w:b w:val="0"/>
          <w:color w:val="666666"/>
          <w:sz w:val="24"/>
        </w:rPr>
        <w:t>第6章 · 主要风险识别与应对措施</w:t>
      </w:r>
    </w:p>
    <w:p>
      <w:pPr>
        <w:spacing w:after="200"/>
        <w:pBdr>
          <w:bottom w:val="single" w:sz="8" w:space="1" w:color="B81F24"/>
        </w:pBdr>
      </w:pP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一、数据安全风险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客户数据集中整合后，需强化数据分级分类管理，落实《个人信息保护法》及监管数据安全要求，建立数据脱敏与访问审计机制。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二、模型与算法风险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智能投顾、精准营销模型需定期回溯检验，防范模型偏差导致的客户适当性问题，设立模型治理委员会。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三、运营与转型风险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网点转型过程中需防范员工技能断层、客户体验波动，建议设置6个月过渡期与客户满意度实时监测机制。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四、合规与监管风险</w:t>
      </w:r>
    </w:p>
    <w:p>
      <w:pPr>
        <w:spacing w:after="80"/>
      </w:pPr>
      <w:r>
        <w:rPr>
          <w:rFonts w:ascii="等线" w:hAnsi="等线" w:eastAsia="等线"/>
          <w:b w:val="0"/>
          <w:i w:val="0"/>
          <w:color w:val="2B2B2B"/>
          <w:sz w:val="23"/>
        </w:rPr>
        <w:t>密切跟踪国家金融监督管理总局关于开放银行、数据治理相关监管要求，确保各项创新业务"合规先行"。</w:t>
      </w:r>
    </w:p>
    <w:p>
      <w:pPr>
        <w:spacing w:before="160" w:after="80"/>
      </w:pPr>
      <w:r>
        <w:rPr>
          <w:rFonts w:ascii="黑体" w:hAnsi="黑体" w:eastAsia="黑体"/>
          <w:b/>
          <w:color w:val="B81F24"/>
          <w:sz w:val="26"/>
        </w:rPr>
        <w:t>风险应对总原则</w:t>
      </w:r>
    </w:p>
    <w:p>
      <w:pPr>
        <w:spacing w:after="80"/>
      </w:pPr>
      <w:r>
        <w:rPr>
          <w:rFonts w:ascii="等线" w:hAnsi="等线" w:eastAsia="等线"/>
          <w:b/>
          <w:i w:val="0"/>
          <w:color w:val="B81F24"/>
          <w:sz w:val="23"/>
        </w:rPr>
        <w:t>风险与发展并重，建立"事前评估—事中监控—事后复盘"全流程风险管理闭环。</w:t>
      </w:r>
    </w:p>
    <w:p>
      <w:pPr>
        <w:spacing w:before="120"/>
      </w:pPr>
      <w:r>
        <w:rPr>
          <w:rFonts w:ascii="等线" w:hAnsi="等线" w:eastAsia="等线"/>
          <w:b/>
          <w:color w:val="B81F24"/>
          <w:sz w:val="22"/>
        </w:rPr>
        <w:t>图表建议：</w:t>
      </w:r>
      <w:r>
        <w:rPr>
          <w:rFonts w:ascii="等线" w:hAnsi="等线" w:eastAsia="等线"/>
          <w:b w:val="0"/>
          <w:color w:val="666666"/>
          <w:sz w:val="22"/>
        </w:rPr>
        <w:t>风险矩阵图（雷达图或四象限图）——横轴为"发生概率"，纵轴为"影响程度"，标注数据安全、模型风险、运营风险、合规风险四类风险的相对位置。</w:t>
      </w:r>
    </w:p>
    <w:p>
      <w:r>
        <w:br w:type="page"/>
      </w:r>
    </w:p>
    <w:p/>
    <w:p/>
    <w:p>
      <w:pPr>
        <w:jc w:val="center"/>
      </w:pPr>
      <w:r>
        <w:rPr>
          <w:rFonts w:ascii="黑体" w:hAnsi="黑体" w:eastAsia="黑体"/>
          <w:b/>
          <w:color w:val="B81F24"/>
          <w:sz w:val="60"/>
        </w:rPr>
        <w:t>感谢聆听</w:t>
      </w:r>
    </w:p>
    <w:p>
      <w:pPr>
        <w:jc w:val="center"/>
      </w:pPr>
      <w:r>
        <w:rPr>
          <w:rFonts w:ascii="等线" w:hAnsi="等线" w:eastAsia="等线"/>
          <w:b w:val="0"/>
          <w:color w:val="2B2B2B"/>
          <w:sz w:val="28"/>
        </w:rPr>
        <w:t>期待与您进一步交流</w:t>
      </w:r>
    </w:p>
    <w:p/>
    <w:p>
      <w:pPr>
        <w:jc w:val="center"/>
      </w:pPr>
      <w:r>
        <w:rPr>
          <w:rFonts w:ascii="等线" w:hAnsi="等线" w:eastAsia="等线"/>
          <w:b w:val="0"/>
          <w:color w:val="666666"/>
          <w:sz w:val="22"/>
        </w:rPr>
        <w:t>联系人：李明　｜　邮箱：contact@huaxinbank.example.com</w:t>
      </w:r>
    </w:p>
    <w:p>
      <w:pPr>
        <w:jc w:val="center"/>
      </w:pPr>
      <w:r>
        <w:rPr>
          <w:rFonts w:ascii="等线" w:hAnsi="等线" w:eastAsia="等线"/>
          <w:b w:val="0"/>
          <w:color w:val="666666"/>
          <w:sz w:val="20"/>
        </w:rPr>
        <w:t>数字金融部 · The Slogan：数字驱动 稳健致远 · 2026 华信银行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