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通过对实际技术支持咨询记录的系统性梳理，项目组提炼出三条具有普遍适用性的共性特征，这些特征并不局限于某一具体平台或场景：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sz w:val="24"/>
        </w:rPr>
        <w:t>特征三：问答闭环离不开人工参与。</w:t>
      </w:r>
      <w:r>
        <w:rPr>
          <w:rFonts w:ascii="仿宋_GB2312" w:hAnsi="仿宋_GB2312" w:eastAsia="仿宋_GB2312"/>
          <w:b w:val="0"/>
          <w:sz w:val="24"/>
        </w:rPr>
        <w:t>机器既无法独立应答所有问题——复杂场景判断等超出当前AI能力边界的问题，最终仍需人工兜底；也无法独立完成自身能力的迭代——知识库和技能库的内容补充，同样依赖人工的判断与操作。这意味着任何技术支持问答体系要真正规模化运转，都必须为人工预留合理的参与环节，而非追求"完全无人化"。</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设计理念：三条核心价值主张</w:t>
      </w:r>
    </w:p>
    <w:p>
      <w:pPr>
        <w:spacing w:after="160"/>
      </w:pPr>
      <w:r>
        <w:rPr>
          <w:rFonts w:ascii="仿宋_GB2312" w:hAnsi="仿宋_GB2312" w:eastAsia="仿宋_GB2312"/>
          <w:b w:val="0"/>
          <w:sz w:val="24"/>
        </w:rPr>
        <w:t>本方案的设计理念由三条核心价值主张支撑，分别回应1.2中提炼的三条共性特征：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仿宋_GB2312" w:hAnsi="仿宋_GB2312" w:eastAsia="仿宋_GB2312"/>
          <w:b/>
          <w:sz w:val="24"/>
        </w:rPr>
        <w:t>价值主张三：人工参与的精准聚焦，而非粗放式消耗。</w:t>
      </w:r>
      <w:r>
        <w:rPr>
          <w:rFonts w:ascii="仿宋_GB2312" w:hAnsi="仿宋_GB2312" w:eastAsia="仿宋_GB2312"/>
          <w:b w:val="0"/>
          <w:sz w:val="24"/>
        </w:rPr>
        <w:t>现阶段问答闭环离不开人工兜底与治理，但核心价值在于通过终态判断与知识自增长机制，把有限人工精准投放到复杂场景判断、知识技能治理等高价值环节，避免被长尾问题稀释消耗，并以此持续收敛人工参与的边界。</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03586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035866"/>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按"知识库答案/等待提示→技能答案→文档兜底"分阶段渐进交付答案，是否展示人工支持按钮由知识库答案状态与候选技能是否存在的组合判断是否已到达终态，具体组合逻辑如下：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知识库检索结果</w:t>
            </w:r>
          </w:p>
        </w:tc>
        <w:tc>
          <w:tcPr>
            <w:tcW w:type="dxa" w:w="2160"/>
          </w:tcPr>
          <w:p>
            <w:r>
              <w:rPr>
                <w:rFonts w:ascii="仿宋_GB2312" w:hAnsi="仿宋_GB2312" w:eastAsia="仿宋_GB2312"/>
                <w:b/>
                <w:sz w:val="22"/>
              </w:rPr>
              <w:t>候选技能是否存在</w:t>
            </w:r>
          </w:p>
        </w:tc>
        <w:tc>
          <w:tcPr>
            <w:tcW w:type="dxa" w:w="2160"/>
          </w:tcPr>
          <w:p>
            <w:r>
              <w:rPr>
                <w:rFonts w:ascii="仿宋_GB2312" w:hAnsi="仿宋_GB2312" w:eastAsia="仿宋_GB2312"/>
                <w:b/>
                <w:sz w:val="22"/>
              </w:rPr>
              <w:t>是否终态</w:t>
            </w:r>
          </w:p>
        </w:tc>
        <w:tc>
          <w:tcPr>
            <w:tcW w:type="dxa" w:w="2160"/>
          </w:tcPr>
          <w:p>
            <w:r>
              <w:rPr>
                <w:rFonts w:ascii="仿宋_GB2312" w:hAnsi="仿宋_GB2312" w:eastAsia="仿宋_GB2312"/>
                <w:b/>
                <w:sz w:val="22"/>
              </w:rPr>
              <w:t>后续处理</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是</w:t>
            </w:r>
          </w:p>
        </w:tc>
        <w:tc>
          <w:tcPr>
            <w:tcW w:type="dxa" w:w="2160"/>
          </w:tcPr>
          <w:p>
            <w:r>
              <w:rPr>
                <w:rFonts w:ascii="仿宋_GB2312" w:hAnsi="仿宋_GB2312" w:eastAsia="仿宋_GB2312"/>
                <w:b w:val="0"/>
                <w:sz w:val="22"/>
              </w:rPr>
              <w:t>直接展示知识库答案，提供人工支持按钮</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知识库答案作为过渡参考，触发技能执行Agent，暂不提供人工支持按钮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展示等待提示，跳过技能执行，直接进入文档推荐兜底，暂不提供人工支持按钮</w:t>
            </w:r>
          </w:p>
        </w:tc>
      </w:tr>
    </w:tbl>
    <w:p>
      <w:pPr>
        <w:spacing w:after="80"/>
      </w:pPr>
    </w:p>
    <w:p>
      <w:pPr>
        <w:spacing w:after="160"/>
      </w:pPr>
      <w:r>
        <w:rPr>
          <w:rFonts w:ascii="仿宋_GB2312" w:hAnsi="仿宋_GB2312" w:eastAsia="仿宋_GB2312"/>
          <w:b w:val="0"/>
          <w:sz w:val="21"/>
        </w:rPr>
        <w:t>说明：技能执行完成、或文档推荐兜底返回后（无论结果如何），均视为到达终态，统一提供人工支持按钮，避免用户看到质量一般的中间结果就提前转向人工、也避免用户在不知情的情况下无限等待。</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该方案本体已基于编码通(新)这一低代码技术支持场景完成落地，以下为落地后的具体情况。</w:t>
      </w:r>
    </w:p>
    <w:p>
      <w:pPr>
        <w:spacing w:after="160"/>
      </w:pPr>
      <w:r>
        <w:rPr>
          <w:rFonts w:ascii="黑体" w:hAnsi="黑体" w:eastAsia="黑体"/>
          <w:b/>
          <w:sz w:val="28"/>
        </w:rPr>
        <w:t>3.1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3.2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3.3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3.4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