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黑体" w:hAnsi="黑体" w:eastAsia="黑体"/>
          <w:b/>
          <w:sz w:val="44"/>
        </w:rPr>
        <w:t>智能技术支持问答体系——面向低代码产品矩阵的可复制方案</w:t>
        <w:br/>
        <w:t>(核心落地案例：编码通(新))</w:t>
      </w:r>
    </w:p>
    <w:p>
      <w:pPr>
        <w:spacing w:after="200"/>
      </w:pPr>
      <w:r>
        <w:rPr>
          <w:rFonts w:ascii="黑体" w:hAnsi="黑体" w:eastAsia="黑体"/>
          <w:b/>
          <w:sz w:val="32"/>
        </w:rPr>
        <w:t>一、定义问题</w:t>
      </w:r>
    </w:p>
    <w:p>
      <w:pPr>
        <w:spacing w:after="160"/>
      </w:pPr>
      <w:r>
        <w:rPr>
          <w:rFonts w:ascii="黑体" w:hAnsi="黑体" w:eastAsia="黑体"/>
          <w:b/>
          <w:sz w:val="28"/>
        </w:rPr>
        <w:t>1.1 行业趋势与通用诉求</w:t>
      </w:r>
    </w:p>
    <w:p>
      <w:pPr>
        <w:spacing w:after="160"/>
      </w:pPr>
      <w:r>
        <w:rPr>
          <w:rFonts w:ascii="仿宋_GB2312" w:hAnsi="仿宋_GB2312" w:eastAsia="仿宋_GB2312"/>
          <w:b w:val="0"/>
          <w:sz w:val="24"/>
        </w:rPr>
        <w:t>随着大语言模型技术的成熟，结合企业私有知识的智能问答正在成为技术支持的主流范式。无论是面向内部员工还是面向外部客户的技术支持场景，"人工客服+文档检索"的传统模式普遍面临规模化瓶颈——重复性问题的解答边际成本居高不下，而真正需要经验判断的复杂问题又容易被淹没其中，难以获得足够关注。</w:t>
      </w:r>
    </w:p>
    <w:p>
      <w:pPr>
        <w:spacing w:after="160"/>
      </w:pPr>
      <w:r>
        <w:rPr>
          <w:rFonts w:ascii="黑体" w:hAnsi="黑体" w:eastAsia="黑体"/>
          <w:b/>
          <w:sz w:val="28"/>
        </w:rPr>
        <w:t>1.2 技术支持场景的共性特征</w:t>
      </w:r>
    </w:p>
    <w:p>
      <w:pPr>
        <w:spacing w:after="160"/>
      </w:pPr>
      <w:r>
        <w:rPr>
          <w:rFonts w:ascii="仿宋_GB2312" w:hAnsi="仿宋_GB2312" w:eastAsia="仿宋_GB2312"/>
          <w:b w:val="0"/>
          <w:sz w:val="24"/>
        </w:rPr>
        <w:t>通过对实际技术支持咨询记录的系统性梳理，项目组提炼出三条具有普遍适用性的共性特征，这些特征并不局限于某一具体平台或场景：</w:t>
      </w:r>
    </w:p>
    <w:p>
      <w:pPr>
        <w:spacing w:after="160"/>
      </w:pPr>
      <w:r>
        <w:rPr>
          <w:rFonts w:ascii="仿宋_GB2312" w:hAnsi="仿宋_GB2312" w:eastAsia="仿宋_GB2312"/>
          <w:b/>
          <w:sz w:val="24"/>
        </w:rPr>
        <w:t>特征一：用户问题天然分层。</w:t>
      </w:r>
      <w:r>
        <w:rPr>
          <w:rFonts w:ascii="仿宋_GB2312" w:hAnsi="仿宋_GB2312" w:eastAsia="仿宋_GB2312"/>
          <w:b w:val="0"/>
          <w:sz w:val="24"/>
        </w:rPr>
        <w:t>用户咨询并非同质化的"一个问题一个答案"，而是天然可以划分为四种性质截然不同的类型：</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仿宋_GB2312" w:hAnsi="仿宋_GB2312" w:eastAsia="仿宋_GB2312"/>
                <w:b/>
                <w:sz w:val="22"/>
              </w:rPr>
              <w:t>问题类型</w:t>
            </w:r>
          </w:p>
        </w:tc>
        <w:tc>
          <w:tcPr>
            <w:tcW w:type="dxa" w:w="2880"/>
          </w:tcPr>
          <w:p>
            <w:r>
              <w:rPr>
                <w:rFonts w:ascii="仿宋_GB2312" w:hAnsi="仿宋_GB2312" w:eastAsia="仿宋_GB2312"/>
                <w:b/>
                <w:sz w:val="22"/>
              </w:rPr>
              <w:t>特征描述</w:t>
            </w:r>
          </w:p>
        </w:tc>
        <w:tc>
          <w:tcPr>
            <w:tcW w:type="dxa" w:w="2880"/>
          </w:tcPr>
          <w:p>
            <w:r>
              <w:rPr>
                <w:rFonts w:ascii="仿宋_GB2312" w:hAnsi="仿宋_GB2312" w:eastAsia="仿宋_GB2312"/>
                <w:b/>
                <w:sz w:val="22"/>
              </w:rPr>
              <w:t>占比</w:t>
            </w:r>
          </w:p>
        </w:tc>
      </w:tr>
      <w:tr>
        <w:tc>
          <w:tcPr>
            <w:tcW w:type="dxa" w:w="2880"/>
          </w:tcPr>
          <w:p>
            <w:r>
              <w:rPr>
                <w:rFonts w:ascii="仿宋_GB2312" w:hAnsi="仿宋_GB2312" w:eastAsia="仿宋_GB2312"/>
                <w:b w:val="0"/>
                <w:sz w:val="22"/>
              </w:rPr>
              <w:t>确定性问题</w:t>
            </w:r>
          </w:p>
        </w:tc>
        <w:tc>
          <w:tcPr>
            <w:tcW w:type="dxa" w:w="2880"/>
          </w:tcPr>
          <w:p>
            <w:r>
              <w:rPr>
                <w:rFonts w:ascii="仿宋_GB2312" w:hAnsi="仿宋_GB2312" w:eastAsia="仿宋_GB2312"/>
                <w:b w:val="0"/>
                <w:sz w:val="22"/>
              </w:rPr>
              <w:t>规则明确、答案固定，可通过标准知识直接解答</w:t>
            </w:r>
          </w:p>
        </w:tc>
        <w:tc>
          <w:tcPr>
            <w:tcW w:type="dxa" w:w="2880"/>
          </w:tcPr>
          <w:p>
            <w:r>
              <w:rPr>
                <w:rFonts w:ascii="仿宋_GB2312" w:hAnsi="仿宋_GB2312" w:eastAsia="仿宋_GB2312"/>
                <w:b w:val="0"/>
                <w:sz w:val="22"/>
              </w:rPr>
              <w:t>27.7%</w:t>
            </w:r>
          </w:p>
        </w:tc>
      </w:tr>
      <w:tr>
        <w:tc>
          <w:tcPr>
            <w:tcW w:type="dxa" w:w="2880"/>
          </w:tcPr>
          <w:p>
            <w:r>
              <w:rPr>
                <w:rFonts w:ascii="仿宋_GB2312" w:hAnsi="仿宋_GB2312" w:eastAsia="仿宋_GB2312"/>
                <w:b w:val="0"/>
                <w:sz w:val="22"/>
              </w:rPr>
              <w:t>推理性问题</w:t>
            </w:r>
          </w:p>
        </w:tc>
        <w:tc>
          <w:tcPr>
            <w:tcW w:type="dxa" w:w="2880"/>
          </w:tcPr>
          <w:p>
            <w:r>
              <w:rPr>
                <w:rFonts w:ascii="仿宋_GB2312" w:hAnsi="仿宋_GB2312" w:eastAsia="仿宋_GB2312"/>
                <w:b w:val="0"/>
                <w:sz w:val="22"/>
              </w:rPr>
              <w:t>解决思路/方法固定，但需结合用户具体业务场景、数据结构生成针对性答案</w:t>
            </w:r>
          </w:p>
        </w:tc>
        <w:tc>
          <w:tcPr>
            <w:tcW w:type="dxa" w:w="2880"/>
          </w:tcPr>
          <w:p>
            <w:r>
              <w:rPr>
                <w:rFonts w:ascii="仿宋_GB2312" w:hAnsi="仿宋_GB2312" w:eastAsia="仿宋_GB2312"/>
                <w:b w:val="0"/>
                <w:sz w:val="22"/>
              </w:rPr>
              <w:t>68.2%</w:t>
            </w:r>
          </w:p>
        </w:tc>
      </w:tr>
      <w:tr>
        <w:tc>
          <w:tcPr>
            <w:tcW w:type="dxa" w:w="2880"/>
          </w:tcPr>
          <w:p>
            <w:r>
              <w:rPr>
                <w:rFonts w:ascii="仿宋_GB2312" w:hAnsi="仿宋_GB2312" w:eastAsia="仿宋_GB2312"/>
                <w:b w:val="0"/>
                <w:sz w:val="22"/>
              </w:rPr>
              <w:t>场景可行性评估</w:t>
            </w:r>
          </w:p>
        </w:tc>
        <w:tc>
          <w:tcPr>
            <w:tcW w:type="dxa" w:w="2880"/>
          </w:tcPr>
          <w:p>
            <w:r>
              <w:rPr>
                <w:rFonts w:ascii="仿宋_GB2312" w:hAnsi="仿宋_GB2312" w:eastAsia="仿宋_GB2312"/>
                <w:b w:val="0"/>
                <w:sz w:val="22"/>
              </w:rPr>
              <w:t>需协助用户判断某一业务场景能否实现，涉及复杂业务判断，超出规则化、模板化应答的能力边界</w:t>
            </w:r>
          </w:p>
        </w:tc>
        <w:tc>
          <w:tcPr>
            <w:tcW w:type="dxa" w:w="2880"/>
          </w:tcPr>
          <w:p>
            <w:r>
              <w:rPr>
                <w:rFonts w:ascii="仿宋_GB2312" w:hAnsi="仿宋_GB2312" w:eastAsia="仿宋_GB2312"/>
                <w:b w:val="0"/>
                <w:sz w:val="22"/>
              </w:rPr>
              <w:t>3.6%</w:t>
            </w:r>
          </w:p>
        </w:tc>
      </w:tr>
      <w:tr>
        <w:tc>
          <w:tcPr>
            <w:tcW w:type="dxa" w:w="2880"/>
          </w:tcPr>
          <w:p>
            <w:r>
              <w:rPr>
                <w:rFonts w:ascii="仿宋_GB2312" w:hAnsi="仿宋_GB2312" w:eastAsia="仿宋_GB2312"/>
                <w:b w:val="0"/>
                <w:sz w:val="22"/>
              </w:rPr>
              <w:t>需求/BUG反馈</w:t>
            </w:r>
          </w:p>
        </w:tc>
        <w:tc>
          <w:tcPr>
            <w:tcW w:type="dxa" w:w="2880"/>
          </w:tcPr>
          <w:p>
            <w:r>
              <w:rPr>
                <w:rFonts w:ascii="仿宋_GB2312" w:hAnsi="仿宋_GB2312" w:eastAsia="仿宋_GB2312"/>
                <w:b w:val="0"/>
                <w:sz w:val="22"/>
              </w:rPr>
              <w:t>用户对产品功能提出的改进诉求或缺陷反馈，非"问答"性质</w:t>
            </w:r>
          </w:p>
        </w:tc>
        <w:tc>
          <w:tcPr>
            <w:tcW w:type="dxa" w:w="2880"/>
          </w:tcPr>
          <w:p>
            <w:r>
              <w:rPr>
                <w:rFonts w:ascii="仿宋_GB2312" w:hAnsi="仿宋_GB2312" w:eastAsia="仿宋_GB2312"/>
                <w:b w:val="0"/>
                <w:sz w:val="22"/>
              </w:rPr>
              <w:t>0.4%</w:t>
            </w:r>
          </w:p>
        </w:tc>
      </w:tr>
    </w:tbl>
    <w:p>
      <w:pPr>
        <w:spacing w:after="80"/>
      </w:pPr>
    </w:p>
    <w:p>
      <w:pPr>
        <w:spacing w:after="160"/>
      </w:pPr>
      <w:r>
        <w:rPr>
          <w:rFonts w:ascii="仿宋_GB2312" w:hAnsi="仿宋_GB2312" w:eastAsia="仿宋_GB2312"/>
          <w:b w:val="0"/>
          <w:sz w:val="21"/>
        </w:rPr>
        <w:t>说明：占比数据基于低代码场景近期历史咨询会话记录的统计分析（通过AI辅助分类统计），该分类标准与统计方法与具体业务逻辑无关，可直接套用于其他技术支持场景。</w:t>
      </w:r>
    </w:p>
    <w:p>
      <w:pPr>
        <w:spacing w:after="160"/>
      </w:pPr>
      <w:r>
        <w:rPr>
          <w:rFonts w:ascii="仿宋_GB2312" w:hAnsi="仿宋_GB2312" w:eastAsia="仿宋_GB2312"/>
          <w:b/>
          <w:sz w:val="24"/>
        </w:rPr>
        <w:t>特征二：响应速度与答案质量的权衡。</w:t>
      </w:r>
      <w:r>
        <w:rPr>
          <w:rFonts w:ascii="仿宋_GB2312" w:hAnsi="仿宋_GB2312" w:eastAsia="仿宋_GB2312"/>
          <w:b w:val="0"/>
          <w:sz w:val="24"/>
        </w:rPr>
        <w:t>追求极致的响应速度（如简单的关键词匹配）往往意味着答案质量的妥协；而追求答案的精准与个性化（如深度推理）又天然伴随着更高的计算成本和响应延迟，如何在两者间取得平衡，是任何AI问答系统都绕不开的设计难题。</w:t>
      </w:r>
    </w:p>
    <w:p>
      <w:pPr>
        <w:spacing w:after="160"/>
      </w:pPr>
      <w:r>
        <w:rPr>
          <w:rFonts w:ascii="仿宋_GB2312" w:hAnsi="仿宋_GB2312" w:eastAsia="仿宋_GB2312"/>
          <w:b/>
          <w:sz w:val="24"/>
        </w:rPr>
        <w:t>特征三：问答闭环离不开人工参与。</w:t>
      </w:r>
      <w:r>
        <w:rPr>
          <w:rFonts w:ascii="仿宋_GB2312" w:hAnsi="仿宋_GB2312" w:eastAsia="仿宋_GB2312"/>
          <w:b w:val="0"/>
          <w:sz w:val="24"/>
        </w:rPr>
        <w:t>机器既无法独立应答所有问题——复杂场景判断等超出当前AI能力边界的问题，最终仍需人工兜底；也无法独立完成自身能力的迭代——知识库和技能库的内容补充，同样依赖人工的判断与操作。这意味着任何技术支持问答体系要真正规模化运转，都必须为人工预留合理的参与环节，而非追求"完全无人化"。</w:t>
      </w:r>
    </w:p>
    <w:p>
      <w:pPr>
        <w:spacing w:after="200"/>
      </w:pPr>
      <w:r>
        <w:rPr>
          <w:rFonts w:ascii="黑体" w:hAnsi="黑体" w:eastAsia="黑体"/>
          <w:b/>
          <w:sz w:val="32"/>
        </w:rPr>
        <w:t>二、方案本体：一套可复制的智能技术支持问答体系</w:t>
      </w:r>
    </w:p>
    <w:p>
      <w:pPr>
        <w:spacing w:after="160"/>
      </w:pPr>
      <w:r>
        <w:rPr>
          <w:rFonts w:ascii="仿宋_GB2312" w:hAnsi="仿宋_GB2312" w:eastAsia="仿宋_GB2312"/>
          <w:b w:val="0"/>
          <w:sz w:val="24"/>
        </w:rPr>
        <w:t>本章节介绍的是一套面向上述三条共性特征设计的</w:t>
      </w:r>
      <w:r>
        <w:rPr>
          <w:rFonts w:ascii="仿宋_GB2312" w:hAnsi="仿宋_GB2312" w:eastAsia="仿宋_GB2312"/>
          <w:b/>
          <w:sz w:val="24"/>
        </w:rPr>
        <w:t>通用技术支持问答体系</w:t>
      </w:r>
      <w:r>
        <w:rPr>
          <w:rFonts w:ascii="仿宋_GB2312" w:hAnsi="仿宋_GB2312" w:eastAsia="仿宋_GB2312"/>
          <w:b w:val="0"/>
          <w:sz w:val="24"/>
        </w:rPr>
        <w:t>，核心引擎、Agent协同模式等通用能力与知识库内容、SKILL清单等具体业务数据层彻底解耦，理论上可迁移到任意技术支持问答场景（实际落地与复用情况详见三、实践成效）。</w:t>
      </w:r>
    </w:p>
    <w:p>
      <w:pPr>
        <w:spacing w:after="160"/>
      </w:pPr>
      <w:r>
        <w:rPr>
          <w:rFonts w:ascii="黑体" w:hAnsi="黑体" w:eastAsia="黑体"/>
          <w:b/>
          <w:sz w:val="28"/>
        </w:rPr>
        <w:t>2.1 设计理念：三条核心价值主张</w:t>
      </w:r>
    </w:p>
    <w:p>
      <w:pPr>
        <w:spacing w:after="160"/>
      </w:pPr>
      <w:r>
        <w:rPr>
          <w:rFonts w:ascii="仿宋_GB2312" w:hAnsi="仿宋_GB2312" w:eastAsia="仿宋_GB2312"/>
          <w:b w:val="0"/>
          <w:sz w:val="24"/>
        </w:rPr>
        <w:t>本方案的设计理念由三条核心价值主张支撑，分别回应1.2中提炼的三条共性特征：</w:t>
      </w:r>
    </w:p>
    <w:p>
      <w:pPr>
        <w:spacing w:after="160"/>
      </w:pPr>
      <w:r>
        <w:rPr>
          <w:rFonts w:ascii="仿宋_GB2312" w:hAnsi="仿宋_GB2312" w:eastAsia="仿宋_GB2312"/>
          <w:b/>
          <w:sz w:val="24"/>
        </w:rPr>
        <w:t>价值主张一：问题分层应答，而非单一维度的问答功能。</w:t>
      </w:r>
      <w:r>
        <w:rPr>
          <w:rFonts w:ascii="仿宋_GB2312" w:hAnsi="仿宋_GB2312" w:eastAsia="仿宋_GB2312"/>
          <w:b w:val="0"/>
          <w:sz w:val="24"/>
        </w:rPr>
        <w:t>基于"用户问题天然分层"的洞察，设计"检索—推理—人工"能力分级响应、且具备知识自我闭环能力的体系，实现从"人工被动答疑"到"AI主动分层拦截、人工高价值兜底"的转变。</w:t>
      </w:r>
    </w:p>
    <w:p>
      <w:pPr>
        <w:spacing w:after="160"/>
      </w:pPr>
      <w:r>
        <w:rPr>
          <w:rFonts w:ascii="仿宋_GB2312" w:hAnsi="仿宋_GB2312" w:eastAsia="仿宋_GB2312"/>
          <w:b/>
          <w:sz w:val="24"/>
        </w:rPr>
        <w:t>价值主张二：计算资源利用效率与用户体验的动态平衡，而非非此即彼的取舍。</w:t>
      </w:r>
      <w:r>
        <w:rPr>
          <w:rFonts w:ascii="仿宋_GB2312" w:hAnsi="仿宋_GB2312" w:eastAsia="仿宋_GB2312"/>
          <w:b w:val="0"/>
          <w:sz w:val="24"/>
        </w:rPr>
        <w:t>通过上游单点精确决策、按需触发下游执行、状态组合驱动的终态判断与分阶段渐进交付等机制，把有限的计算资源集中投入到真正有价值的推理环节上。</w:t>
      </w:r>
    </w:p>
    <w:p>
      <w:pPr>
        <w:spacing w:after="160"/>
      </w:pPr>
      <w:r>
        <w:rPr>
          <w:rFonts w:ascii="仿宋_GB2312" w:hAnsi="仿宋_GB2312" w:eastAsia="仿宋_GB2312"/>
          <w:b/>
          <w:sz w:val="24"/>
        </w:rPr>
        <w:t>价值主张三：人工参与的精准聚焦，而非粗放式消耗。</w:t>
      </w:r>
      <w:r>
        <w:rPr>
          <w:rFonts w:ascii="仿宋_GB2312" w:hAnsi="仿宋_GB2312" w:eastAsia="仿宋_GB2312"/>
          <w:b w:val="0"/>
          <w:sz w:val="24"/>
        </w:rPr>
        <w:t>现阶段问答闭环离不开人工兜底与治理，但核心价值在于通过终态判断与知识自增长机制，把有限人工精准投放到复杂场景判断、知识技能治理等高价值环节，避免被长尾问题稀释消耗，并以此持续收敛人工参与的边界。</w:t>
      </w:r>
    </w:p>
    <w:p>
      <w:pPr>
        <w:spacing w:after="160"/>
      </w:pPr>
      <w:r>
        <w:rPr>
          <w:rFonts w:ascii="黑体" w:hAnsi="黑体" w:eastAsia="黑体"/>
          <w:b/>
          <w:sz w:val="28"/>
        </w:rPr>
        <w:t>2.2 通用架构概览</w:t>
      </w:r>
    </w:p>
    <w:p>
      <w:pPr>
        <w:spacing w:after="160"/>
      </w:pPr>
      <w:r>
        <w:rPr>
          <w:rFonts w:ascii="仿宋_GB2312" w:hAnsi="仿宋_GB2312" w:eastAsia="仿宋_GB2312"/>
          <w:b w:val="0"/>
          <w:sz w:val="24"/>
        </w:rPr>
        <w:t>系统按"预处理→核心应答→渐进交付与人工协同→知识自增长"四个阶段构建通用链路，各阶段的编排逻辑与具体业务平台解耦，接入新场景只需替换知识库、SKILL清单、文档库等数据层。架构中的人工环节，是当前AI能力尚无法完全自主覆盖复杂判断与知识缺口填补的务实安排，而非设计追求的理念本身。</w:t>
      </w:r>
    </w:p>
    <w:p>
      <w:pPr>
        <w:spacing w:after="80"/>
        <w:jc w:val="center"/>
      </w:pPr>
      <w:r>
        <w:drawing>
          <wp:inline xmlns:a="http://schemas.openxmlformats.org/drawingml/2006/main" xmlns:pic="http://schemas.openxmlformats.org/drawingml/2006/picture">
            <wp:extent cx="4572000" cy="7035866"/>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4572000" cy="7035866"/>
                    </a:xfrm>
                    <a:prstGeom prst="rect"/>
                  </pic:spPr>
                </pic:pic>
              </a:graphicData>
            </a:graphic>
          </wp:inline>
        </w:drawing>
      </w:r>
    </w:p>
    <w:p>
      <w:pPr>
        <w:spacing w:after="160"/>
      </w:pPr>
      <w:r>
        <w:rPr>
          <w:rFonts w:ascii="仿宋_GB2312" w:hAnsi="仿宋_GB2312" w:eastAsia="仿宋_GB2312"/>
          <w:b w:val="0"/>
          <w:sz w:val="21"/>
        </w:rPr>
        <w:t>图1 整体架构图：两个人工入口、核心应答链路与知识自增长闭环</w:t>
      </w:r>
    </w:p>
    <w:p>
      <w:pPr>
        <w:spacing w:after="160"/>
      </w:pPr>
      <w:r>
        <w:rPr>
          <w:rFonts w:ascii="黑体" w:hAnsi="黑体" w:eastAsia="黑体"/>
          <w:b/>
          <w:sz w:val="28"/>
        </w:rPr>
        <w:t>2.3 问题预处理：查询标准化与提问有效性过滤</w:t>
      </w:r>
    </w:p>
    <w:p>
      <w:pPr>
        <w:spacing w:after="160"/>
      </w:pPr>
      <w:r>
        <w:rPr>
          <w:rFonts w:ascii="仿宋_GB2312" w:hAnsi="仿宋_GB2312" w:eastAsia="仿宋_GB2312"/>
          <w:b w:val="0"/>
          <w:sz w:val="24"/>
        </w:rPr>
        <w:t>用户提问口语化、表达随意，直接检索容易"文不对题"。系统先通过大模型将原始问题改写为书面化标准问句，再进入检索加工。同时引入提问有效性过滤：规则层过滤明显无效内容，语义层判断是否包含真实的问题、报错或阻碍，只有通过双层过滤的提问才计入熔断计时（具体规则不做展开，避免被针对性绕过）。</w:t>
      </w:r>
    </w:p>
    <w:p>
      <w:pPr>
        <w:spacing w:after="160"/>
      </w:pPr>
      <w:r>
        <w:rPr>
          <w:rFonts w:ascii="黑体" w:hAnsi="黑体" w:eastAsia="黑体"/>
          <w:b/>
          <w:sz w:val="28"/>
        </w:rPr>
        <w:t>2.4 核心引擎：三级递进应答与人工入口动态管控</w:t>
      </w:r>
    </w:p>
    <w:p>
      <w:pPr>
        <w:spacing w:after="160"/>
      </w:pPr>
      <w:r>
        <w:rPr>
          <w:rFonts w:ascii="仿宋_GB2312" w:hAnsi="仿宋_GB2312" w:eastAsia="仿宋_GB2312"/>
          <w:b/>
          <w:sz w:val="24"/>
        </w:rPr>
        <w:t>（1）三级应答能力</w:t>
      </w:r>
    </w:p>
    <w:p>
      <w:pPr>
        <w:spacing w:after="160"/>
      </w:pPr>
      <w:r>
        <w:rPr>
          <w:rFonts w:ascii="仿宋_GB2312" w:hAnsi="仿宋_GB2312" w:eastAsia="仿宋_GB2312"/>
          <w:b/>
          <w:sz w:val="24"/>
        </w:rPr>
        <w:t>第一级·知识库检索：</w:t>
      </w:r>
      <w:r>
        <w:rPr>
          <w:rFonts w:ascii="仿宋_GB2312" w:hAnsi="仿宋_GB2312" w:eastAsia="仿宋_GB2312"/>
          <w:b w:val="0"/>
          <w:sz w:val="24"/>
        </w:rPr>
        <w:t>对接企业知识库做向量检索，知识库内容来源可插拔，与具体业务无关。检索完成后，系统才基于当前问题发起技能判断（见(2)），两者严格先后、不并行——终态判断依赖知识库答案这一前置结果。</w:t>
      </w:r>
    </w:p>
    <w:p>
      <w:pPr>
        <w:spacing w:after="160"/>
      </w:pPr>
      <w:r>
        <w:rPr>
          <w:rFonts w:ascii="仿宋_GB2312" w:hAnsi="仿宋_GB2312" w:eastAsia="仿宋_GB2312"/>
          <w:b/>
          <w:sz w:val="24"/>
        </w:rPr>
        <w:t>第二级·Agent技能推理：</w:t>
      </w:r>
      <w:r>
        <w:rPr>
          <w:rFonts w:ascii="仿宋_GB2312" w:hAnsi="仿宋_GB2312" w:eastAsia="仿宋_GB2312"/>
          <w:b w:val="0"/>
          <w:sz w:val="24"/>
        </w:rPr>
        <w:t>针对需结合用户具体业务场景生成定制化答案的问题，由双Agent解耦架构（见(2)）判断并执行可用技能。</w:t>
      </w:r>
    </w:p>
    <w:p>
      <w:pPr>
        <w:spacing w:after="160"/>
      </w:pPr>
      <w:r>
        <w:rPr>
          <w:rFonts w:ascii="仿宋_GB2312" w:hAnsi="仿宋_GB2312" w:eastAsia="仿宋_GB2312"/>
          <w:b/>
          <w:sz w:val="24"/>
        </w:rPr>
        <w:t>第三级·文档推荐：</w:t>
      </w:r>
      <w:r>
        <w:rPr>
          <w:rFonts w:ascii="仿宋_GB2312" w:hAnsi="仿宋_GB2312" w:eastAsia="仿宋_GB2312"/>
          <w:b w:val="0"/>
          <w:sz w:val="24"/>
        </w:rPr>
        <w:t>前两级均未命中时，基于关键词匹配推荐相关文档，避免"无法回答"的空结果。</w:t>
      </w:r>
    </w:p>
    <w:p>
      <w:pPr>
        <w:spacing w:after="160"/>
      </w:pPr>
      <w:r>
        <w:rPr>
          <w:rFonts w:ascii="仿宋_GB2312" w:hAnsi="仿宋_GB2312" w:eastAsia="仿宋_GB2312"/>
          <w:b w:val="0"/>
          <w:sz w:val="24"/>
        </w:rPr>
        <w:t>机器人答案同步展示知识来源支持溯源，并支持同一对话内的多轮追问。</w:t>
      </w:r>
    </w:p>
    <w:p>
      <w:pPr>
        <w:spacing w:after="160"/>
      </w:pPr>
      <w:r>
        <w:rPr>
          <w:rFonts w:ascii="仿宋_GB2312" w:hAnsi="仿宋_GB2312" w:eastAsia="仿宋_GB2312"/>
          <w:b/>
          <w:sz w:val="24"/>
        </w:rPr>
        <w:t>（2）双Agent解耦架构：上游单点决策，下游纯执行</w:t>
      </w:r>
    </w:p>
    <w:p>
      <w:pPr>
        <w:spacing w:after="160"/>
      </w:pPr>
      <w:r>
        <w:rPr>
          <w:rFonts w:ascii="仿宋_GB2312" w:hAnsi="仿宋_GB2312" w:eastAsia="仿宋_GB2312"/>
          <w:b w:val="0"/>
          <w:sz w:val="24"/>
        </w:rPr>
        <w:t>技能推理为何要拆成两个Agent，而非一个Agent"判断+执行"一气呵成？根本原因在于(3)所述的终态判断与渐进交付机制，需要尽早拿到"是否存在可用技能"这一信号，才能决定是提示用户"更精准答案在路上"，还是直接把知识库答案当终态呈现——缺了这个信号，要么误把过渡态答案当终态，要么让用户盲目等待产生焦虑。但"判断有没有技能"是轻量语义匹配，"调用技能生成答案"却涉及实际执行、耗时高得多：若两者耦合在一个Agent里顺序完成，就必须等执行完才能拿到判断信号，渐进交付也就无从谈起。因此拆分为上游（快速产出信号）与下游（专注执行）两个Agent，这是渐进交付机制得以成立的工程前提。</w:t>
      </w:r>
    </w:p>
    <w:p>
      <w:pPr>
        <w:pStyle w:val="ListBullet"/>
        <w:spacing w:after="160"/>
      </w:pPr>
      <w:r>
        <w:rPr>
          <w:rFonts w:ascii="仿宋_GB2312" w:hAnsi="仿宋_GB2312" w:eastAsia="仿宋_GB2312"/>
          <w:b/>
          <w:sz w:val="24"/>
        </w:rPr>
        <w:t>上游·技能决策Agent：</w:t>
      </w:r>
      <w:r>
        <w:rPr>
          <w:rFonts w:ascii="仿宋_GB2312" w:hAnsi="仿宋_GB2312" w:eastAsia="仿宋_GB2312"/>
          <w:b w:val="0"/>
          <w:sz w:val="24"/>
        </w:rPr>
        <w:t>唯一承担语义判断职责——识别单一或最多2个子需求，每个子需求基于"技能描述所覆盖业务范畴是否与需求相符"精确匹配1个最终技能，产出下游可直接执行、无需二次判断的技能清单。</w:t>
      </w:r>
    </w:p>
    <w:p>
      <w:pPr>
        <w:pStyle w:val="ListBullet"/>
        <w:spacing w:after="160"/>
      </w:pPr>
      <w:r>
        <w:rPr>
          <w:rFonts w:ascii="仿宋_GB2312" w:hAnsi="仿宋_GB2312" w:eastAsia="仿宋_GB2312"/>
          <w:b/>
          <w:sz w:val="24"/>
        </w:rPr>
        <w:t>下游·技能执行Agent：</w:t>
      </w:r>
      <w:r>
        <w:rPr>
          <w:rFonts w:ascii="仿宋_GB2312" w:hAnsi="仿宋_GB2312" w:eastAsia="仿宋_GB2312"/>
          <w:b w:val="0"/>
          <w:sz w:val="24"/>
        </w:rPr>
        <w:t>不做二次语义判断，按清单逐一执行（容忍技能名称≥90%相似度的表述差异），仅在技能确实不存在或调用无有效结果时判定无法执行。</w:t>
      </w:r>
    </w:p>
    <w:p>
      <w:pPr>
        <w:spacing w:after="160"/>
      </w:pPr>
      <w:r>
        <w:rPr>
          <w:rFonts w:ascii="仿宋_GB2312" w:hAnsi="仿宋_GB2312" w:eastAsia="仿宋_GB2312"/>
          <w:b w:val="0"/>
          <w:sz w:val="24"/>
        </w:rPr>
        <w:t>该职责划分由真实运行反馈驱动：早期"上下游各自判断"的两段式设计中，下游会对上游已确认的技能重新产生怀疑、倾向保守拒绝执行，多级独立判断复合放大了误判率。收敛为"上游单点决策、下游纯执行"后，决策一致性和命中率均得到改善。具体SKILL清单是可插拔的业务数据层，与双Agent协同模式本身无关。该架构选择的必要性与成本验证详见三、实践成效。</w:t>
      </w:r>
    </w:p>
    <w:p>
      <w:pPr>
        <w:spacing w:after="160"/>
      </w:pPr>
      <w:r>
        <w:rPr>
          <w:rFonts w:ascii="仿宋_GB2312" w:hAnsi="仿宋_GB2312" w:eastAsia="仿宋_GB2312"/>
          <w:b/>
          <w:sz w:val="24"/>
        </w:rPr>
        <w:t>（3）人工入口动态管控</w:t>
      </w:r>
    </w:p>
    <w:p>
      <w:pPr>
        <w:spacing w:after="160"/>
      </w:pPr>
      <w:r>
        <w:rPr>
          <w:rFonts w:ascii="仿宋_GB2312" w:hAnsi="仿宋_GB2312" w:eastAsia="仿宋_GB2312"/>
          <w:b/>
          <w:sz w:val="24"/>
        </w:rPr>
        <w:t>微观：</w:t>
      </w:r>
      <w:r>
        <w:rPr>
          <w:rFonts w:ascii="仿宋_GB2312" w:hAnsi="仿宋_GB2312" w:eastAsia="仿宋_GB2312"/>
          <w:b w:val="0"/>
          <w:sz w:val="24"/>
        </w:rPr>
        <w:t>按"知识库答案/等待提示→技能答案→文档兜底"分阶段渐进交付答案，是否展示人工支持按钮由知识库答案状态与候选技能是否存在的组合判断是否已到达终态，具体组合逻辑如下：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仿宋_GB2312" w:hAnsi="仿宋_GB2312" w:eastAsia="仿宋_GB2312"/>
                <w:b/>
                <w:sz w:val="22"/>
              </w:rPr>
              <w:t>知识库检索结果</w:t>
            </w:r>
          </w:p>
        </w:tc>
        <w:tc>
          <w:tcPr>
            <w:tcW w:type="dxa" w:w="2160"/>
          </w:tcPr>
          <w:p>
            <w:r>
              <w:rPr>
                <w:rFonts w:ascii="仿宋_GB2312" w:hAnsi="仿宋_GB2312" w:eastAsia="仿宋_GB2312"/>
                <w:b/>
                <w:sz w:val="22"/>
              </w:rPr>
              <w:t>候选技能是否存在</w:t>
            </w:r>
          </w:p>
        </w:tc>
        <w:tc>
          <w:tcPr>
            <w:tcW w:type="dxa" w:w="2160"/>
          </w:tcPr>
          <w:p>
            <w:r>
              <w:rPr>
                <w:rFonts w:ascii="仿宋_GB2312" w:hAnsi="仿宋_GB2312" w:eastAsia="仿宋_GB2312"/>
                <w:b/>
                <w:sz w:val="22"/>
              </w:rPr>
              <w:t>是否终态</w:t>
            </w:r>
          </w:p>
        </w:tc>
        <w:tc>
          <w:tcPr>
            <w:tcW w:type="dxa" w:w="2160"/>
          </w:tcPr>
          <w:p>
            <w:r>
              <w:rPr>
                <w:rFonts w:ascii="仿宋_GB2312" w:hAnsi="仿宋_GB2312" w:eastAsia="仿宋_GB2312"/>
                <w:b/>
                <w:sz w:val="22"/>
              </w:rPr>
              <w:t>后续处理</w:t>
            </w:r>
          </w:p>
        </w:tc>
      </w:tr>
      <w:tr>
        <w:tc>
          <w:tcPr>
            <w:tcW w:type="dxa" w:w="2160"/>
          </w:tcPr>
          <w:p>
            <w:r>
              <w:rPr>
                <w:rFonts w:ascii="仿宋_GB2312" w:hAnsi="仿宋_GB2312" w:eastAsia="仿宋_GB2312"/>
                <w:b w:val="0"/>
                <w:sz w:val="22"/>
              </w:rPr>
              <w:t>有答案</w:t>
            </w:r>
          </w:p>
        </w:tc>
        <w:tc>
          <w:tcPr>
            <w:tcW w:type="dxa" w:w="2160"/>
          </w:tcPr>
          <w:p>
            <w:r>
              <w:rPr>
                <w:rFonts w:ascii="仿宋_GB2312" w:hAnsi="仿宋_GB2312" w:eastAsia="仿宋_GB2312"/>
                <w:b w:val="0"/>
                <w:sz w:val="22"/>
              </w:rPr>
              <w:t>不存在</w:t>
            </w:r>
          </w:p>
        </w:tc>
        <w:tc>
          <w:tcPr>
            <w:tcW w:type="dxa" w:w="2160"/>
          </w:tcPr>
          <w:p>
            <w:r>
              <w:rPr>
                <w:rFonts w:ascii="仿宋_GB2312" w:hAnsi="仿宋_GB2312" w:eastAsia="仿宋_GB2312"/>
                <w:b w:val="0"/>
                <w:sz w:val="22"/>
              </w:rPr>
              <w:t>是</w:t>
            </w:r>
          </w:p>
        </w:tc>
        <w:tc>
          <w:tcPr>
            <w:tcW w:type="dxa" w:w="2160"/>
          </w:tcPr>
          <w:p>
            <w:r>
              <w:rPr>
                <w:rFonts w:ascii="仿宋_GB2312" w:hAnsi="仿宋_GB2312" w:eastAsia="仿宋_GB2312"/>
                <w:b w:val="0"/>
                <w:sz w:val="22"/>
              </w:rPr>
              <w:t>直接展示知识库答案，提供人工支持按钮</w:t>
            </w:r>
          </w:p>
        </w:tc>
      </w:tr>
      <w:tr>
        <w:tc>
          <w:tcPr>
            <w:tcW w:type="dxa" w:w="2160"/>
          </w:tcPr>
          <w:p>
            <w:r>
              <w:rPr>
                <w:rFonts w:ascii="仿宋_GB2312" w:hAnsi="仿宋_GB2312" w:eastAsia="仿宋_GB2312"/>
                <w:b w:val="0"/>
                <w:sz w:val="22"/>
              </w:rPr>
              <w:t>有答案</w:t>
            </w:r>
          </w:p>
        </w:tc>
        <w:tc>
          <w:tcPr>
            <w:tcW w:type="dxa" w:w="2160"/>
          </w:tcPr>
          <w:p>
            <w:r>
              <w:rPr>
                <w:rFonts w:ascii="仿宋_GB2312" w:hAnsi="仿宋_GB2312" w:eastAsia="仿宋_GB2312"/>
                <w:b w:val="0"/>
                <w:sz w:val="22"/>
              </w:rPr>
              <w:t>存在</w:t>
            </w:r>
          </w:p>
        </w:tc>
        <w:tc>
          <w:tcPr>
            <w:tcW w:type="dxa" w:w="2160"/>
          </w:tcPr>
          <w:p>
            <w:r>
              <w:rPr>
                <w:rFonts w:ascii="仿宋_GB2312" w:hAnsi="仿宋_GB2312" w:eastAsia="仿宋_GB2312"/>
                <w:b w:val="0"/>
                <w:sz w:val="22"/>
              </w:rPr>
              <w:t>否</w:t>
            </w:r>
          </w:p>
        </w:tc>
        <w:tc>
          <w:tcPr>
            <w:tcW w:type="dxa" w:w="2160"/>
          </w:tcPr>
          <w:p>
            <w:r>
              <w:rPr>
                <w:rFonts w:ascii="仿宋_GB2312" w:hAnsi="仿宋_GB2312" w:eastAsia="仿宋_GB2312"/>
                <w:b w:val="0"/>
                <w:sz w:val="22"/>
              </w:rPr>
              <w:t>知识库答案作为过渡参考，触发技能执行Agent，暂不提供人工支持按钮</w:t>
            </w:r>
          </w:p>
        </w:tc>
      </w:tr>
      <w:tr>
        <w:tc>
          <w:tcPr>
            <w:tcW w:type="dxa" w:w="2160"/>
          </w:tcPr>
          <w:p>
            <w:r>
              <w:rPr>
                <w:rFonts w:ascii="仿宋_GB2312" w:hAnsi="仿宋_GB2312" w:eastAsia="仿宋_GB2312"/>
                <w:b w:val="0"/>
                <w:sz w:val="22"/>
              </w:rPr>
              <w:t>无答案</w:t>
            </w:r>
          </w:p>
        </w:tc>
        <w:tc>
          <w:tcPr>
            <w:tcW w:type="dxa" w:w="2160"/>
          </w:tcPr>
          <w:p>
            <w:r>
              <w:rPr>
                <w:rFonts w:ascii="仿宋_GB2312" w:hAnsi="仿宋_GB2312" w:eastAsia="仿宋_GB2312"/>
                <w:b w:val="0"/>
                <w:sz w:val="22"/>
              </w:rPr>
              <w:t>存在</w:t>
            </w:r>
          </w:p>
        </w:tc>
        <w:tc>
          <w:tcPr>
            <w:tcW w:type="dxa" w:w="2160"/>
          </w:tcPr>
          <w:p>
            <w:r>
              <w:rPr>
                <w:rFonts w:ascii="仿宋_GB2312" w:hAnsi="仿宋_GB2312" w:eastAsia="仿宋_GB2312"/>
                <w:b w:val="0"/>
                <w:sz w:val="22"/>
              </w:rPr>
              <w:t>否</w:t>
            </w:r>
          </w:p>
        </w:tc>
        <w:tc>
          <w:tcPr>
            <w:tcW w:type="dxa" w:w="2160"/>
          </w:tcPr>
          <w:p>
            <w:r>
              <w:rPr>
                <w:rFonts w:ascii="仿宋_GB2312" w:hAnsi="仿宋_GB2312" w:eastAsia="仿宋_GB2312"/>
                <w:b w:val="0"/>
                <w:sz w:val="22"/>
              </w:rPr>
              <w:t>展示等待提示，触发技能执行Agent，暂不提供人工支持按钮</w:t>
            </w:r>
          </w:p>
        </w:tc>
      </w:tr>
      <w:tr>
        <w:tc>
          <w:tcPr>
            <w:tcW w:type="dxa" w:w="2160"/>
          </w:tcPr>
          <w:p>
            <w:r>
              <w:rPr>
                <w:rFonts w:ascii="仿宋_GB2312" w:hAnsi="仿宋_GB2312" w:eastAsia="仿宋_GB2312"/>
                <w:b w:val="0"/>
                <w:sz w:val="22"/>
              </w:rPr>
              <w:t>无答案</w:t>
            </w:r>
          </w:p>
        </w:tc>
        <w:tc>
          <w:tcPr>
            <w:tcW w:type="dxa" w:w="2160"/>
          </w:tcPr>
          <w:p>
            <w:r>
              <w:rPr>
                <w:rFonts w:ascii="仿宋_GB2312" w:hAnsi="仿宋_GB2312" w:eastAsia="仿宋_GB2312"/>
                <w:b w:val="0"/>
                <w:sz w:val="22"/>
              </w:rPr>
              <w:t>不存在</w:t>
            </w:r>
          </w:p>
        </w:tc>
        <w:tc>
          <w:tcPr>
            <w:tcW w:type="dxa" w:w="2160"/>
          </w:tcPr>
          <w:p>
            <w:r>
              <w:rPr>
                <w:rFonts w:ascii="仿宋_GB2312" w:hAnsi="仿宋_GB2312" w:eastAsia="仿宋_GB2312"/>
                <w:b w:val="0"/>
                <w:sz w:val="22"/>
              </w:rPr>
              <w:t>否</w:t>
            </w:r>
          </w:p>
        </w:tc>
        <w:tc>
          <w:tcPr>
            <w:tcW w:type="dxa" w:w="2160"/>
          </w:tcPr>
          <w:p>
            <w:r>
              <w:rPr>
                <w:rFonts w:ascii="仿宋_GB2312" w:hAnsi="仿宋_GB2312" w:eastAsia="仿宋_GB2312"/>
                <w:b w:val="0"/>
                <w:sz w:val="22"/>
              </w:rPr>
              <w:t>展示等待提示，跳过技能执行，直接进入文档推荐兜底，暂不提供人工支持按钮</w:t>
            </w:r>
          </w:p>
        </w:tc>
      </w:tr>
    </w:tbl>
    <w:p>
      <w:pPr>
        <w:spacing w:after="80"/>
      </w:pPr>
    </w:p>
    <w:p>
      <w:pPr>
        <w:spacing w:after="160"/>
      </w:pPr>
      <w:r>
        <w:rPr>
          <w:rFonts w:ascii="仿宋_GB2312" w:hAnsi="仿宋_GB2312" w:eastAsia="仿宋_GB2312"/>
          <w:b w:val="0"/>
          <w:sz w:val="21"/>
        </w:rPr>
        <w:t>说明：技能执行完成、或文档推荐兜底返回后（无论结果如何），均视为到达终态，统一提供人工支持按钮，避免用户看到质量一般的中间结果就提前转向人工、也避免用户在不知情的情况下无限等待。</w:t>
      </w:r>
    </w:p>
    <w:p>
      <w:pPr>
        <w:spacing w:after="160"/>
      </w:pPr>
      <w:r>
        <w:rPr>
          <w:rFonts w:ascii="仿宋_GB2312" w:hAnsi="仿宋_GB2312" w:eastAsia="仿宋_GB2312"/>
          <w:b w:val="0"/>
          <w:sz w:val="24"/>
        </w:rPr>
        <w:t>该机制的实际运行效果详见三、实践成效。</w:t>
      </w:r>
    </w:p>
    <w:p>
      <w:pPr>
        <w:spacing w:after="160"/>
      </w:pPr>
      <w:r>
        <w:rPr>
          <w:rFonts w:ascii="仿宋_GB2312" w:hAnsi="仿宋_GB2312" w:eastAsia="仿宋_GB2312"/>
          <w:b/>
          <w:sz w:val="24"/>
        </w:rPr>
        <w:t>宏观：</w:t>
      </w:r>
      <w:r>
        <w:rPr>
          <w:rFonts w:ascii="仿宋_GB2312" w:hAnsi="仿宋_GB2312" w:eastAsia="仿宋_GB2312"/>
          <w:b w:val="0"/>
          <w:sz w:val="24"/>
        </w:rPr>
        <w:t>用户若1小时内未向机器人提问即直接尝试呼叫人工，会被拦截并引导先向机器人提问；熔断规则参数可配置，核心策略可迁移至其他场景。</w:t>
      </w:r>
    </w:p>
    <w:p>
      <w:pPr>
        <w:spacing w:after="160"/>
      </w:pPr>
      <w:r>
        <w:rPr>
          <w:rFonts w:ascii="仿宋_GB2312" w:hAnsi="仿宋_GB2312" w:eastAsia="仿宋_GB2312"/>
          <w:b w:val="0"/>
          <w:sz w:val="24"/>
        </w:rPr>
        <w:t>这套机制天然构成可统计的问题漏斗（总提问数/自主解决数/转人工数），具体应用详见三、实践成效。</w:t>
      </w:r>
    </w:p>
    <w:p>
      <w:pPr>
        <w:spacing w:after="160"/>
      </w:pPr>
      <w:r>
        <w:rPr>
          <w:rFonts w:ascii="仿宋_GB2312" w:hAnsi="仿宋_GB2312" w:eastAsia="仿宋_GB2312"/>
          <w:b/>
          <w:sz w:val="24"/>
        </w:rPr>
        <w:t>（4）结构化输出协议</w:t>
      </w:r>
    </w:p>
    <w:p>
      <w:pPr>
        <w:spacing w:after="160"/>
      </w:pPr>
      <w:r>
        <w:rPr>
          <w:rFonts w:ascii="仿宋_GB2312" w:hAnsi="仿宋_GB2312" w:eastAsia="仿宋_GB2312"/>
          <w:b w:val="0"/>
          <w:sz w:val="24"/>
        </w:rPr>
        <w:t>配套设计了结构化Agent输出协议与具备异常兜底能力的解析逻辑，兼容大模型输出的格式异常与"未检索到相关信息"等无效占位答案，保障大模型生成的不确定性与确定性工作流编排之间的稳定对接。</w:t>
      </w:r>
    </w:p>
    <w:p>
      <w:pPr>
        <w:spacing w:after="160"/>
      </w:pPr>
      <w:r>
        <w:rPr>
          <w:rFonts w:ascii="黑体" w:hAnsi="黑体" w:eastAsia="黑体"/>
          <w:b/>
          <w:sz w:val="28"/>
        </w:rPr>
        <w:t>2.5 知识自增长闭环：缺口识别与人工补齐</w:t>
      </w:r>
    </w:p>
    <w:p>
      <w:pPr>
        <w:spacing w:after="160"/>
      </w:pPr>
      <w:r>
        <w:rPr>
          <w:rFonts w:ascii="仿宋_GB2312" w:hAnsi="仿宋_GB2312" w:eastAsia="仿宋_GB2312"/>
          <w:b w:val="0"/>
          <w:sz w:val="24"/>
        </w:rPr>
        <w:t>机器尚无法自主判断"一次对话是否值得沉淀"、"该补知识库还是补技能"，这部分工作仍需人工完成。系统设计了两条独立互补的路径：</w:t>
      </w:r>
    </w:p>
    <w:p>
      <w:pPr>
        <w:spacing w:after="160"/>
      </w:pPr>
      <w:r>
        <w:rPr>
          <w:rFonts w:ascii="仿宋_GB2312" w:hAnsi="仿宋_GB2312" w:eastAsia="仿宋_GB2312"/>
          <w:b/>
          <w:sz w:val="24"/>
        </w:rPr>
        <w:t>路径A·机器识别缺口：</w:t>
      </w:r>
      <w:r>
        <w:rPr>
          <w:rFonts w:ascii="仿宋_GB2312" w:hAnsi="仿宋_GB2312" w:eastAsia="仿宋_GB2312"/>
          <w:b w:val="0"/>
          <w:sz w:val="24"/>
        </w:rPr>
        <w:t>复用核心引擎已计算出的知识库命中状态与候选技能是否存在这两个信号，将存在能力缺口的问题按组合情况分级收纳进问题池，供支持团队定期review针对性补齐（暂不做去重聚合，聚合去重是下一阶段规划，详见四、总结）。</w:t>
      </w:r>
    </w:p>
    <w:p>
      <w:pPr>
        <w:spacing w:after="160"/>
      </w:pPr>
      <w:r>
        <w:rPr>
          <w:rFonts w:ascii="仿宋_GB2312" w:hAnsi="仿宋_GB2312" w:eastAsia="仿宋_GB2312"/>
          <w:b/>
          <w:sz w:val="24"/>
        </w:rPr>
        <w:t>路径B·人工主动沉淀：</w:t>
      </w:r>
      <w:r>
        <w:rPr>
          <w:rFonts w:ascii="仿宋_GB2312" w:hAnsi="仿宋_GB2312" w:eastAsia="仿宋_GB2312"/>
          <w:b w:val="0"/>
          <w:sz w:val="24"/>
        </w:rPr>
        <w:t>人工支持过程中，支持人员可通过快捷指令将有价值的对话沉淀为知识库QA，或记录产品需求与BUG反馈。</w:t>
      </w:r>
    </w:p>
    <w:p>
      <w:pPr>
        <w:spacing w:after="160"/>
      </w:pPr>
      <w:r>
        <w:rPr>
          <w:rFonts w:ascii="仿宋_GB2312" w:hAnsi="仿宋_GB2312" w:eastAsia="仿宋_GB2312"/>
          <w:b w:val="0"/>
          <w:sz w:val="24"/>
        </w:rPr>
        <w:t>两条路径分工明确：机器负责"发现缺口"，人工负责"决定并补齐"。</w:t>
      </w:r>
    </w:p>
    <w:p>
      <w:pPr>
        <w:spacing w:after="200"/>
      </w:pPr>
      <w:r>
        <w:rPr>
          <w:rFonts w:ascii="黑体" w:hAnsi="黑体" w:eastAsia="黑体"/>
          <w:b/>
          <w:sz w:val="32"/>
        </w:rPr>
        <w:t>三、实践成效</w:t>
      </w:r>
    </w:p>
    <w:p>
      <w:pPr>
        <w:spacing w:after="160"/>
      </w:pPr>
      <w:r>
        <w:rPr>
          <w:rFonts w:ascii="仿宋_GB2312" w:hAnsi="仿宋_GB2312" w:eastAsia="仿宋_GB2312"/>
          <w:b w:val="0"/>
          <w:sz w:val="24"/>
        </w:rPr>
        <w:t>该方案本体已基于编码通(新)这一低代码技术支持场景完成落地，以下为落地后的具体情况。</w:t>
      </w:r>
    </w:p>
    <w:p>
      <w:pPr>
        <w:spacing w:after="160"/>
      </w:pPr>
      <w:r>
        <w:rPr>
          <w:rFonts w:ascii="黑体" w:hAnsi="黑体" w:eastAsia="黑体"/>
          <w:b/>
          <w:sz w:val="28"/>
        </w:rPr>
        <w:t>3.1 问题拦截成效：问题漏斗</w:t>
      </w:r>
    </w:p>
    <w:p>
      <w:pPr>
        <w:spacing w:after="160"/>
      </w:pPr>
      <w:r>
        <w:rPr>
          <w:rFonts w:ascii="仿宋_GB2312" w:hAnsi="仿宋_GB2312" w:eastAsia="仿宋_GB2312"/>
          <w:b w:val="0"/>
          <w:sz w:val="24"/>
        </w:rPr>
        <w:t>引导熔断机制天然构成一个可统计的问题漏斗——总提问数、机器人自主解决数、转人工数之间形成清晰的漏斗关系，用统一口径衡量机器人实际拦截效果：</w:t>
      </w:r>
    </w:p>
    <w:tbl>
      <w:tblPr>
        <w:tblStyle w:val="TableGrid"/>
        <w:tblW w:type="auto" w:w="0"/>
        <w:tblLook w:firstColumn="1" w:firstRow="1" w:lastColumn="0" w:lastRow="0" w:noHBand="0" w:noVBand="1" w:val="04A0"/>
      </w:tblPr>
      <w:tblGrid>
        <w:gridCol w:w="4320"/>
        <w:gridCol w:w="4320"/>
      </w:tblGrid>
      <w:tr>
        <w:tc>
          <w:tcPr>
            <w:tcW w:type="dxa" w:w="4320"/>
          </w:tcPr>
          <w:p>
            <w:r>
              <w:rPr>
                <w:rFonts w:ascii="仿宋_GB2312" w:hAnsi="仿宋_GB2312" w:eastAsia="仿宋_GB2312"/>
                <w:b/>
                <w:sz w:val="22"/>
              </w:rPr>
              <w:t>指标</w:t>
            </w:r>
          </w:p>
        </w:tc>
        <w:tc>
          <w:tcPr>
            <w:tcW w:type="dxa" w:w="4320"/>
          </w:tcPr>
          <w:p>
            <w:r>
              <w:rPr>
                <w:rFonts w:ascii="仿宋_GB2312" w:hAnsi="仿宋_GB2312" w:eastAsia="仿宋_GB2312"/>
                <w:b/>
                <w:sz w:val="22"/>
              </w:rPr>
              <w:t>数值</w:t>
            </w:r>
          </w:p>
        </w:tc>
      </w:tr>
      <w:tr>
        <w:tc>
          <w:tcPr>
            <w:tcW w:type="dxa" w:w="4320"/>
          </w:tcPr>
          <w:p>
            <w:r>
              <w:rPr>
                <w:rFonts w:ascii="仿宋_GB2312" w:hAnsi="仿宋_GB2312" w:eastAsia="仿宋_GB2312"/>
                <w:b w:val="0"/>
                <w:sz w:val="22"/>
              </w:rPr>
              <w:t>总提问数</w:t>
            </w:r>
          </w:p>
        </w:tc>
        <w:tc>
          <w:tcPr>
            <w:tcW w:type="dxa" w:w="4320"/>
          </w:tcPr>
          <w:p>
            <w:r>
              <w:rPr>
                <w:rFonts w:ascii="仿宋_GB2312" w:hAnsi="仿宋_GB2312" w:eastAsia="仿宋_GB2312"/>
                <w:b w:val="0"/>
                <w:sz w:val="22"/>
              </w:rPr>
              <w:t>【待补充】</w:t>
            </w:r>
          </w:p>
        </w:tc>
      </w:tr>
      <w:tr>
        <w:tc>
          <w:tcPr>
            <w:tcW w:type="dxa" w:w="4320"/>
          </w:tcPr>
          <w:p>
            <w:r>
              <w:rPr>
                <w:rFonts w:ascii="仿宋_GB2312" w:hAnsi="仿宋_GB2312" w:eastAsia="仿宋_GB2312"/>
                <w:b w:val="0"/>
                <w:sz w:val="22"/>
              </w:rPr>
              <w:t>机器人自主解决数（拦截数）</w:t>
            </w:r>
          </w:p>
        </w:tc>
        <w:tc>
          <w:tcPr>
            <w:tcW w:type="dxa" w:w="4320"/>
          </w:tcPr>
          <w:p>
            <w:r>
              <w:rPr>
                <w:rFonts w:ascii="仿宋_GB2312" w:hAnsi="仿宋_GB2312" w:eastAsia="仿宋_GB2312"/>
                <w:b w:val="0"/>
                <w:sz w:val="22"/>
              </w:rPr>
              <w:t>【待补充】</w:t>
            </w:r>
          </w:p>
        </w:tc>
      </w:tr>
      <w:tr>
        <w:tc>
          <w:tcPr>
            <w:tcW w:type="dxa" w:w="4320"/>
          </w:tcPr>
          <w:p>
            <w:r>
              <w:rPr>
                <w:rFonts w:ascii="仿宋_GB2312" w:hAnsi="仿宋_GB2312" w:eastAsia="仿宋_GB2312"/>
                <w:b w:val="0"/>
                <w:sz w:val="22"/>
              </w:rPr>
              <w:t>转人工支持数</w:t>
            </w:r>
          </w:p>
        </w:tc>
        <w:tc>
          <w:tcPr>
            <w:tcW w:type="dxa" w:w="4320"/>
          </w:tcPr>
          <w:p>
            <w:r>
              <w:rPr>
                <w:rFonts w:ascii="仿宋_GB2312" w:hAnsi="仿宋_GB2312" w:eastAsia="仿宋_GB2312"/>
                <w:b w:val="0"/>
                <w:sz w:val="22"/>
              </w:rPr>
              <w:t>【待补充】</w:t>
            </w:r>
          </w:p>
        </w:tc>
      </w:tr>
      <w:tr>
        <w:tc>
          <w:tcPr>
            <w:tcW w:type="dxa" w:w="4320"/>
          </w:tcPr>
          <w:p>
            <w:r>
              <w:rPr>
                <w:rFonts w:ascii="仿宋_GB2312" w:hAnsi="仿宋_GB2312" w:eastAsia="仿宋_GB2312"/>
                <w:b w:val="0"/>
                <w:sz w:val="22"/>
              </w:rPr>
              <w:t>拦截率</w:t>
            </w:r>
          </w:p>
        </w:tc>
        <w:tc>
          <w:tcPr>
            <w:tcW w:type="dxa" w:w="4320"/>
          </w:tcPr>
          <w:p>
            <w:r>
              <w:rPr>
                <w:rFonts w:ascii="仿宋_GB2312" w:hAnsi="仿宋_GB2312" w:eastAsia="仿宋_GB2312"/>
                <w:b w:val="0"/>
                <w:sz w:val="22"/>
              </w:rPr>
              <w:t>【待补充】</w:t>
            </w:r>
          </w:p>
        </w:tc>
      </w:tr>
    </w:tbl>
    <w:p>
      <w:pPr>
        <w:spacing w:after="80"/>
      </w:pPr>
    </w:p>
    <w:p>
      <w:pPr>
        <w:spacing w:after="160"/>
      </w:pPr>
      <w:r>
        <w:rPr>
          <w:rFonts w:ascii="黑体" w:hAnsi="黑体" w:eastAsia="黑体"/>
          <w:b/>
          <w:sz w:val="28"/>
        </w:rPr>
        <w:t>3.2 渐进交付机制的实际成效</w:t>
      </w:r>
    </w:p>
    <w:p>
      <w:pPr>
        <w:spacing w:after="160"/>
      </w:pPr>
      <w:r>
        <w:rPr>
          <w:rFonts w:ascii="仿宋_GB2312" w:hAnsi="仿宋_GB2312" w:eastAsia="仿宋_GB2312"/>
          <w:b/>
          <w:sz w:val="24"/>
        </w:rPr>
        <w:t>评测说明：</w:t>
      </w:r>
      <w:r>
        <w:rPr>
          <w:rFonts w:ascii="仿宋_GB2312" w:hAnsi="仿宋_GB2312" w:eastAsia="仿宋_GB2312"/>
          <w:b w:val="0"/>
          <w:sz w:val="24"/>
        </w:rPr>
        <w:t>本节数据来源于近期一段时间内自然产生的全量咨询会话日志，未经人工倾向性筛选，共提取233条有效会话进行评测。</w:t>
      </w:r>
    </w:p>
    <w:p>
      <w:pPr>
        <w:spacing w:after="160"/>
      </w:pPr>
      <w:r>
        <w:rPr>
          <w:rFonts w:ascii="仿宋_GB2312" w:hAnsi="仿宋_GB2312" w:eastAsia="仿宋_GB2312"/>
          <w:b w:val="0"/>
          <w:sz w:val="21"/>
        </w:rPr>
        <w:t>说明：当前为阶段性评测范围，正式提交前计划视时间情况扩大样本覆盖面，以进一步提升结论稳健性。</w:t>
      </w:r>
    </w:p>
    <w:p>
      <w:pPr>
        <w:spacing w:after="160"/>
      </w:pPr>
      <w:r>
        <w:rPr>
          <w:rFonts w:ascii="仿宋_GB2312" w:hAnsi="仿宋_GB2312" w:eastAsia="仿宋_GB2312"/>
          <w:b/>
          <w:sz w:val="24"/>
        </w:rPr>
        <w:t>候选技能送达率：</w:t>
      </w:r>
      <w:r>
        <w:rPr>
          <w:rFonts w:ascii="仿宋_GB2312" w:hAnsi="仿宋_GB2312" w:eastAsia="仿宋_GB2312"/>
          <w:b w:val="0"/>
          <w:sz w:val="24"/>
        </w:rPr>
        <w:t>在存在候选技能的183个会话中，最终成功送达技能答案的比例为67.2%；按知识库检索结果进一步拆分：知识库有答案且候选技能存在的93个会话中，送达率为73.1%，知识库无答案且候选技能存在的90个会话中，送达率为61.1%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仿宋_GB2312" w:hAnsi="仿宋_GB2312" w:eastAsia="仿宋_GB2312"/>
                <w:b/>
                <w:sz w:val="22"/>
              </w:rPr>
              <w:t>统计口径</w:t>
            </w:r>
          </w:p>
        </w:tc>
        <w:tc>
          <w:tcPr>
            <w:tcW w:type="dxa" w:w="2160"/>
          </w:tcPr>
          <w:p>
            <w:r>
              <w:rPr>
                <w:rFonts w:ascii="仿宋_GB2312" w:hAnsi="仿宋_GB2312" w:eastAsia="仿宋_GB2312"/>
                <w:b/>
                <w:sz w:val="22"/>
              </w:rPr>
              <w:t>候选技能会话数</w:t>
            </w:r>
          </w:p>
        </w:tc>
        <w:tc>
          <w:tcPr>
            <w:tcW w:type="dxa" w:w="2160"/>
          </w:tcPr>
          <w:p>
            <w:r>
              <w:rPr>
                <w:rFonts w:ascii="仿宋_GB2312" w:hAnsi="仿宋_GB2312" w:eastAsia="仿宋_GB2312"/>
                <w:b/>
                <w:sz w:val="22"/>
              </w:rPr>
              <w:t>送达成功数</w:t>
            </w:r>
          </w:p>
        </w:tc>
        <w:tc>
          <w:tcPr>
            <w:tcW w:type="dxa" w:w="2160"/>
          </w:tcPr>
          <w:p>
            <w:r>
              <w:rPr>
                <w:rFonts w:ascii="仿宋_GB2312" w:hAnsi="仿宋_GB2312" w:eastAsia="仿宋_GB2312"/>
                <w:b/>
                <w:sz w:val="22"/>
              </w:rPr>
              <w:t>送达率</w:t>
            </w:r>
          </w:p>
        </w:tc>
      </w:tr>
      <w:tr>
        <w:tc>
          <w:tcPr>
            <w:tcW w:type="dxa" w:w="2160"/>
          </w:tcPr>
          <w:p>
            <w:r>
              <w:rPr>
                <w:rFonts w:ascii="仿宋_GB2312" w:hAnsi="仿宋_GB2312" w:eastAsia="仿宋_GB2312"/>
                <w:b w:val="0"/>
                <w:sz w:val="22"/>
              </w:rPr>
              <w:t>整体（全部候选技能会话）</w:t>
            </w:r>
          </w:p>
        </w:tc>
        <w:tc>
          <w:tcPr>
            <w:tcW w:type="dxa" w:w="2160"/>
          </w:tcPr>
          <w:p>
            <w:r>
              <w:rPr>
                <w:rFonts w:ascii="仿宋_GB2312" w:hAnsi="仿宋_GB2312" w:eastAsia="仿宋_GB2312"/>
                <w:b w:val="0"/>
                <w:sz w:val="22"/>
              </w:rPr>
              <w:t>183</w:t>
            </w:r>
          </w:p>
        </w:tc>
        <w:tc>
          <w:tcPr>
            <w:tcW w:type="dxa" w:w="2160"/>
          </w:tcPr>
          <w:p>
            <w:r>
              <w:rPr>
                <w:rFonts w:ascii="仿宋_GB2312" w:hAnsi="仿宋_GB2312" w:eastAsia="仿宋_GB2312"/>
                <w:b w:val="0"/>
                <w:sz w:val="22"/>
              </w:rPr>
              <w:t>123</w:t>
            </w:r>
          </w:p>
        </w:tc>
        <w:tc>
          <w:tcPr>
            <w:tcW w:type="dxa" w:w="2160"/>
          </w:tcPr>
          <w:p>
            <w:r>
              <w:rPr>
                <w:rFonts w:ascii="仿宋_GB2312" w:hAnsi="仿宋_GB2312" w:eastAsia="仿宋_GB2312"/>
                <w:b w:val="0"/>
                <w:sz w:val="22"/>
              </w:rPr>
              <w:t>67.2%</w:t>
            </w:r>
          </w:p>
        </w:tc>
      </w:tr>
      <w:tr>
        <w:tc>
          <w:tcPr>
            <w:tcW w:type="dxa" w:w="2160"/>
          </w:tcPr>
          <w:p>
            <w:r>
              <w:rPr>
                <w:rFonts w:ascii="仿宋_GB2312" w:hAnsi="仿宋_GB2312" w:eastAsia="仿宋_GB2312"/>
                <w:b w:val="0"/>
                <w:sz w:val="22"/>
              </w:rPr>
              <w:t>知识库有答案 + 候选技能存在</w:t>
            </w:r>
          </w:p>
        </w:tc>
        <w:tc>
          <w:tcPr>
            <w:tcW w:type="dxa" w:w="2160"/>
          </w:tcPr>
          <w:p>
            <w:r>
              <w:rPr>
                <w:rFonts w:ascii="仿宋_GB2312" w:hAnsi="仿宋_GB2312" w:eastAsia="仿宋_GB2312"/>
                <w:b w:val="0"/>
                <w:sz w:val="22"/>
              </w:rPr>
              <w:t>93</w:t>
            </w:r>
          </w:p>
        </w:tc>
        <w:tc>
          <w:tcPr>
            <w:tcW w:type="dxa" w:w="2160"/>
          </w:tcPr>
          <w:p>
            <w:r>
              <w:rPr>
                <w:rFonts w:ascii="仿宋_GB2312" w:hAnsi="仿宋_GB2312" w:eastAsia="仿宋_GB2312"/>
                <w:b w:val="0"/>
                <w:sz w:val="22"/>
              </w:rPr>
              <w:t>68</w:t>
            </w:r>
          </w:p>
        </w:tc>
        <w:tc>
          <w:tcPr>
            <w:tcW w:type="dxa" w:w="2160"/>
          </w:tcPr>
          <w:p>
            <w:r>
              <w:rPr>
                <w:rFonts w:ascii="仿宋_GB2312" w:hAnsi="仿宋_GB2312" w:eastAsia="仿宋_GB2312"/>
                <w:b w:val="0"/>
                <w:sz w:val="22"/>
              </w:rPr>
              <w:t>73.1%</w:t>
            </w:r>
          </w:p>
        </w:tc>
      </w:tr>
      <w:tr>
        <w:tc>
          <w:tcPr>
            <w:tcW w:type="dxa" w:w="2160"/>
          </w:tcPr>
          <w:p>
            <w:r>
              <w:rPr>
                <w:rFonts w:ascii="仿宋_GB2312" w:hAnsi="仿宋_GB2312" w:eastAsia="仿宋_GB2312"/>
                <w:b w:val="0"/>
                <w:sz w:val="22"/>
              </w:rPr>
              <w:t>知识库无答案 + 候选技能存在</w:t>
            </w:r>
          </w:p>
        </w:tc>
        <w:tc>
          <w:tcPr>
            <w:tcW w:type="dxa" w:w="2160"/>
          </w:tcPr>
          <w:p>
            <w:r>
              <w:rPr>
                <w:rFonts w:ascii="仿宋_GB2312" w:hAnsi="仿宋_GB2312" w:eastAsia="仿宋_GB2312"/>
                <w:b w:val="0"/>
                <w:sz w:val="22"/>
              </w:rPr>
              <w:t>90</w:t>
            </w:r>
          </w:p>
        </w:tc>
        <w:tc>
          <w:tcPr>
            <w:tcW w:type="dxa" w:w="2160"/>
          </w:tcPr>
          <w:p>
            <w:r>
              <w:rPr>
                <w:rFonts w:ascii="仿宋_GB2312" w:hAnsi="仿宋_GB2312" w:eastAsia="仿宋_GB2312"/>
                <w:b w:val="0"/>
                <w:sz w:val="22"/>
              </w:rPr>
              <w:t>55</w:t>
            </w:r>
          </w:p>
        </w:tc>
        <w:tc>
          <w:tcPr>
            <w:tcW w:type="dxa" w:w="2160"/>
          </w:tcPr>
          <w:p>
            <w:r>
              <w:rPr>
                <w:rFonts w:ascii="仿宋_GB2312" w:hAnsi="仿宋_GB2312" w:eastAsia="仿宋_GB2312"/>
                <w:b w:val="0"/>
                <w:sz w:val="22"/>
              </w:rPr>
              <w:t>61.1%</w:t>
            </w:r>
          </w:p>
        </w:tc>
      </w:tr>
    </w:tbl>
    <w:p>
      <w:pPr>
        <w:spacing w:after="80"/>
      </w:pPr>
    </w:p>
    <w:p>
      <w:pPr>
        <w:spacing w:after="160"/>
      </w:pPr>
      <w:r>
        <w:rPr>
          <w:rFonts w:ascii="仿宋_GB2312" w:hAnsi="仿宋_GB2312" w:eastAsia="仿宋_GB2312"/>
          <w:b/>
          <w:sz w:val="24"/>
        </w:rPr>
        <w:t>答案质量判断：</w:t>
      </w:r>
      <w:r>
        <w:rPr>
          <w:rFonts w:ascii="仿宋_GB2312" w:hAnsi="仿宋_GB2312" w:eastAsia="仿宋_GB2312"/>
          <w:b w:val="0"/>
          <w:sz w:val="24"/>
        </w:rPr>
        <w:t>针对"知识库有答案且技能成功送达"的68个会话，进一步比较知识库答案与技能答案的实质差异：</w:t>
      </w:r>
    </w:p>
    <w:tbl>
      <w:tblPr>
        <w:tblStyle w:val="TableGrid"/>
        <w:tblW w:type="auto" w:w="0"/>
        <w:tblLook w:firstColumn="1" w:firstRow="1" w:lastColumn="0" w:lastRow="0" w:noHBand="0" w:noVBand="1" w:val="04A0"/>
      </w:tblPr>
      <w:tblGrid>
        <w:gridCol w:w="4320"/>
        <w:gridCol w:w="4320"/>
      </w:tblGrid>
      <w:tr>
        <w:tc>
          <w:tcPr>
            <w:tcW w:type="dxa" w:w="4320"/>
          </w:tcPr>
          <w:p>
            <w:r>
              <w:rPr>
                <w:rFonts w:ascii="仿宋_GB2312" w:hAnsi="仿宋_GB2312" w:eastAsia="仿宋_GB2312"/>
                <w:b/>
                <w:sz w:val="22"/>
              </w:rPr>
              <w:t>判断结果</w:t>
            </w:r>
          </w:p>
        </w:tc>
        <w:tc>
          <w:tcPr>
            <w:tcW w:type="dxa" w:w="4320"/>
          </w:tcPr>
          <w:p>
            <w:r>
              <w:rPr>
                <w:rFonts w:ascii="仿宋_GB2312" w:hAnsi="仿宋_GB2312" w:eastAsia="仿宋_GB2312"/>
                <w:b/>
                <w:sz w:val="22"/>
              </w:rPr>
              <w:t>占比</w:t>
            </w:r>
          </w:p>
        </w:tc>
      </w:tr>
      <w:tr>
        <w:tc>
          <w:tcPr>
            <w:tcW w:type="dxa" w:w="4320"/>
          </w:tcPr>
          <w:p>
            <w:r>
              <w:rPr>
                <w:rFonts w:ascii="仿宋_GB2312" w:hAnsi="仿宋_GB2312" w:eastAsia="仿宋_GB2312"/>
                <w:b w:val="0"/>
                <w:sz w:val="22"/>
              </w:rPr>
              <w:t>技能答案更优</w:t>
            </w:r>
          </w:p>
        </w:tc>
        <w:tc>
          <w:tcPr>
            <w:tcW w:type="dxa" w:w="4320"/>
          </w:tcPr>
          <w:p>
            <w:r>
              <w:rPr>
                <w:rFonts w:ascii="仿宋_GB2312" w:hAnsi="仿宋_GB2312" w:eastAsia="仿宋_GB2312"/>
                <w:b w:val="0"/>
                <w:sz w:val="22"/>
              </w:rPr>
              <w:t>79.4%</w:t>
            </w:r>
          </w:p>
        </w:tc>
      </w:tr>
      <w:tr>
        <w:tc>
          <w:tcPr>
            <w:tcW w:type="dxa" w:w="4320"/>
          </w:tcPr>
          <w:p>
            <w:r>
              <w:rPr>
                <w:rFonts w:ascii="仿宋_GB2312" w:hAnsi="仿宋_GB2312" w:eastAsia="仿宋_GB2312"/>
                <w:b w:val="0"/>
                <w:sz w:val="22"/>
              </w:rPr>
              <w:t>两者相当</w:t>
            </w:r>
          </w:p>
        </w:tc>
        <w:tc>
          <w:tcPr>
            <w:tcW w:type="dxa" w:w="4320"/>
          </w:tcPr>
          <w:p>
            <w:r>
              <w:rPr>
                <w:rFonts w:ascii="仿宋_GB2312" w:hAnsi="仿宋_GB2312" w:eastAsia="仿宋_GB2312"/>
                <w:b w:val="0"/>
                <w:sz w:val="22"/>
              </w:rPr>
              <w:t>10.3%</w:t>
            </w:r>
          </w:p>
        </w:tc>
      </w:tr>
      <w:tr>
        <w:tc>
          <w:tcPr>
            <w:tcW w:type="dxa" w:w="4320"/>
          </w:tcPr>
          <w:p>
            <w:r>
              <w:rPr>
                <w:rFonts w:ascii="仿宋_GB2312" w:hAnsi="仿宋_GB2312" w:eastAsia="仿宋_GB2312"/>
                <w:b w:val="0"/>
                <w:sz w:val="22"/>
              </w:rPr>
              <w:t>技能答案未见明显提升</w:t>
            </w:r>
          </w:p>
        </w:tc>
        <w:tc>
          <w:tcPr>
            <w:tcW w:type="dxa" w:w="4320"/>
          </w:tcPr>
          <w:p>
            <w:r>
              <w:rPr>
                <w:rFonts w:ascii="仿宋_GB2312" w:hAnsi="仿宋_GB2312" w:eastAsia="仿宋_GB2312"/>
                <w:b w:val="0"/>
                <w:sz w:val="22"/>
              </w:rPr>
              <w:t>10.3%</w:t>
            </w:r>
          </w:p>
        </w:tc>
      </w:tr>
      <w:tr>
        <w:tc>
          <w:tcPr>
            <w:tcW w:type="dxa" w:w="4320"/>
          </w:tcPr>
          <w:p>
            <w:r>
              <w:rPr>
                <w:rFonts w:ascii="仿宋_GB2312" w:hAnsi="仿宋_GB2312" w:eastAsia="仿宋_GB2312"/>
                <w:b w:val="0"/>
                <w:sz w:val="22"/>
              </w:rPr>
              <w:t>技能答案存在错误或偏题</w:t>
            </w:r>
          </w:p>
        </w:tc>
        <w:tc>
          <w:tcPr>
            <w:tcW w:type="dxa" w:w="4320"/>
          </w:tcPr>
          <w:p>
            <w:r>
              <w:rPr>
                <w:rFonts w:ascii="仿宋_GB2312" w:hAnsi="仿宋_GB2312" w:eastAsia="仿宋_GB2312"/>
                <w:b w:val="0"/>
                <w:sz w:val="22"/>
              </w:rPr>
              <w:t>0.0%</w:t>
            </w:r>
          </w:p>
        </w:tc>
      </w:tr>
    </w:tbl>
    <w:p>
      <w:pPr>
        <w:spacing w:after="80"/>
      </w:pPr>
    </w:p>
    <w:p>
      <w:pPr>
        <w:spacing w:after="160"/>
      </w:pPr>
      <w:r>
        <w:rPr>
          <w:rFonts w:ascii="仿宋_GB2312" w:hAnsi="仿宋_GB2312" w:eastAsia="仿宋_GB2312"/>
          <w:b w:val="0"/>
          <w:sz w:val="21"/>
        </w:rPr>
        <w:t>方法说明：答案质量判断采用统一提示词的LLM-as-judge方式，由大模型比较知识库答案与技能答案的实质信息差异并给出判断；全部68个会话均完成评审，未发现技能答案存在事实性错误或偏题误导的个案。该结论反映当前统一评审口径下的阶段性结果，尚未以人工专家标注作为独立金标准。</w:t>
      </w:r>
    </w:p>
    <w:p>
      <w:pPr>
        <w:spacing w:after="160"/>
      </w:pPr>
      <w:r>
        <w:rPr>
          <w:rFonts w:ascii="仿宋_GB2312" w:hAnsi="仿宋_GB2312" w:eastAsia="仿宋_GB2312"/>
          <w:b/>
          <w:sz w:val="24"/>
        </w:rPr>
        <w:t>核心结论：</w:t>
      </w:r>
      <w:r>
        <w:rPr>
          <w:rFonts w:ascii="仿宋_GB2312" w:hAnsi="仿宋_GB2312" w:eastAsia="仿宋_GB2312"/>
          <w:b w:val="0"/>
          <w:sz w:val="24"/>
        </w:rPr>
        <w:t>综合送达率与质量判断，在"知识库有答案但候选技能也存在"的93个会话中，终态判断机制最终将58.1%（54/93）的会话转化为真正更优的技能答案；而若采用"知识库优先拦截"策略，这些场景下更优答案的交付比例为0%——终态判断机制对这部分有价值答案的实际挽救效果显著。</w:t>
      </w:r>
    </w:p>
    <w:p>
      <w:pPr>
        <w:spacing w:after="160"/>
      </w:pPr>
      <w:r>
        <w:rPr>
          <w:rFonts w:ascii="黑体" w:hAnsi="黑体" w:eastAsia="黑体"/>
          <w:b/>
          <w:sz w:val="28"/>
        </w:rPr>
        <w:t>3.3 方案选型的实践依据</w:t>
      </w:r>
    </w:p>
    <w:p>
      <w:pPr>
        <w:spacing w:after="160"/>
      </w:pPr>
      <w:r>
        <w:rPr>
          <w:rFonts w:ascii="仿宋_GB2312" w:hAnsi="仿宋_GB2312" w:eastAsia="仿宋_GB2312"/>
          <w:b w:val="0"/>
          <w:sz w:val="24"/>
        </w:rPr>
        <w:t>技能推理环节在设计阶段曾评估过三种候选方案：知识库优先拦截、技能优先直接执行、双Agent分段式响应（即当前方案），以下为各方案取舍的实践依据：</w:t>
      </w:r>
    </w:p>
    <w:p>
      <w:pPr>
        <w:spacing w:after="160"/>
      </w:pPr>
      <w:r>
        <w:rPr>
          <w:rFonts w:ascii="仿宋_GB2312" w:hAnsi="仿宋_GB2312" w:eastAsia="仿宋_GB2312"/>
          <w:b/>
          <w:sz w:val="24"/>
        </w:rPr>
        <w:t>为何不是知识库优先拦截：</w:t>
      </w:r>
      <w:r>
        <w:rPr>
          <w:rFonts w:ascii="仿宋_GB2312" w:hAnsi="仿宋_GB2312" w:eastAsia="仿宋_GB2312"/>
          <w:b w:val="0"/>
          <w:sz w:val="24"/>
        </w:rPr>
        <w:t>该策略一旦知识库命中即直接终态返回，不再判断候选技能是否存在。按上节数据，这会导致93个"知识库有答案但候选技能也存在"的会话中，58.1%本应送达的更优答案被100%错失。</w:t>
      </w:r>
    </w:p>
    <w:p>
      <w:pPr>
        <w:spacing w:after="160"/>
      </w:pPr>
      <w:r>
        <w:rPr>
          <w:rFonts w:ascii="仿宋_GB2312" w:hAnsi="仿宋_GB2312" w:eastAsia="仿宋_GB2312"/>
          <w:b/>
          <w:sz w:val="24"/>
        </w:rPr>
        <w:t>为何不是技能优先直接执行：</w:t>
      </w:r>
      <w:r>
        <w:rPr>
          <w:rFonts w:ascii="仿宋_GB2312" w:hAnsi="仿宋_GB2312" w:eastAsia="仿宋_GB2312"/>
          <w:b w:val="0"/>
          <w:sz w:val="24"/>
        </w:rPr>
        <w:t>该策略跳过候选技能判断，对所有问题直接触发技能执行，对本就不存在可用技能的问题会造成执行环节空转、浪费计算资源。以单Agent平均单次调用成本作为量级估算，评测样本中50个候选技能不存在的会话，若采用该策略预计将额外消耗约109万token、约64分钟的无效计算资源。</w:t>
      </w:r>
    </w:p>
    <w:p>
      <w:pPr>
        <w:spacing w:after="160"/>
      </w:pPr>
      <w:r>
        <w:rPr>
          <w:rFonts w:ascii="仿宋_GB2312" w:hAnsi="仿宋_GB2312" w:eastAsia="仿宋_GB2312"/>
          <w:b/>
          <w:sz w:val="24"/>
        </w:rPr>
        <w:t>为何是双Agent分段式、且成本可接受：</w:t>
      </w:r>
      <w:r>
        <w:rPr>
          <w:rFonts w:ascii="仿宋_GB2312" w:hAnsi="仿宋_GB2312" w:eastAsia="仿宋_GB2312"/>
          <w:b w:val="0"/>
          <w:sz w:val="24"/>
        </w:rPr>
        <w:t>双Agent解耦相对单Agent一体化基线，总耗时增加约71.3%，总Token消耗增加约288.4%，但这部分成本是渐进交付机制得以成立的工程前提——若判断与执行耦合在一次调用中完成，无法提前拿到候选技能是否存在的信号，渐进交付将无从谈起。而该机制的价值已通过上节数据验证：58.1%的真实转化率、0%的答案错误率，综合来看，这部分成本投入是可接受的。换个角度理解：这部分额外成本，本质是为"执行完成前就能提前判断是否存在更优答案"这一侦察能力付出的代价——若省去这部分投入，省下的计算资源并不能转化为用户体验的提升，反而会让上节中本可被挽救的54个优质答案重新退回"错失"状态。</w:t>
      </w:r>
    </w:p>
    <w:p>
      <w:pPr>
        <w:spacing w:after="160"/>
      </w:pPr>
      <w:r>
        <w:rPr>
          <w:rFonts w:ascii="黑体" w:hAnsi="黑体" w:eastAsia="黑体"/>
          <w:b/>
          <w:sz w:val="28"/>
        </w:rPr>
        <w:t>3.4 响应效率与人力成本</w:t>
      </w:r>
    </w:p>
    <w:p>
      <w:pPr>
        <w:spacing w:after="160"/>
      </w:pPr>
      <w:r>
        <w:rPr>
          <w:rFonts w:ascii="仿宋_GB2312" w:hAnsi="仿宋_GB2312" w:eastAsia="仿宋_GB2312"/>
          <w:b w:val="0"/>
          <w:sz w:val="21"/>
        </w:rPr>
        <w:t>口径说明：本节上线前后数据用于衡量整套智能技术支持问答体系的综合运营价值，不将全部效果直接归因于双Agent架构；双Agent与终态判断机制本身的增量价值，分别由3.2的答案送达与质量评测、3.3的架构成本对比进行专项验证。</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仿宋_GB2312" w:hAnsi="仿宋_GB2312" w:eastAsia="仿宋_GB2312"/>
                <w:b/>
                <w:sz w:val="22"/>
              </w:rPr>
              <w:t>指标</w:t>
            </w:r>
          </w:p>
        </w:tc>
        <w:tc>
          <w:tcPr>
            <w:tcW w:type="dxa" w:w="2880"/>
          </w:tcPr>
          <w:p>
            <w:r>
              <w:rPr>
                <w:rFonts w:ascii="仿宋_GB2312" w:hAnsi="仿宋_GB2312" w:eastAsia="仿宋_GB2312"/>
                <w:b/>
                <w:sz w:val="22"/>
              </w:rPr>
              <w:t>上线前</w:t>
            </w:r>
          </w:p>
        </w:tc>
        <w:tc>
          <w:tcPr>
            <w:tcW w:type="dxa" w:w="2880"/>
          </w:tcPr>
          <w:p>
            <w:r>
              <w:rPr>
                <w:rFonts w:ascii="仿宋_GB2312" w:hAnsi="仿宋_GB2312" w:eastAsia="仿宋_GB2312"/>
                <w:b/>
                <w:sz w:val="22"/>
              </w:rPr>
              <w:t>上线后</w:t>
            </w:r>
          </w:p>
        </w:tc>
      </w:tr>
      <w:tr>
        <w:tc>
          <w:tcPr>
            <w:tcW w:type="dxa" w:w="2880"/>
          </w:tcPr>
          <w:p>
            <w:r>
              <w:rPr>
                <w:rFonts w:ascii="仿宋_GB2312" w:hAnsi="仿宋_GB2312" w:eastAsia="仿宋_GB2312"/>
                <w:b w:val="0"/>
                <w:sz w:val="22"/>
              </w:rPr>
              <w:t>平均响应/关单时长</w:t>
            </w:r>
          </w:p>
        </w:tc>
        <w:tc>
          <w:tcPr>
            <w:tcW w:type="dxa" w:w="2880"/>
          </w:tcPr>
          <w:p>
            <w:r>
              <w:rPr>
                <w:rFonts w:ascii="仿宋_GB2312" w:hAnsi="仿宋_GB2312" w:eastAsia="仿宋_GB2312"/>
                <w:b w:val="0"/>
                <w:sz w:val="22"/>
              </w:rPr>
              <w:t>约50分钟</w:t>
            </w:r>
          </w:p>
        </w:tc>
        <w:tc>
          <w:tcPr>
            <w:tcW w:type="dxa" w:w="2880"/>
          </w:tcPr>
          <w:p>
            <w:r>
              <w:rPr>
                <w:rFonts w:ascii="仿宋_GB2312" w:hAnsi="仿宋_GB2312" w:eastAsia="仿宋_GB2312"/>
                <w:b w:val="0"/>
                <w:sz w:val="22"/>
              </w:rPr>
              <w:t>【待补充】</w:t>
            </w:r>
          </w:p>
        </w:tc>
      </w:tr>
      <w:tr>
        <w:tc>
          <w:tcPr>
            <w:tcW w:type="dxa" w:w="2880"/>
          </w:tcPr>
          <w:p>
            <w:r>
              <w:rPr>
                <w:rFonts w:ascii="仿宋_GB2312" w:hAnsi="仿宋_GB2312" w:eastAsia="仿宋_GB2312"/>
                <w:b w:val="0"/>
                <w:sz w:val="22"/>
              </w:rPr>
              <w:t>日均人工支持投入</w:t>
            </w:r>
          </w:p>
        </w:tc>
        <w:tc>
          <w:tcPr>
            <w:tcW w:type="dxa" w:w="2880"/>
          </w:tcPr>
          <w:p>
            <w:r>
              <w:rPr>
                <w:rFonts w:ascii="仿宋_GB2312" w:hAnsi="仿宋_GB2312" w:eastAsia="仿宋_GB2312"/>
                <w:b w:val="0"/>
                <w:sz w:val="22"/>
              </w:rPr>
              <w:t>4人力全天候</w:t>
            </w:r>
          </w:p>
        </w:tc>
        <w:tc>
          <w:tcPr>
            <w:tcW w:type="dxa" w:w="2880"/>
          </w:tcPr>
          <w:p>
            <w:r>
              <w:rPr>
                <w:rFonts w:ascii="仿宋_GB2312" w:hAnsi="仿宋_GB2312" w:eastAsia="仿宋_GB2312"/>
                <w:b w:val="0"/>
                <w:sz w:val="22"/>
              </w:rPr>
              <w:t>【待补充】</w:t>
            </w:r>
          </w:p>
        </w:tc>
      </w:tr>
      <w:tr>
        <w:tc>
          <w:tcPr>
            <w:tcW w:type="dxa" w:w="2880"/>
          </w:tcPr>
          <w:p>
            <w:r>
              <w:rPr>
                <w:rFonts w:ascii="仿宋_GB2312" w:hAnsi="仿宋_GB2312" w:eastAsia="仿宋_GB2312"/>
                <w:b w:val="0"/>
                <w:sz w:val="22"/>
              </w:rPr>
              <w:t>日均问题处理量</w:t>
            </w:r>
          </w:p>
        </w:tc>
        <w:tc>
          <w:tcPr>
            <w:tcW w:type="dxa" w:w="2880"/>
          </w:tcPr>
          <w:p>
            <w:r>
              <w:rPr>
                <w:rFonts w:ascii="仿宋_GB2312" w:hAnsi="仿宋_GB2312" w:eastAsia="仿宋_GB2312"/>
                <w:b w:val="0"/>
                <w:sz w:val="22"/>
              </w:rPr>
              <w:t>【待补充】</w:t>
            </w:r>
          </w:p>
        </w:tc>
        <w:tc>
          <w:tcPr>
            <w:tcW w:type="dxa" w:w="2880"/>
          </w:tcPr>
          <w:p>
            <w:r>
              <w:rPr>
                <w:rFonts w:ascii="仿宋_GB2312" w:hAnsi="仿宋_GB2312" w:eastAsia="仿宋_GB2312"/>
                <w:b w:val="0"/>
                <w:sz w:val="22"/>
              </w:rPr>
              <w:t>【待补充】</w:t>
            </w:r>
          </w:p>
        </w:tc>
      </w:tr>
    </w:tbl>
    <w:p>
      <w:pPr>
        <w:spacing w:after="80"/>
      </w:pPr>
    </w:p>
    <w:p>
      <w:pPr>
        <w:spacing w:after="160"/>
      </w:pPr>
      <w:r>
        <w:rPr>
          <w:rFonts w:ascii="黑体" w:hAnsi="黑体" w:eastAsia="黑体"/>
          <w:b/>
          <w:sz w:val="28"/>
        </w:rPr>
        <w:t>3.5 知识沉淀能力建设情况</w:t>
      </w:r>
    </w:p>
    <w:tbl>
      <w:tblPr>
        <w:tblStyle w:val="TableGrid"/>
        <w:tblW w:type="auto" w:w="0"/>
        <w:tblLook w:firstColumn="1" w:firstRow="1" w:lastColumn="0" w:lastRow="0" w:noHBand="0" w:noVBand="1" w:val="04A0"/>
      </w:tblPr>
      <w:tblGrid>
        <w:gridCol w:w="4320"/>
        <w:gridCol w:w="4320"/>
      </w:tblGrid>
      <w:tr>
        <w:tc>
          <w:tcPr>
            <w:tcW w:type="dxa" w:w="4320"/>
          </w:tcPr>
          <w:p>
            <w:r>
              <w:rPr>
                <w:rFonts w:ascii="仿宋_GB2312" w:hAnsi="仿宋_GB2312" w:eastAsia="仿宋_GB2312"/>
                <w:b/>
                <w:sz w:val="22"/>
              </w:rPr>
              <w:t>能力项</w:t>
            </w:r>
          </w:p>
        </w:tc>
        <w:tc>
          <w:tcPr>
            <w:tcW w:type="dxa" w:w="4320"/>
          </w:tcPr>
          <w:p>
            <w:r>
              <w:rPr>
                <w:rFonts w:ascii="仿宋_GB2312" w:hAnsi="仿宋_GB2312" w:eastAsia="仿宋_GB2312"/>
                <w:b/>
                <w:sz w:val="22"/>
              </w:rPr>
              <w:t>建设情况</w:t>
            </w:r>
          </w:p>
        </w:tc>
      </w:tr>
      <w:tr>
        <w:tc>
          <w:tcPr>
            <w:tcW w:type="dxa" w:w="4320"/>
          </w:tcPr>
          <w:p>
            <w:r>
              <w:rPr>
                <w:rFonts w:ascii="仿宋_GB2312" w:hAnsi="仿宋_GB2312" w:eastAsia="仿宋_GB2312"/>
                <w:b w:val="0"/>
                <w:sz w:val="22"/>
              </w:rPr>
              <w:t>QA沉淀链路</w:t>
            </w:r>
          </w:p>
        </w:tc>
        <w:tc>
          <w:tcPr>
            <w:tcW w:type="dxa" w:w="4320"/>
          </w:tcPr>
          <w:p>
            <w:r>
              <w:rPr>
                <w:rFonts w:ascii="仿宋_GB2312" w:hAnsi="仿宋_GB2312" w:eastAsia="仿宋_GB2312"/>
                <w:b w:val="0"/>
                <w:sz w:val="22"/>
              </w:rPr>
              <w:t>已打通，支持人员可通过快捷指令一键沉淀</w:t>
            </w:r>
          </w:p>
        </w:tc>
      </w:tr>
      <w:tr>
        <w:tc>
          <w:tcPr>
            <w:tcW w:type="dxa" w:w="4320"/>
          </w:tcPr>
          <w:p>
            <w:r>
              <w:rPr>
                <w:rFonts w:ascii="仿宋_GB2312" w:hAnsi="仿宋_GB2312" w:eastAsia="仿宋_GB2312"/>
                <w:b w:val="0"/>
                <w:sz w:val="22"/>
              </w:rPr>
              <w:t>需求/BUG反馈记录链路</w:t>
            </w:r>
          </w:p>
        </w:tc>
        <w:tc>
          <w:tcPr>
            <w:tcW w:type="dxa" w:w="4320"/>
          </w:tcPr>
          <w:p>
            <w:r>
              <w:rPr>
                <w:rFonts w:ascii="仿宋_GB2312" w:hAnsi="仿宋_GB2312" w:eastAsia="仿宋_GB2312"/>
                <w:b w:val="0"/>
                <w:sz w:val="22"/>
              </w:rPr>
              <w:t>已打通，与QA沉淀共用同一快捷指令入口</w:t>
            </w:r>
          </w:p>
        </w:tc>
      </w:tr>
      <w:tr>
        <w:tc>
          <w:tcPr>
            <w:tcW w:type="dxa" w:w="4320"/>
          </w:tcPr>
          <w:p>
            <w:r>
              <w:rPr>
                <w:rFonts w:ascii="仿宋_GB2312" w:hAnsi="仿宋_GB2312" w:eastAsia="仿宋_GB2312"/>
                <w:b w:val="0"/>
                <w:sz w:val="22"/>
              </w:rPr>
              <w:t>Skill能力库</w:t>
            </w:r>
          </w:p>
        </w:tc>
        <w:tc>
          <w:tcPr>
            <w:tcW w:type="dxa" w:w="4320"/>
          </w:tcPr>
          <w:p>
            <w:r>
              <w:rPr>
                <w:rFonts w:ascii="仿宋_GB2312" w:hAnsi="仿宋_GB2312" w:eastAsia="仿宋_GB2312"/>
                <w:b w:val="0"/>
                <w:sz w:val="22"/>
              </w:rPr>
              <w:t>已构建，覆盖7大业务模块，约30个SKILL</w:t>
            </w:r>
          </w:p>
        </w:tc>
      </w:tr>
      <w:tr>
        <w:tc>
          <w:tcPr>
            <w:tcW w:type="dxa" w:w="4320"/>
          </w:tcPr>
          <w:p>
            <w:r>
              <w:rPr>
                <w:rFonts w:ascii="仿宋_GB2312" w:hAnsi="仿宋_GB2312" w:eastAsia="仿宋_GB2312"/>
                <w:b w:val="0"/>
                <w:sz w:val="22"/>
              </w:rPr>
              <w:t>未解决问题池（分级收纳）</w:t>
            </w:r>
          </w:p>
        </w:tc>
        <w:tc>
          <w:tcPr>
            <w:tcW w:type="dxa" w:w="4320"/>
          </w:tcPr>
          <w:p>
            <w:r>
              <w:rPr>
                <w:rFonts w:ascii="仿宋_GB2312" w:hAnsi="仿宋_GB2312" w:eastAsia="仿宋_GB2312"/>
                <w:b w:val="0"/>
                <w:sz w:val="22"/>
              </w:rPr>
              <w:t>已构建并自动运行，暂不做聚合去重</w:t>
            </w:r>
          </w:p>
        </w:tc>
      </w:tr>
      <w:tr>
        <w:tc>
          <w:tcPr>
            <w:tcW w:type="dxa" w:w="4320"/>
          </w:tcPr>
          <w:p>
            <w:r>
              <w:rPr>
                <w:rFonts w:ascii="仿宋_GB2312" w:hAnsi="仿宋_GB2312" w:eastAsia="仿宋_GB2312"/>
                <w:b w:val="0"/>
                <w:sz w:val="22"/>
              </w:rPr>
              <w:t>知识库QA条目数（累计）</w:t>
            </w:r>
          </w:p>
        </w:tc>
        <w:tc>
          <w:tcPr>
            <w:tcW w:type="dxa" w:w="4320"/>
          </w:tcPr>
          <w:p>
            <w:r>
              <w:rPr>
                <w:rFonts w:ascii="仿宋_GB2312" w:hAnsi="仿宋_GB2312" w:eastAsia="仿宋_GB2312"/>
                <w:b w:val="0"/>
                <w:sz w:val="22"/>
              </w:rPr>
              <w:t>沉淀量仍在积累中</w:t>
            </w:r>
          </w:p>
        </w:tc>
      </w:tr>
    </w:tbl>
    <w:p>
      <w:pPr>
        <w:spacing w:after="80"/>
      </w:pPr>
    </w:p>
    <w:p>
      <w:pPr>
        <w:spacing w:after="160"/>
      </w:pPr>
      <w:r>
        <w:rPr>
          <w:rFonts w:ascii="仿宋_GB2312" w:hAnsi="仿宋_GB2312" w:eastAsia="仿宋_GB2312"/>
          <w:b w:val="0"/>
          <w:sz w:val="21"/>
        </w:rPr>
        <w:t>说明：当前知识沉淀依赖支持人员的主观判断，存在触发门槛，团队已识别该环节为重点优化方向（详见四、总结的展望部分）。</w:t>
      </w:r>
    </w:p>
    <w:p>
      <w:pPr>
        <w:spacing w:after="160"/>
      </w:pPr>
      <w:r>
        <w:rPr>
          <w:rFonts w:ascii="仿宋_GB2312" w:hAnsi="仿宋_GB2312" w:eastAsia="仿宋_GB2312"/>
          <w:b w:val="0"/>
          <w:sz w:val="21"/>
        </w:rPr>
        <w:t>评价口径：知识沉淀属于长期能力建设，现阶段重点衡量链路是否打通、缺口能否持续进入治理流程，而不以短期新增条目数量作为唯一成效指标。</w:t>
      </w:r>
    </w:p>
    <w:p>
      <w:pPr>
        <w:spacing w:after="160"/>
      </w:pPr>
      <w:r>
        <w:rPr>
          <w:rFonts w:ascii="黑体" w:hAnsi="黑体" w:eastAsia="黑体"/>
          <w:b/>
          <w:sz w:val="28"/>
        </w:rPr>
        <w:t>3.6 跨平台复用情况</w:t>
      </w:r>
    </w:p>
    <w:p>
      <w:pPr>
        <w:spacing w:after="160"/>
      </w:pPr>
      <w:r>
        <w:rPr>
          <w:rFonts w:ascii="仿宋_GB2312" w:hAnsi="仿宋_GB2312" w:eastAsia="仿宋_GB2312"/>
          <w:b w:val="0"/>
          <w:sz w:val="24"/>
        </w:rPr>
        <w:t>该通用架构已在编码通(新)之外的编码通2.0、飞码、MP等同一低代码产品矩阵内的平台复用，各平台只需替换知识库内容与SKILL清单即可直接复用核心架构，无需重新设计。当前复用范围仍局限于低代码产品矩阵内部，向其他业务线的推广是下一阶段的规划方向（详见四、总结的展望部分）。</w:t>
      </w:r>
    </w:p>
    <w:p>
      <w:pPr>
        <w:spacing w:after="160"/>
      </w:pPr>
      <w:r>
        <w:rPr>
          <w:rFonts w:ascii="仿宋_GB2312" w:hAnsi="仿宋_GB2312" w:eastAsia="仿宋_GB2312"/>
          <w:b w:val="0"/>
          <w:sz w:val="21"/>
        </w:rPr>
        <w:t>说明：以上为架构复用的覆盖广度；各复用平台各自的拦截率、满意度等落地效果数据仍在统计中，将视情况在提交前补充，以进一步验证复用深度。</w:t>
      </w:r>
    </w:p>
    <w:p>
      <w:pPr>
        <w:spacing w:after="200"/>
      </w:pPr>
      <w:r>
        <w:rPr>
          <w:rFonts w:ascii="黑体" w:hAnsi="黑体" w:eastAsia="黑体"/>
          <w:b/>
          <w:sz w:val="32"/>
        </w:rPr>
        <w:t>四、总结</w:t>
      </w:r>
    </w:p>
    <w:p>
      <w:pPr>
        <w:spacing w:after="160"/>
      </w:pPr>
      <w:r>
        <w:rPr>
          <w:rFonts w:ascii="黑体" w:hAnsi="黑体" w:eastAsia="黑体"/>
          <w:b/>
          <w:sz w:val="28"/>
        </w:rPr>
        <w:t>4.1 方案论证逻辑回顾</w:t>
      </w:r>
    </w:p>
    <w:p>
      <w:pPr>
        <w:spacing w:after="160"/>
      </w:pPr>
      <w:r>
        <w:rPr>
          <w:rFonts w:ascii="仿宋_GB2312" w:hAnsi="仿宋_GB2312" w:eastAsia="仿宋_GB2312"/>
          <w:b w:val="0"/>
          <w:sz w:val="24"/>
        </w:rPr>
        <w:t>为便于整体把握，下图概括了双Agent分段式响应这一核心架构选型的完整论证过程，各环节对应的详细数据分别见1.2、2.4、3.2、3.3：</w:t>
      </w:r>
    </w:p>
    <w:p>
      <w:pPr>
        <w:spacing w:after="80"/>
        <w:jc w:val="center"/>
      </w:pPr>
      <w:r>
        <w:drawing>
          <wp:inline xmlns:a="http://schemas.openxmlformats.org/drawingml/2006/main" xmlns:pic="http://schemas.openxmlformats.org/drawingml/2006/picture">
            <wp:extent cx="5760720" cy="7770273"/>
            <wp:docPr id="2" name="Picture 2"/>
            <wp:cNvGraphicFramePr>
              <a:graphicFrameLocks noChangeAspect="1"/>
            </wp:cNvGraphicFramePr>
            <a:graphic>
              <a:graphicData uri="http://schemas.openxmlformats.org/drawingml/2006/picture">
                <pic:pic>
                  <pic:nvPicPr>
                    <pic:cNvPr id="0" name="logic_chain_diagram.png"/>
                    <pic:cNvPicPr/>
                  </pic:nvPicPr>
                  <pic:blipFill>
                    <a:blip r:embed="rId10"/>
                    <a:stretch>
                      <a:fillRect/>
                    </a:stretch>
                  </pic:blipFill>
                  <pic:spPr>
                    <a:xfrm>
                      <a:off x="0" y="0"/>
                      <a:ext cx="5760720" cy="7770273"/>
                    </a:xfrm>
                    <a:prstGeom prst="rect"/>
                  </pic:spPr>
                </pic:pic>
              </a:graphicData>
            </a:graphic>
          </wp:inline>
        </w:drawing>
      </w:r>
    </w:p>
    <w:p>
      <w:pPr>
        <w:spacing w:after="160"/>
      </w:pPr>
      <w:r>
        <w:rPr>
          <w:rFonts w:ascii="仿宋_GB2312" w:hAnsi="仿宋_GB2312" w:eastAsia="仿宋_GB2312"/>
          <w:b w:val="0"/>
          <w:sz w:val="21"/>
        </w:rPr>
        <w:t>图2 核心架构选型论证逻辑链：分支A验证"技能执行能力值得做"，分支B论证"为何必须拆成双Agent来做"，两条分支共同支撑最终架构选型与成本可接受性结论</w:t>
      </w:r>
    </w:p>
    <w:p>
      <w:pPr>
        <w:spacing w:after="160"/>
      </w:pPr>
      <w:r>
        <w:rPr>
          <w:rFonts w:ascii="仿宋_GB2312" w:hAnsi="仿宋_GB2312" w:eastAsia="仿宋_GB2312"/>
          <w:b w:val="0"/>
          <w:sz w:val="21"/>
        </w:rPr>
        <w:t>需特别说明：分支A验证的是"技能执行能力"本身的价值，并不直接等同于"必须拆成双Agent"的理由；真正要求拆成双Agent的，是分支B中渐进交付机制对"尽早获知候选技能信号"的需要——这是两条独立但互补的论证路径，而非单一直线推导。</w:t>
      </w:r>
    </w:p>
    <w:p>
      <w:pPr>
        <w:spacing w:after="160"/>
      </w:pPr>
      <w:r>
        <w:rPr>
          <w:rFonts w:ascii="黑体" w:hAnsi="黑体" w:eastAsia="黑体"/>
          <w:b/>
          <w:sz w:val="28"/>
        </w:rPr>
        <w:t>4.2 创新性</w:t>
      </w:r>
    </w:p>
    <w:p>
      <w:pPr>
        <w:pStyle w:val="ListBullet"/>
        <w:spacing w:after="160"/>
      </w:pPr>
      <w:r>
        <w:rPr>
          <w:rFonts w:ascii="仿宋_GB2312" w:hAnsi="仿宋_GB2312" w:eastAsia="仿宋_GB2312"/>
          <w:b/>
          <w:sz w:val="24"/>
        </w:rPr>
        <w:t>以实验数据驱动的架构选型方法论：</w:t>
      </w:r>
      <w:r>
        <w:rPr>
          <w:rFonts w:ascii="仿宋_GB2312" w:hAnsi="仿宋_GB2312" w:eastAsia="仿宋_GB2312"/>
          <w:b w:val="0"/>
          <w:sz w:val="24"/>
        </w:rPr>
        <w:t>技能推理环节在"知识库优先拦截""技能优先直接执行""双Agent分段式响应"三种候选方案间的取舍，没有依赖经验直接拍板，而是设计了"终态判断准确性"与"双Agent解耦成本"两个方向的量化评测方案，用送达率、LLM-as-judge质量判断、双Agent/单Agent配对成本对比等数据正面论证取舍依据，并坦诚披露当前方案自身的成本代价（详见三、实践成效）。"判断与执行解耦"这一架构模式本身并不罕见，本方案真正的创新点在于：把架构选型从定性的经验判断，转化为一套可复用的数据驱动验证范式，这一方法论本身比具体架构模式更具参考与复制价值。</w:t>
      </w:r>
    </w:p>
    <w:p>
      <w:pPr>
        <w:pStyle w:val="ListBullet"/>
        <w:spacing w:after="160"/>
      </w:pPr>
      <w:r>
        <w:rPr>
          <w:rFonts w:ascii="仿宋_GB2312" w:hAnsi="仿宋_GB2312" w:eastAsia="仿宋_GB2312"/>
          <w:b/>
          <w:sz w:val="24"/>
        </w:rPr>
        <w:t>基于问题分层的三级递进应答引擎：</w:t>
      </w:r>
      <w:r>
        <w:rPr>
          <w:rFonts w:ascii="仿宋_GB2312" w:hAnsi="仿宋_GB2312" w:eastAsia="仿宋_GB2312"/>
          <w:b w:val="0"/>
          <w:sz w:val="24"/>
        </w:rPr>
        <w:t>识别出确定性、推理性、场景可行性评估、需求反馈四类问题，设计知识库检索→Agent技能推理→文档兜底的逐层应答架构，精准匹配不同性质的问题，突破传统FAQ机器人"查得到才能答"的局限。</w:t>
      </w:r>
    </w:p>
    <w:p>
      <w:pPr>
        <w:pStyle w:val="ListBullet"/>
        <w:spacing w:after="160"/>
      </w:pPr>
      <w:r>
        <w:rPr>
          <w:rFonts w:ascii="仿宋_GB2312" w:hAnsi="仿宋_GB2312" w:eastAsia="仿宋_GB2312"/>
          <w:b/>
          <w:sz w:val="24"/>
        </w:rPr>
        <w:t>资源效率与用户体验的动态平衡机制：</w:t>
      </w:r>
      <w:r>
        <w:rPr>
          <w:rFonts w:ascii="仿宋_GB2312" w:hAnsi="仿宋_GB2312" w:eastAsia="仿宋_GB2312"/>
          <w:b w:val="0"/>
          <w:sz w:val="24"/>
        </w:rPr>
        <w:t>通过知识库与候选技能状态组合驱动的终态判断，决定渐进交付每一步是否开放人工支持入口；叠加熔断时间窗口与提问有效性过滤两层宏观管控，在"计算资源利用效率"与"用户体验"之间建立可落地、可抗对抗性干扰的动态平衡。</w:t>
      </w:r>
    </w:p>
    <w:p>
      <w:pPr>
        <w:pStyle w:val="ListBullet"/>
        <w:spacing w:after="160"/>
      </w:pPr>
      <w:r>
        <w:rPr>
          <w:rFonts w:ascii="仿宋_GB2312" w:hAnsi="仿宋_GB2312" w:eastAsia="仿宋_GB2312"/>
          <w:b/>
          <w:sz w:val="24"/>
        </w:rPr>
        <w:t>双Agent单点决策架构：</w:t>
      </w:r>
      <w:r>
        <w:rPr>
          <w:rFonts w:ascii="仿宋_GB2312" w:hAnsi="仿宋_GB2312" w:eastAsia="仿宋_GB2312"/>
          <w:b w:val="0"/>
          <w:sz w:val="24"/>
        </w:rPr>
        <w:t>技能推理环节由早期"上下游各自判断"收敛为"上游单点决策、下游纯执行"，这一调整由真实运行反馈驱动——识别到多级独立语义判断会复合放大误判率，收敛决策点后命中率与一致性均有改善。</w:t>
      </w:r>
    </w:p>
    <w:p>
      <w:pPr>
        <w:pStyle w:val="ListBullet"/>
        <w:spacing w:after="160"/>
      </w:pPr>
      <w:r>
        <w:rPr>
          <w:rFonts w:ascii="仿宋_GB2312" w:hAnsi="仿宋_GB2312" w:eastAsia="仿宋_GB2312"/>
          <w:b/>
          <w:sz w:val="24"/>
        </w:rPr>
        <w:t>知识自增长双轨闭环机制：</w:t>
      </w:r>
      <w:r>
        <w:rPr>
          <w:rFonts w:ascii="仿宋_GB2312" w:hAnsi="仿宋_GB2312" w:eastAsia="仿宋_GB2312"/>
          <w:b w:val="0"/>
          <w:sz w:val="24"/>
        </w:rPr>
        <w:t>机器复用链路中已有信号自动识别知识库/技能覆盖缺口并分级收纳，人工在支持过程中主动快捷沉淀，两条路径互补，使知识库和技能库随系统运行持续自然生长。</w:t>
      </w:r>
    </w:p>
    <w:p>
      <w:pPr>
        <w:pStyle w:val="ListBullet"/>
        <w:spacing w:after="160"/>
      </w:pPr>
      <w:r>
        <w:rPr>
          <w:rFonts w:ascii="仿宋_GB2312" w:hAnsi="仿宋_GB2312" w:eastAsia="仿宋_GB2312"/>
          <w:b/>
          <w:sz w:val="24"/>
        </w:rPr>
        <w:t>通用引擎与可插拔数据层解耦的可复制架构：</w:t>
      </w:r>
      <w:r>
        <w:rPr>
          <w:rFonts w:ascii="仿宋_GB2312" w:hAnsi="仿宋_GB2312" w:eastAsia="仿宋_GB2312"/>
          <w:b w:val="0"/>
          <w:sz w:val="24"/>
        </w:rPr>
        <w:t>核心引擎、Agent协同模式与业务数据层彻底解耦，已在编码通(新)之外的低代码产品矩阵内验证复用，具备规模化推广的现实基础。</w:t>
      </w:r>
    </w:p>
    <w:p>
      <w:pPr>
        <w:spacing w:after="160"/>
      </w:pPr>
      <w:r>
        <w:rPr>
          <w:rFonts w:ascii="黑体" w:hAnsi="黑体" w:eastAsia="黑体"/>
          <w:b/>
          <w:sz w:val="28"/>
        </w:rPr>
        <w:t>4.3 效果和沉淀</w:t>
      </w:r>
    </w:p>
    <w:p>
      <w:pPr>
        <w:spacing w:after="160"/>
      </w:pPr>
      <w:r>
        <w:rPr>
          <w:rFonts w:ascii="仿宋_GB2312" w:hAnsi="仿宋_GB2312" w:eastAsia="仿宋_GB2312"/>
          <w:b w:val="0"/>
          <w:sz w:val="24"/>
        </w:rPr>
        <w:t>综合来看，本方案的价值不止于上线一个问答机器人，而是完成了三层验证：</w:t>
      </w:r>
      <w:r>
        <w:rPr>
          <w:rFonts w:ascii="仿宋_GB2312" w:hAnsi="仿宋_GB2312" w:eastAsia="仿宋_GB2312"/>
          <w:b/>
          <w:sz w:val="24"/>
        </w:rPr>
        <w:t>运营层</w:t>
      </w:r>
      <w:r>
        <w:rPr>
          <w:rFonts w:ascii="仿宋_GB2312" w:hAnsi="仿宋_GB2312" w:eastAsia="仿宋_GB2312"/>
          <w:b w:val="0"/>
          <w:sz w:val="24"/>
        </w:rPr>
        <w:t>验证整套体系能否缩短响应链路、分流人工压力（最终数据见3.1、3.4）；</w:t>
      </w:r>
      <w:r>
        <w:rPr>
          <w:rFonts w:ascii="仿宋_GB2312" w:hAnsi="仿宋_GB2312" w:eastAsia="仿宋_GB2312"/>
          <w:b/>
          <w:sz w:val="24"/>
        </w:rPr>
        <w:t>架构层</w:t>
      </w:r>
      <w:r>
        <w:rPr>
          <w:rFonts w:ascii="仿宋_GB2312" w:hAnsi="仿宋_GB2312" w:eastAsia="仿宋_GB2312"/>
          <w:b w:val="0"/>
          <w:sz w:val="24"/>
        </w:rPr>
        <w:t>验证终态判断与双Agent分段式响应能否交付更多优质答案，并以可衡量的成本换取渐进交付能力（见3.2、3.3）；</w:t>
      </w:r>
      <w:r>
        <w:rPr>
          <w:rFonts w:ascii="仿宋_GB2312" w:hAnsi="仿宋_GB2312" w:eastAsia="仿宋_GB2312"/>
          <w:b/>
          <w:sz w:val="24"/>
        </w:rPr>
        <w:t>能力层</w:t>
      </w:r>
      <w:r>
        <w:rPr>
          <w:rFonts w:ascii="仿宋_GB2312" w:hAnsi="仿宋_GB2312" w:eastAsia="仿宋_GB2312"/>
          <w:b w:val="0"/>
          <w:sz w:val="24"/>
        </w:rPr>
        <w:t>沉淀覆盖7大业务模块、约30个SKILL的推理能力库，打通知识缺口发现与人工治理链路，并在编码通2.0、飞码、MP等同一低代码产品矩阵内完成复用（见3.5、3.6）。由此形成了从单点应用效果到架构增量价值、再到长期可复制能力的完整验证。项目研发投入：【待补充具体人力与周期投入数据】。</w:t>
      </w:r>
    </w:p>
    <w:p>
      <w:pPr>
        <w:spacing w:after="160"/>
      </w:pPr>
      <w:r>
        <w:rPr>
          <w:rFonts w:ascii="黑体" w:hAnsi="黑体" w:eastAsia="黑体"/>
          <w:b/>
          <w:sz w:val="28"/>
        </w:rPr>
        <w:t>4.4 展望</w:t>
      </w:r>
    </w:p>
    <w:p>
      <w:pPr>
        <w:pStyle w:val="ListBullet"/>
        <w:spacing w:after="160"/>
      </w:pPr>
      <w:r>
        <w:rPr>
          <w:rFonts w:ascii="仿宋_GB2312" w:hAnsi="仿宋_GB2312" w:eastAsia="仿宋_GB2312"/>
          <w:b/>
          <w:sz w:val="24"/>
        </w:rPr>
        <w:t>人工依赖范围的持续收窄：</w:t>
      </w:r>
      <w:r>
        <w:rPr>
          <w:rFonts w:ascii="仿宋_GB2312" w:hAnsi="仿宋_GB2312" w:eastAsia="仿宋_GB2312"/>
          <w:b w:val="0"/>
          <w:sz w:val="24"/>
        </w:rPr>
        <w:t>当前"场景可行性评估"等复杂判断、以及知识/技能缺口的人工补齐，仍依赖人工完成——这是现阶段AI能力限制下的务实安排，而非设计终点。后续将持续跟踪大模型推理与判断能力的提升，逐步扩大机器自主覆盖的问题范围，收窄对人工的依赖。</w:t>
      </w:r>
    </w:p>
    <w:p>
      <w:pPr>
        <w:pStyle w:val="ListBullet"/>
        <w:spacing w:after="160"/>
      </w:pPr>
      <w:r>
        <w:rPr>
          <w:rFonts w:ascii="仿宋_GB2312" w:hAnsi="仿宋_GB2312" w:eastAsia="仿宋_GB2312"/>
          <w:b/>
          <w:sz w:val="24"/>
        </w:rPr>
        <w:t>问题分层数据的持续量化：</w:t>
      </w:r>
      <w:r>
        <w:rPr>
          <w:rFonts w:ascii="仿宋_GB2312" w:hAnsi="仿宋_GB2312" w:eastAsia="仿宋_GB2312"/>
          <w:b w:val="0"/>
          <w:sz w:val="24"/>
        </w:rPr>
        <w:t>计划通过AI辅助分类对历史及新增咨询数据持续统计，使"问题分层"始终有数据驱动，反哺架构持续优化。</w:t>
      </w:r>
    </w:p>
    <w:p>
      <w:pPr>
        <w:pStyle w:val="ListBullet"/>
        <w:spacing w:after="160"/>
      </w:pPr>
      <w:r>
        <w:rPr>
          <w:rFonts w:ascii="仿宋_GB2312" w:hAnsi="仿宋_GB2312" w:eastAsia="仿宋_GB2312"/>
          <w:b/>
          <w:sz w:val="24"/>
        </w:rPr>
        <w:t>知识沉淀驱动机制优化：</w:t>
      </w:r>
      <w:r>
        <w:rPr>
          <w:rFonts w:ascii="仿宋_GB2312" w:hAnsi="仿宋_GB2312" w:eastAsia="仿宋_GB2312"/>
          <w:b w:val="0"/>
          <w:sz w:val="24"/>
        </w:rPr>
        <w:t>当前人工主动沉淀依赖支持人员的主观判断，存在触发门槛。后续计划探索AI自动识别高价值对话并主动推荐沉淀，建立沉淀贡献的运营激励机制。</w:t>
      </w:r>
    </w:p>
    <w:p>
      <w:pPr>
        <w:pStyle w:val="ListBullet"/>
        <w:spacing w:after="160"/>
      </w:pPr>
      <w:r>
        <w:rPr>
          <w:rFonts w:ascii="仿宋_GB2312" w:hAnsi="仿宋_GB2312" w:eastAsia="仿宋_GB2312"/>
          <w:b/>
          <w:sz w:val="24"/>
        </w:rPr>
        <w:t>满意度数据埋点完善：</w:t>
      </w:r>
      <w:r>
        <w:rPr>
          <w:rFonts w:ascii="仿宋_GB2312" w:hAnsi="仿宋_GB2312" w:eastAsia="仿宋_GB2312"/>
          <w:b w:val="0"/>
          <w:sz w:val="24"/>
        </w:rPr>
        <w:t>目前人工支持触发即视为机器人拦截失败，尚未对答案满意度做精细化埋点，后续计划补充显式反馈机制。</w:t>
      </w:r>
    </w:p>
    <w:p>
      <w:pPr>
        <w:pStyle w:val="ListBullet"/>
        <w:spacing w:after="160"/>
      </w:pPr>
      <w:r>
        <w:rPr>
          <w:rFonts w:ascii="仿宋_GB2312" w:hAnsi="仿宋_GB2312" w:eastAsia="仿宋_GB2312"/>
          <w:b/>
          <w:sz w:val="24"/>
        </w:rPr>
        <w:t>熔断策略丰富化：</w:t>
      </w:r>
      <w:r>
        <w:rPr>
          <w:rFonts w:ascii="仿宋_GB2312" w:hAnsi="仿宋_GB2312" w:eastAsia="仿宋_GB2312"/>
          <w:b w:val="0"/>
          <w:sz w:val="24"/>
        </w:rPr>
        <w:t>当前熔断策略仅有"1小时内未提问不可直接呼叫人工"一条规则，后续计划结合更多场景（如同一问题重复追问次数）丰富熔断与引导策略。</w:t>
      </w:r>
    </w:p>
    <w:p>
      <w:pPr>
        <w:pStyle w:val="ListBullet"/>
        <w:spacing w:after="160"/>
      </w:pPr>
      <w:r>
        <w:rPr>
          <w:rFonts w:ascii="仿宋_GB2312" w:hAnsi="仿宋_GB2312" w:eastAsia="仿宋_GB2312"/>
          <w:b/>
          <w:sz w:val="24"/>
        </w:rPr>
        <w:t>人工交接体验优化：</w:t>
      </w:r>
      <w:r>
        <w:rPr>
          <w:rFonts w:ascii="仿宋_GB2312" w:hAnsi="仿宋_GB2312" w:eastAsia="仿宋_GB2312"/>
          <w:b w:val="0"/>
          <w:sz w:val="24"/>
        </w:rPr>
        <w:t>当前转人工时机器人侧对话上下文不会自动同步给人工客服，后续计划打通上下文传递，避免用户重复描述问题。</w:t>
      </w:r>
    </w:p>
    <w:p>
      <w:pPr>
        <w:pStyle w:val="ListBullet"/>
        <w:spacing w:after="160"/>
      </w:pPr>
      <w:r>
        <w:rPr>
          <w:rFonts w:ascii="仿宋_GB2312" w:hAnsi="仿宋_GB2312" w:eastAsia="仿宋_GB2312"/>
          <w:b/>
          <w:sz w:val="24"/>
        </w:rPr>
        <w:t>问题池聚合去重与智能摘要推送：</w:t>
      </w:r>
      <w:r>
        <w:rPr>
          <w:rFonts w:ascii="仿宋_GB2312" w:hAnsi="仿宋_GB2312" w:eastAsia="仿宋_GB2312"/>
          <w:b w:val="0"/>
          <w:sz w:val="24"/>
        </w:rPr>
        <w:t>当前问题池仅做分级、不做相似问题去重聚合。后续计划引入向量聚合、按频次/等级排序定期推送摘要，并探索缺口修复后的自动验证机制。</w:t>
      </w:r>
    </w:p>
    <w:p>
      <w:pPr>
        <w:pStyle w:val="ListBullet"/>
        <w:spacing w:after="160"/>
      </w:pPr>
      <w:r>
        <w:rPr>
          <w:rFonts w:ascii="仿宋_GB2312" w:hAnsi="仿宋_GB2312" w:eastAsia="仿宋_GB2312"/>
          <w:b/>
          <w:sz w:val="24"/>
        </w:rPr>
        <w:t>跨业务线推广：</w:t>
      </w:r>
      <w:r>
        <w:rPr>
          <w:rFonts w:ascii="仿宋_GB2312" w:hAnsi="仿宋_GB2312" w:eastAsia="仿宋_GB2312"/>
          <w:b w:val="0"/>
          <w:sz w:val="24"/>
        </w:rPr>
        <w:t>当前复用范围仍局限于低代码产品矩阵内部，后续计划评估向其他业务线技术支持场景的适配可行性。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