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通过对实际技术支持咨询记录的系统性梳理，项目组提炼出三条具有普遍适用性的共性特征，这些特征并不局限于某一具体平台或场景：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27.7%</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68.2%</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3.6%</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0.4%</w:t>
            </w:r>
          </w:p>
        </w:tc>
      </w:tr>
    </w:tbl>
    <w:p>
      <w:pPr>
        <w:spacing w:after="80"/>
      </w:pPr>
    </w:p>
    <w:p>
      <w:pPr>
        <w:spacing w:after="160"/>
      </w:pPr>
      <w:r>
        <w:rPr>
          <w:rFonts w:ascii="仿宋_GB2312" w:hAnsi="仿宋_GB2312" w:eastAsia="仿宋_GB2312"/>
          <w:b w:val="0"/>
          <w:sz w:val="21"/>
        </w:rPr>
        <w:t>说明：占比数据基于低代码场景近期历史咨询会话记录的统计分析（通过AI辅助分类统计），该分类标准与统计方法与具体业务逻辑无关，可直接套用于其他技术支持场景。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sz w:val="24"/>
        </w:rPr>
        <w:t>特征三：问答闭环离不开人工参与。</w:t>
      </w:r>
      <w:r>
        <w:rPr>
          <w:rFonts w:ascii="仿宋_GB2312" w:hAnsi="仿宋_GB2312" w:eastAsia="仿宋_GB2312"/>
          <w:b w:val="0"/>
          <w:sz w:val="24"/>
        </w:rPr>
        <w:t>机器既无法独立应答所有问题——复杂场景判断等超出当前AI能力边界的问题，最终仍需人工兜底；也无法独立完成自身能力的迭代——知识库和技能库的内容补充，同样依赖人工的判断与操作。这意味着任何技术支持问答体系要真正规模化运转，都必须为人工预留合理的参与环节，而非追求"完全无人化"。</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设计理念：三条核心价值主张</w:t>
      </w:r>
    </w:p>
    <w:p>
      <w:pPr>
        <w:spacing w:after="160"/>
      </w:pPr>
      <w:r>
        <w:rPr>
          <w:rFonts w:ascii="仿宋_GB2312" w:hAnsi="仿宋_GB2312" w:eastAsia="仿宋_GB2312"/>
          <w:b w:val="0"/>
          <w:sz w:val="24"/>
        </w:rPr>
        <w:t>本方案的设计理念由三条核心价值主张支撑，分别回应1.2中提炼的三条共性特征：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仿宋_GB2312" w:hAnsi="仿宋_GB2312" w:eastAsia="仿宋_GB2312"/>
          <w:b/>
          <w:sz w:val="24"/>
        </w:rPr>
        <w:t>价值主张三：人工参与的精准聚焦，而非粗放式消耗。</w:t>
      </w:r>
      <w:r>
        <w:rPr>
          <w:rFonts w:ascii="仿宋_GB2312" w:hAnsi="仿宋_GB2312" w:eastAsia="仿宋_GB2312"/>
          <w:b w:val="0"/>
          <w:sz w:val="24"/>
        </w:rPr>
        <w:t>现阶段问答闭环离不开人工兜底与治理，但核心价值在于通过终态判断与知识自增长机制，把有限人工精准投放到复杂场景判断、知识技能治理等高价值环节，避免被长尾问题稀释消耗，并以此持续收敛人工参与的边界。</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该架构选择的必要性与成本验证详见三、实践成效。</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val="0"/>
          <w:sz w:val="24"/>
        </w:rPr>
        <w:t>该机制的实际运行效果详见三、实践成效。</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该方案本体已基于编码通(新)这一低代码技术支持场景完成落地，以下为落地后的具体情况。</w:t>
      </w:r>
    </w:p>
    <w:p>
      <w:pPr>
        <w:spacing w:after="160"/>
      </w:pPr>
      <w:r>
        <w:rPr>
          <w:rFonts w:ascii="黑体" w:hAnsi="黑体" w:eastAsia="黑体"/>
          <w:b/>
          <w:sz w:val="28"/>
        </w:rPr>
        <w:t>3.1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3.2 渐进交付机制的实际成效</w:t>
      </w:r>
    </w:p>
    <w:p>
      <w:pPr>
        <w:spacing w:after="160"/>
      </w:pPr>
      <w:r>
        <w:rPr>
          <w:rFonts w:ascii="仿宋_GB2312" w:hAnsi="仿宋_GB2312" w:eastAsia="仿宋_GB2312"/>
          <w:b/>
          <w:sz w:val="24"/>
        </w:rPr>
        <w:t>评测说明：</w:t>
      </w:r>
      <w:r>
        <w:rPr>
          <w:rFonts w:ascii="仿宋_GB2312" w:hAnsi="仿宋_GB2312" w:eastAsia="仿宋_GB2312"/>
          <w:b w:val="0"/>
          <w:sz w:val="24"/>
        </w:rPr>
        <w:t>本节数据来源于近期一段时间内自然产生的全量咨询会话日志，未经人工倾向性筛选，共提取233条有效会话进行评测。</w:t>
      </w:r>
    </w:p>
    <w:p>
      <w:pPr>
        <w:spacing w:after="160"/>
      </w:pPr>
      <w:r>
        <w:rPr>
          <w:rFonts w:ascii="仿宋_GB2312" w:hAnsi="仿宋_GB2312" w:eastAsia="仿宋_GB2312"/>
          <w:b w:val="0"/>
          <w:sz w:val="21"/>
        </w:rPr>
        <w:t>说明：当前为阶段性评测范围，正式提交前计划视时间情况扩大样本覆盖面，以进一步提升结论稳健性。</w:t>
      </w:r>
    </w:p>
    <w:p>
      <w:pPr>
        <w:spacing w:after="160"/>
      </w:pPr>
      <w:r>
        <w:rPr>
          <w:rFonts w:ascii="仿宋_GB2312" w:hAnsi="仿宋_GB2312" w:eastAsia="仿宋_GB2312"/>
          <w:b/>
          <w:sz w:val="24"/>
        </w:rPr>
        <w:t>候选技能送达率：</w:t>
      </w:r>
      <w:r>
        <w:rPr>
          <w:rFonts w:ascii="仿宋_GB2312" w:hAnsi="仿宋_GB2312" w:eastAsia="仿宋_GB2312"/>
          <w:b w:val="0"/>
          <w:sz w:val="24"/>
        </w:rPr>
        <w:t>在存在候选技能的183个会话中，最终成功送达技能答案的比例为67.2%；按知识库检索结果进一步拆分：知识库有答案且候选技能存在的93个会话中，送达率为73.1%，知识库无答案且候选技能存在的90个会话中，送达率为61.1%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统计口径</w:t>
            </w:r>
          </w:p>
        </w:tc>
        <w:tc>
          <w:tcPr>
            <w:tcW w:type="dxa" w:w="2160"/>
          </w:tcPr>
          <w:p>
            <w:r>
              <w:rPr>
                <w:rFonts w:ascii="仿宋_GB2312" w:hAnsi="仿宋_GB2312" w:eastAsia="仿宋_GB2312"/>
                <w:b/>
                <w:sz w:val="22"/>
              </w:rPr>
              <w:t>候选技能会话数</w:t>
            </w:r>
          </w:p>
        </w:tc>
        <w:tc>
          <w:tcPr>
            <w:tcW w:type="dxa" w:w="2160"/>
          </w:tcPr>
          <w:p>
            <w:r>
              <w:rPr>
                <w:rFonts w:ascii="仿宋_GB2312" w:hAnsi="仿宋_GB2312" w:eastAsia="仿宋_GB2312"/>
                <w:b/>
                <w:sz w:val="22"/>
              </w:rPr>
              <w:t>送达成功数</w:t>
            </w:r>
          </w:p>
        </w:tc>
        <w:tc>
          <w:tcPr>
            <w:tcW w:type="dxa" w:w="2160"/>
          </w:tcPr>
          <w:p>
            <w:r>
              <w:rPr>
                <w:rFonts w:ascii="仿宋_GB2312" w:hAnsi="仿宋_GB2312" w:eastAsia="仿宋_GB2312"/>
                <w:b/>
                <w:sz w:val="22"/>
              </w:rPr>
              <w:t>送达率</w:t>
            </w:r>
          </w:p>
        </w:tc>
      </w:tr>
      <w:tr>
        <w:tc>
          <w:tcPr>
            <w:tcW w:type="dxa" w:w="2160"/>
          </w:tcPr>
          <w:p>
            <w:r>
              <w:rPr>
                <w:rFonts w:ascii="仿宋_GB2312" w:hAnsi="仿宋_GB2312" w:eastAsia="仿宋_GB2312"/>
                <w:b w:val="0"/>
                <w:sz w:val="22"/>
              </w:rPr>
              <w:t>整体（全部候选技能会话）</w:t>
            </w:r>
          </w:p>
        </w:tc>
        <w:tc>
          <w:tcPr>
            <w:tcW w:type="dxa" w:w="2160"/>
          </w:tcPr>
          <w:p>
            <w:r>
              <w:rPr>
                <w:rFonts w:ascii="仿宋_GB2312" w:hAnsi="仿宋_GB2312" w:eastAsia="仿宋_GB2312"/>
                <w:b w:val="0"/>
                <w:sz w:val="22"/>
              </w:rPr>
              <w:t>183</w:t>
            </w:r>
          </w:p>
        </w:tc>
        <w:tc>
          <w:tcPr>
            <w:tcW w:type="dxa" w:w="2160"/>
          </w:tcPr>
          <w:p>
            <w:r>
              <w:rPr>
                <w:rFonts w:ascii="仿宋_GB2312" w:hAnsi="仿宋_GB2312" w:eastAsia="仿宋_GB2312"/>
                <w:b w:val="0"/>
                <w:sz w:val="22"/>
              </w:rPr>
              <w:t>123</w:t>
            </w:r>
          </w:p>
        </w:tc>
        <w:tc>
          <w:tcPr>
            <w:tcW w:type="dxa" w:w="2160"/>
          </w:tcPr>
          <w:p>
            <w:r>
              <w:rPr>
                <w:rFonts w:ascii="仿宋_GB2312" w:hAnsi="仿宋_GB2312" w:eastAsia="仿宋_GB2312"/>
                <w:b w:val="0"/>
                <w:sz w:val="22"/>
              </w:rPr>
              <w:t>67.2%</w:t>
            </w:r>
          </w:p>
        </w:tc>
      </w:tr>
      <w:tr>
        <w:tc>
          <w:tcPr>
            <w:tcW w:type="dxa" w:w="2160"/>
          </w:tcPr>
          <w:p>
            <w:r>
              <w:rPr>
                <w:rFonts w:ascii="仿宋_GB2312" w:hAnsi="仿宋_GB2312" w:eastAsia="仿宋_GB2312"/>
                <w:b w:val="0"/>
                <w:sz w:val="22"/>
              </w:rPr>
              <w:t>知识库有答案 + 候选技能存在</w:t>
            </w:r>
          </w:p>
        </w:tc>
        <w:tc>
          <w:tcPr>
            <w:tcW w:type="dxa" w:w="2160"/>
          </w:tcPr>
          <w:p>
            <w:r>
              <w:rPr>
                <w:rFonts w:ascii="仿宋_GB2312" w:hAnsi="仿宋_GB2312" w:eastAsia="仿宋_GB2312"/>
                <w:b w:val="0"/>
                <w:sz w:val="22"/>
              </w:rPr>
              <w:t>93</w:t>
            </w:r>
          </w:p>
        </w:tc>
        <w:tc>
          <w:tcPr>
            <w:tcW w:type="dxa" w:w="2160"/>
          </w:tcPr>
          <w:p>
            <w:r>
              <w:rPr>
                <w:rFonts w:ascii="仿宋_GB2312" w:hAnsi="仿宋_GB2312" w:eastAsia="仿宋_GB2312"/>
                <w:b w:val="0"/>
                <w:sz w:val="22"/>
              </w:rPr>
              <w:t>68</w:t>
            </w:r>
          </w:p>
        </w:tc>
        <w:tc>
          <w:tcPr>
            <w:tcW w:type="dxa" w:w="2160"/>
          </w:tcPr>
          <w:p>
            <w:r>
              <w:rPr>
                <w:rFonts w:ascii="仿宋_GB2312" w:hAnsi="仿宋_GB2312" w:eastAsia="仿宋_GB2312"/>
                <w:b w:val="0"/>
                <w:sz w:val="22"/>
              </w:rPr>
              <w:t>73.1%</w:t>
            </w:r>
          </w:p>
        </w:tc>
      </w:tr>
      <w:tr>
        <w:tc>
          <w:tcPr>
            <w:tcW w:type="dxa" w:w="2160"/>
          </w:tcPr>
          <w:p>
            <w:r>
              <w:rPr>
                <w:rFonts w:ascii="仿宋_GB2312" w:hAnsi="仿宋_GB2312" w:eastAsia="仿宋_GB2312"/>
                <w:b w:val="0"/>
                <w:sz w:val="22"/>
              </w:rPr>
              <w:t>知识库无答案 + 候选技能存在</w:t>
            </w:r>
          </w:p>
        </w:tc>
        <w:tc>
          <w:tcPr>
            <w:tcW w:type="dxa" w:w="2160"/>
          </w:tcPr>
          <w:p>
            <w:r>
              <w:rPr>
                <w:rFonts w:ascii="仿宋_GB2312" w:hAnsi="仿宋_GB2312" w:eastAsia="仿宋_GB2312"/>
                <w:b w:val="0"/>
                <w:sz w:val="22"/>
              </w:rPr>
              <w:t>90</w:t>
            </w:r>
          </w:p>
        </w:tc>
        <w:tc>
          <w:tcPr>
            <w:tcW w:type="dxa" w:w="2160"/>
          </w:tcPr>
          <w:p>
            <w:r>
              <w:rPr>
                <w:rFonts w:ascii="仿宋_GB2312" w:hAnsi="仿宋_GB2312" w:eastAsia="仿宋_GB2312"/>
                <w:b w:val="0"/>
                <w:sz w:val="22"/>
              </w:rPr>
              <w:t>55</w:t>
            </w:r>
          </w:p>
        </w:tc>
        <w:tc>
          <w:tcPr>
            <w:tcW w:type="dxa" w:w="2160"/>
          </w:tcPr>
          <w:p>
            <w:r>
              <w:rPr>
                <w:rFonts w:ascii="仿宋_GB2312" w:hAnsi="仿宋_GB2312" w:eastAsia="仿宋_GB2312"/>
                <w:b w:val="0"/>
                <w:sz w:val="22"/>
              </w:rPr>
              <w:t>61.1%</w:t>
            </w:r>
          </w:p>
        </w:tc>
      </w:tr>
    </w:tbl>
    <w:p>
      <w:pPr>
        <w:spacing w:after="80"/>
      </w:pPr>
    </w:p>
    <w:p>
      <w:pPr>
        <w:spacing w:after="160"/>
      </w:pPr>
      <w:r>
        <w:rPr>
          <w:rFonts w:ascii="仿宋_GB2312" w:hAnsi="仿宋_GB2312" w:eastAsia="仿宋_GB2312"/>
          <w:b/>
          <w:sz w:val="24"/>
        </w:rPr>
        <w:t>答案质量判断：</w:t>
      </w:r>
      <w:r>
        <w:rPr>
          <w:rFonts w:ascii="仿宋_GB2312" w:hAnsi="仿宋_GB2312" w:eastAsia="仿宋_GB2312"/>
          <w:b w:val="0"/>
          <w:sz w:val="24"/>
        </w:rPr>
        <w:t>针对"知识库有答案且技能成功送达"的68个会话，进一步比较知识库答案与技能答案的实质差异：</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判断结果</w:t>
            </w:r>
          </w:p>
        </w:tc>
        <w:tc>
          <w:tcPr>
            <w:tcW w:type="dxa" w:w="4320"/>
          </w:tcPr>
          <w:p>
            <w:r>
              <w:rPr>
                <w:rFonts w:ascii="仿宋_GB2312" w:hAnsi="仿宋_GB2312" w:eastAsia="仿宋_GB2312"/>
                <w:b/>
                <w:sz w:val="22"/>
              </w:rPr>
              <w:t>占比</w:t>
            </w:r>
          </w:p>
        </w:tc>
      </w:tr>
      <w:tr>
        <w:tc>
          <w:tcPr>
            <w:tcW w:type="dxa" w:w="4320"/>
          </w:tcPr>
          <w:p>
            <w:r>
              <w:rPr>
                <w:rFonts w:ascii="仿宋_GB2312" w:hAnsi="仿宋_GB2312" w:eastAsia="仿宋_GB2312"/>
                <w:b w:val="0"/>
                <w:sz w:val="22"/>
              </w:rPr>
              <w:t>技能答案更优</w:t>
            </w:r>
          </w:p>
        </w:tc>
        <w:tc>
          <w:tcPr>
            <w:tcW w:type="dxa" w:w="4320"/>
          </w:tcPr>
          <w:p>
            <w:r>
              <w:rPr>
                <w:rFonts w:ascii="仿宋_GB2312" w:hAnsi="仿宋_GB2312" w:eastAsia="仿宋_GB2312"/>
                <w:b w:val="0"/>
                <w:sz w:val="22"/>
              </w:rPr>
              <w:t>79.4%</w:t>
            </w:r>
          </w:p>
        </w:tc>
      </w:tr>
      <w:tr>
        <w:tc>
          <w:tcPr>
            <w:tcW w:type="dxa" w:w="4320"/>
          </w:tcPr>
          <w:p>
            <w:r>
              <w:rPr>
                <w:rFonts w:ascii="仿宋_GB2312" w:hAnsi="仿宋_GB2312" w:eastAsia="仿宋_GB2312"/>
                <w:b w:val="0"/>
                <w:sz w:val="22"/>
              </w:rPr>
              <w:t>两者相当</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技能答案未见明显提升</w:t>
            </w:r>
          </w:p>
        </w:tc>
        <w:tc>
          <w:tcPr>
            <w:tcW w:type="dxa" w:w="4320"/>
          </w:tcPr>
          <w:p>
            <w:r>
              <w:rPr>
                <w:rFonts w:ascii="仿宋_GB2312" w:hAnsi="仿宋_GB2312" w:eastAsia="仿宋_GB2312"/>
                <w:b w:val="0"/>
                <w:sz w:val="22"/>
              </w:rPr>
              <w:t>10.3%</w:t>
            </w:r>
          </w:p>
        </w:tc>
      </w:tr>
      <w:tr>
        <w:tc>
          <w:tcPr>
            <w:tcW w:type="dxa" w:w="4320"/>
          </w:tcPr>
          <w:p>
            <w:r>
              <w:rPr>
                <w:rFonts w:ascii="仿宋_GB2312" w:hAnsi="仿宋_GB2312" w:eastAsia="仿宋_GB2312"/>
                <w:b w:val="0"/>
                <w:sz w:val="22"/>
              </w:rPr>
              <w:t>技能答案存在错误或偏题</w:t>
            </w:r>
          </w:p>
        </w:tc>
        <w:tc>
          <w:tcPr>
            <w:tcW w:type="dxa" w:w="4320"/>
          </w:tcPr>
          <w:p>
            <w:r>
              <w:rPr>
                <w:rFonts w:ascii="仿宋_GB2312" w:hAnsi="仿宋_GB2312" w:eastAsia="仿宋_GB2312"/>
                <w:b w:val="0"/>
                <w:sz w:val="22"/>
              </w:rPr>
              <w:t>0.0%</w:t>
            </w:r>
          </w:p>
        </w:tc>
      </w:tr>
    </w:tbl>
    <w:p>
      <w:pPr>
        <w:spacing w:after="80"/>
      </w:pPr>
    </w:p>
    <w:p>
      <w:pPr>
        <w:spacing w:after="160"/>
      </w:pPr>
      <w:r>
        <w:rPr>
          <w:rFonts w:ascii="仿宋_GB2312" w:hAnsi="仿宋_GB2312" w:eastAsia="仿宋_GB2312"/>
          <w:b w:val="0"/>
          <w:sz w:val="21"/>
        </w:rPr>
        <w:t>方法说明：答案质量判断采用LLM-as-judge方式，由大模型比较知识库答案与技能答案的实质信息差异并给出判断，同时抽样人工复核评判结果的一致性；全部68个会话均完成评审，未发现技能答案存在事实性错误或偏题误导的个案。</w:t>
      </w:r>
    </w:p>
    <w:p>
      <w:pPr>
        <w:spacing w:after="160"/>
      </w:pPr>
      <w:r>
        <w:rPr>
          <w:rFonts w:ascii="仿宋_GB2312" w:hAnsi="仿宋_GB2312" w:eastAsia="仿宋_GB2312"/>
          <w:b/>
          <w:sz w:val="24"/>
        </w:rPr>
        <w:t>核心结论：</w:t>
      </w:r>
      <w:r>
        <w:rPr>
          <w:rFonts w:ascii="仿宋_GB2312" w:hAnsi="仿宋_GB2312" w:eastAsia="仿宋_GB2312"/>
          <w:b w:val="0"/>
          <w:sz w:val="24"/>
        </w:rPr>
        <w:t>综合送达率与质量判断，在"知识库有答案但候选技能也存在"的93个会话中，终态判断机制最终将58.1%（54/93）的会话转化为真正更优的技能答案；而若采用"知识库优先拦截"策略，这些场景下更优答案的交付比例为0%——终态判断机制对这部分有价值答案的实际挽救效果显著。</w:t>
      </w:r>
    </w:p>
    <w:p>
      <w:pPr>
        <w:spacing w:after="160"/>
      </w:pPr>
      <w:r>
        <w:rPr>
          <w:rFonts w:ascii="黑体" w:hAnsi="黑体" w:eastAsia="黑体"/>
          <w:b/>
          <w:sz w:val="28"/>
        </w:rPr>
        <w:t>3.3 方案选型的实践依据</w:t>
      </w:r>
    </w:p>
    <w:p>
      <w:pPr>
        <w:spacing w:after="160"/>
      </w:pPr>
      <w:r>
        <w:rPr>
          <w:rFonts w:ascii="仿宋_GB2312" w:hAnsi="仿宋_GB2312" w:eastAsia="仿宋_GB2312"/>
          <w:b w:val="0"/>
          <w:sz w:val="24"/>
        </w:rPr>
        <w:t>技能推理环节在设计阶段曾评估过三种候选方案：知识库优先拦截、技能优先直接执行、双Agent分段式响应（即当前方案），以下为各方案取舍的实践依据：</w:t>
      </w:r>
    </w:p>
    <w:p>
      <w:pPr>
        <w:spacing w:after="160"/>
      </w:pPr>
      <w:r>
        <w:rPr>
          <w:rFonts w:ascii="仿宋_GB2312" w:hAnsi="仿宋_GB2312" w:eastAsia="仿宋_GB2312"/>
          <w:b/>
          <w:sz w:val="24"/>
        </w:rPr>
        <w:t>为何不是知识库优先拦截：</w:t>
      </w:r>
      <w:r>
        <w:rPr>
          <w:rFonts w:ascii="仿宋_GB2312" w:hAnsi="仿宋_GB2312" w:eastAsia="仿宋_GB2312"/>
          <w:b w:val="0"/>
          <w:sz w:val="24"/>
        </w:rPr>
        <w:t>该策略一旦知识库命中即直接终态返回，不再判断候选技能是否存在。按上节数据，这会导致93个"知识库有答案但候选技能也存在"的会话中，58.1%本应送达的更优答案被100%错失。</w:t>
      </w:r>
    </w:p>
    <w:p>
      <w:pPr>
        <w:spacing w:after="160"/>
      </w:pPr>
      <w:r>
        <w:rPr>
          <w:rFonts w:ascii="仿宋_GB2312" w:hAnsi="仿宋_GB2312" w:eastAsia="仿宋_GB2312"/>
          <w:b/>
          <w:sz w:val="24"/>
        </w:rPr>
        <w:t>为何不是技能优先直接执行：</w:t>
      </w:r>
      <w:r>
        <w:rPr>
          <w:rFonts w:ascii="仿宋_GB2312" w:hAnsi="仿宋_GB2312" w:eastAsia="仿宋_GB2312"/>
          <w:b w:val="0"/>
          <w:sz w:val="24"/>
        </w:rPr>
        <w:t>该策略跳过候选技能判断，对所有问题直接触发技能执行，对本就不存在可用技能的问题会造成执行环节空转、浪费计算资源。以单Agent平均单次调用成本作为量级估算，评测样本中50个候选技能不存在的会话，若采用该策略预计将额外消耗约109万token、约64分钟的无效计算资源。</w:t>
      </w:r>
    </w:p>
    <w:p>
      <w:pPr>
        <w:spacing w:after="160"/>
      </w:pPr>
      <w:r>
        <w:rPr>
          <w:rFonts w:ascii="仿宋_GB2312" w:hAnsi="仿宋_GB2312" w:eastAsia="仿宋_GB2312"/>
          <w:b/>
          <w:sz w:val="24"/>
        </w:rPr>
        <w:t>为何是双Agent分段式、且成本可接受：</w:t>
      </w:r>
      <w:r>
        <w:rPr>
          <w:rFonts w:ascii="仿宋_GB2312" w:hAnsi="仿宋_GB2312" w:eastAsia="仿宋_GB2312"/>
          <w:b w:val="0"/>
          <w:sz w:val="24"/>
        </w:rPr>
        <w:t>双Agent解耦相对单Agent一体化基线，总耗时增加约71.3%，总Token消耗增加约288.4%，但这部分成本是渐进交付机制得以成立的工程前提——若判断与执行耦合在一次调用中完成，无法提前拿到候选技能是否存在的信号，渐进交付将无从谈起。而该机制的价值已通过上节数据验证：58.1%的真实转化率、0%的答案错误率，综合来看，这部分成本投入是可接受的。换个角度理解：这部分额外成本，本质是为"执行完成前就能提前判断是否存在更优答案"这一侦察能力付出的代价——若省去这部分投入，省下的计算资源并不能转化为用户体验的提升，反而会让上节中本可被挽救的54个优质答案重新退回"错失"状态。</w:t>
      </w:r>
    </w:p>
    <w:p>
      <w:pPr>
        <w:spacing w:after="160"/>
      </w:pPr>
      <w:r>
        <w:rPr>
          <w:rFonts w:ascii="黑体" w:hAnsi="黑体" w:eastAsia="黑体"/>
          <w:b/>
          <w:sz w:val="28"/>
        </w:rPr>
        <w:t>3.4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3.5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3.6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160"/>
      </w:pPr>
      <w:r>
        <w:rPr>
          <w:rFonts w:ascii="仿宋_GB2312" w:hAnsi="仿宋_GB2312" w:eastAsia="仿宋_GB2312"/>
          <w:b w:val="0"/>
          <w:sz w:val="21"/>
        </w:rPr>
        <w:t>说明：以上为架构复用的覆盖广度；各复用平台各自的拦截率、满意度等落地效果数据仍在统计中，将视情况在提交前补充，以进一步验证复用深度。</w:t>
      </w:r>
    </w:p>
    <w:p>
      <w:pPr>
        <w:spacing w:after="200"/>
      </w:pPr>
      <w:r>
        <w:rPr>
          <w:rFonts w:ascii="黑体" w:hAnsi="黑体" w:eastAsia="黑体"/>
          <w:b/>
          <w:sz w:val="32"/>
        </w:rPr>
        <w:t>四、总结</w:t>
      </w:r>
    </w:p>
    <w:p>
      <w:pPr>
        <w:spacing w:after="160"/>
      </w:pPr>
      <w:r>
        <w:rPr>
          <w:rFonts w:ascii="黑体" w:hAnsi="黑体" w:eastAsia="黑体"/>
          <w:b/>
          <w:sz w:val="28"/>
        </w:rPr>
        <w:t>4.1 方案论证逻辑回顾</w:t>
      </w:r>
    </w:p>
    <w:p>
      <w:pPr>
        <w:spacing w:after="160"/>
      </w:pPr>
      <w:r>
        <w:rPr>
          <w:rFonts w:ascii="仿宋_GB2312" w:hAnsi="仿宋_GB2312" w:eastAsia="仿宋_GB2312"/>
          <w:b w:val="0"/>
          <w:sz w:val="24"/>
        </w:rPr>
        <w:t>为便于整体把握，下图概括了双Agent分段式响应这一核心架构选型的完整论证过程，各环节对应的详细数据分别见1.2、2.4、3.2、3.3：</w:t>
      </w:r>
    </w:p>
    <w:p>
      <w:pPr>
        <w:spacing w:after="80"/>
        <w:jc w:val="center"/>
      </w:pPr>
      <w:r>
        <w:drawing>
          <wp:inline xmlns:a="http://schemas.openxmlformats.org/drawingml/2006/main" xmlns:pic="http://schemas.openxmlformats.org/drawingml/2006/picture">
            <wp:extent cx="5760720" cy="7770273"/>
            <wp:docPr id="2" name="Picture 2"/>
            <wp:cNvGraphicFramePr>
              <a:graphicFrameLocks noChangeAspect="1"/>
            </wp:cNvGraphicFramePr>
            <a:graphic>
              <a:graphicData uri="http://schemas.openxmlformats.org/drawingml/2006/picture">
                <pic:pic>
                  <pic:nvPicPr>
                    <pic:cNvPr id="0" name="logic_chain_diagram.png"/>
                    <pic:cNvPicPr/>
                  </pic:nvPicPr>
                  <pic:blipFill>
                    <a:blip r:embed="rId10"/>
                    <a:stretch>
                      <a:fillRect/>
                    </a:stretch>
                  </pic:blipFill>
                  <pic:spPr>
                    <a:xfrm>
                      <a:off x="0" y="0"/>
                      <a:ext cx="5760720" cy="7770273"/>
                    </a:xfrm>
                    <a:prstGeom prst="rect"/>
                  </pic:spPr>
                </pic:pic>
              </a:graphicData>
            </a:graphic>
          </wp:inline>
        </w:drawing>
      </w:r>
    </w:p>
    <w:p>
      <w:pPr>
        <w:spacing w:after="160"/>
      </w:pPr>
      <w:r>
        <w:rPr>
          <w:rFonts w:ascii="仿宋_GB2312" w:hAnsi="仿宋_GB2312" w:eastAsia="仿宋_GB2312"/>
          <w:b w:val="0"/>
          <w:sz w:val="21"/>
        </w:rPr>
        <w:t>图2 核心架构选型论证逻辑链：分支A验证"技能执行能力值得做"，分支B论证"为何必须拆成双Agent来做"，两条分支共同支撑最终架构选型与成本可接受性结论</w:t>
      </w:r>
    </w:p>
    <w:p>
      <w:pPr>
        <w:spacing w:after="160"/>
      </w:pPr>
      <w:r>
        <w:rPr>
          <w:rFonts w:ascii="仿宋_GB2312" w:hAnsi="仿宋_GB2312" w:eastAsia="仿宋_GB2312"/>
          <w:b w:val="0"/>
          <w:sz w:val="21"/>
        </w:rPr>
        <w:t>需特别说明：分支A验证的是"技能执行能力"本身的价值，并不直接等同于"必须拆成双Agent"的理由；真正要求拆成双Agent的，是分支B中渐进交付机制对"尽早获知候选技能信号"的需要——这是两条独立但互补的论证路径，而非单一直线推导。</w:t>
      </w:r>
    </w:p>
    <w:p>
      <w:pPr>
        <w:spacing w:after="160"/>
      </w:pPr>
      <w:r>
        <w:rPr>
          <w:rFonts w:ascii="黑体" w:hAnsi="黑体" w:eastAsia="黑体"/>
          <w:b/>
          <w:sz w:val="28"/>
        </w:rPr>
        <w:t>4.2 创新性</w:t>
      </w:r>
    </w:p>
    <w:p>
      <w:pPr>
        <w:pStyle w:val="ListBullet"/>
        <w:spacing w:after="160"/>
      </w:pPr>
      <w:r>
        <w:rPr>
          <w:rFonts w:ascii="仿宋_GB2312" w:hAnsi="仿宋_GB2312" w:eastAsia="仿宋_GB2312"/>
          <w:b/>
          <w:sz w:val="24"/>
        </w:rPr>
        <w:t>以实验数据驱动的架构选型方法论：</w:t>
      </w:r>
      <w:r>
        <w:rPr>
          <w:rFonts w:ascii="仿宋_GB2312" w:hAnsi="仿宋_GB2312" w:eastAsia="仿宋_GB2312"/>
          <w:b w:val="0"/>
          <w:sz w:val="24"/>
        </w:rPr>
        <w:t>技能推理环节在"知识库优先拦截""技能优先直接执行""双Agent分段式响应"三种候选方案间的取舍，没有依赖经验直接拍板，而是设计了"终态判断准确性"与"双Agent解耦成本"两个方向的量化评测方案，用送达率、LLM-as-judge质量判断、双Agent/单Agent配对成本对比等数据正面论证取舍依据，并坦诚披露当前方案自身的成本代价（详见三、实践成效）。"判断与执行解耦"这一架构模式本身并不罕见，本方案真正的创新点在于：把架构选型从定性的经验判断，转化为一套可复用的数据驱动验证范式，这一方法论本身比具体架构模式更具参考与复制价值。</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4.3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项目研发投入：【待补充具体人力与周期投入数据】。</w:t>
      </w:r>
    </w:p>
    <w:p>
      <w:pPr>
        <w:spacing w:after="160"/>
      </w:pPr>
      <w:r>
        <w:rPr>
          <w:rFonts w:ascii="黑体" w:hAnsi="黑体" w:eastAsia="黑体"/>
          <w:b/>
          <w:sz w:val="28"/>
        </w:rPr>
        <w:t>4.4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