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通过对实际技术支持咨询记录的系统性梳理，项目组提炼出两条具有普遍适用性的共性特征，这些特征并不局限于某一具体平台或场景：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【待补充】</w:t>
            </w:r>
          </w:p>
        </w:tc>
      </w:tr>
    </w:tbl>
    <w:p>
      <w:pPr>
        <w:spacing w:after="80"/>
      </w:pPr>
    </w:p>
    <w:p>
      <w:pPr>
        <w:spacing w:after="160"/>
      </w:pPr>
      <w:r>
        <w:rPr>
          <w:rFonts w:ascii="仿宋_GB2312" w:hAnsi="仿宋_GB2312" w:eastAsia="仿宋_GB2312"/>
          <w:b w:val="0"/>
          <w:sz w:val="21"/>
        </w:rPr>
        <w:t>说明：问题分类标准由项目组制定后，通过AI辅助分类的方式对历史咨询记录进行统计，具体占比数据将在规则确定后补充；该分类标准与占比统计方法与具体业务逻辑无关，可直接套用于其他技术支持场景。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本章节介绍的是一套面向上述两条共性特征设计的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设计理念：两条核心价值主张</w:t>
      </w:r>
    </w:p>
    <w:p>
      <w:pPr>
        <w:spacing w:after="160"/>
      </w:pPr>
      <w:r>
        <w:rPr>
          <w:rFonts w:ascii="仿宋_GB2312" w:hAnsi="仿宋_GB2312" w:eastAsia="仿宋_GB2312"/>
          <w:b w:val="0"/>
          <w:sz w:val="24"/>
        </w:rPr>
        <w:t>本方案的设计理念由两条核心价值主张支撑，分别回应1.2中提炼的两条共性特征：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黑体" w:hAnsi="黑体" w:eastAsia="黑体"/>
          <w:b/>
          <w:sz w:val="28"/>
        </w:rPr>
        <w:t>2.2 通用架构概览</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80"/>
        <w:jc w:val="center"/>
      </w:pPr>
      <w:r>
        <w:drawing>
          <wp:inline xmlns:a="http://schemas.openxmlformats.org/drawingml/2006/main" xmlns:pic="http://schemas.openxmlformats.org/drawingml/2006/picture">
            <wp:extent cx="4572000" cy="7035866"/>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572000" cy="7035866"/>
                    </a:xfrm>
                    <a:prstGeom prst="rect"/>
                  </pic:spPr>
                </pic:pic>
              </a:graphicData>
            </a:graphic>
          </wp:inline>
        </w:drawing>
      </w:r>
    </w:p>
    <w:p>
      <w:pPr>
        <w:spacing w:after="160"/>
      </w:pPr>
      <w:r>
        <w:rPr>
          <w:rFonts w:ascii="仿宋_GB2312" w:hAnsi="仿宋_GB2312" w:eastAsia="仿宋_GB2312"/>
          <w:b w:val="0"/>
          <w:sz w:val="21"/>
        </w:rPr>
        <w:t>图1 整体架构图：两个人工入口、核心应答链路与知识自增长闭环</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spacing w:after="160"/>
      </w:pPr>
      <w:r>
        <w:rPr>
          <w:rFonts w:ascii="仿宋_GB2312" w:hAnsi="仿宋_GB2312" w:eastAsia="仿宋_GB2312"/>
          <w:b w:val="0"/>
          <w:sz w:val="24"/>
        </w:rPr>
        <w:t>技能推理为何要拆成两个Agent，而非一个Agent"判断+执行"一气呵成？根本原因在于(3)所述的终态判断与渐进交付机制，需要尽早拿到"是否存在可用技能"这一信号，才能决定是提示用户"更精准答案在路上"，还是直接把知识库答案当终态呈现——缺了这个信号，要么误把过渡态答案当终态，要么让用户盲目等待产生焦虑。但"判断有没有技能"是轻量语义匹配，"调用技能生成答案"却涉及实际执行、耗时高得多：若两者耦合在一个Agent里顺序完成，就必须等执行完才能拿到判断信号，渐进交付也就无从谈起。因此拆分为上游（快速产出信号）与下游（专注执行）两个Agent，这是渐进交付机制得以成立的工程前提。</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按"知识库答案/等待提示→技能答案→文档兜底"分阶段渐进交付答案，是否展示人工支持按钮由知识库答案状态与候选技能是否存在的组合判断是否已到达终态，具体组合逻辑如下：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仿宋_GB2312" w:hAnsi="仿宋_GB2312" w:eastAsia="仿宋_GB2312"/>
                <w:b/>
                <w:sz w:val="22"/>
              </w:rPr>
              <w:t>知识库检索结果</w:t>
            </w:r>
          </w:p>
        </w:tc>
        <w:tc>
          <w:tcPr>
            <w:tcW w:type="dxa" w:w="2160"/>
          </w:tcPr>
          <w:p>
            <w:r>
              <w:rPr>
                <w:rFonts w:ascii="仿宋_GB2312" w:hAnsi="仿宋_GB2312" w:eastAsia="仿宋_GB2312"/>
                <w:b/>
                <w:sz w:val="22"/>
              </w:rPr>
              <w:t>候选技能是否存在</w:t>
            </w:r>
          </w:p>
        </w:tc>
        <w:tc>
          <w:tcPr>
            <w:tcW w:type="dxa" w:w="2160"/>
          </w:tcPr>
          <w:p>
            <w:r>
              <w:rPr>
                <w:rFonts w:ascii="仿宋_GB2312" w:hAnsi="仿宋_GB2312" w:eastAsia="仿宋_GB2312"/>
                <w:b/>
                <w:sz w:val="22"/>
              </w:rPr>
              <w:t>是否终态</w:t>
            </w:r>
          </w:p>
        </w:tc>
        <w:tc>
          <w:tcPr>
            <w:tcW w:type="dxa" w:w="2160"/>
          </w:tcPr>
          <w:p>
            <w:r>
              <w:rPr>
                <w:rFonts w:ascii="仿宋_GB2312" w:hAnsi="仿宋_GB2312" w:eastAsia="仿宋_GB2312"/>
                <w:b/>
                <w:sz w:val="22"/>
              </w:rPr>
              <w:t>后续处理</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是</w:t>
            </w:r>
          </w:p>
        </w:tc>
        <w:tc>
          <w:tcPr>
            <w:tcW w:type="dxa" w:w="2160"/>
          </w:tcPr>
          <w:p>
            <w:r>
              <w:rPr>
                <w:rFonts w:ascii="仿宋_GB2312" w:hAnsi="仿宋_GB2312" w:eastAsia="仿宋_GB2312"/>
                <w:b w:val="0"/>
                <w:sz w:val="22"/>
              </w:rPr>
              <w:t>直接展示知识库答案，提供人工支持按钮</w:t>
            </w:r>
          </w:p>
        </w:tc>
      </w:tr>
      <w:tr>
        <w:tc>
          <w:tcPr>
            <w:tcW w:type="dxa" w:w="2160"/>
          </w:tcPr>
          <w:p>
            <w:r>
              <w:rPr>
                <w:rFonts w:ascii="仿宋_GB2312" w:hAnsi="仿宋_GB2312" w:eastAsia="仿宋_GB2312"/>
                <w:b w:val="0"/>
                <w:sz w:val="22"/>
              </w:rPr>
              <w:t>有答案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知识库答案作为过渡参考，触发技能执行Agent，暂不提供人工支持按钮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展示等待提示，触发技能执行Agent，暂不提供人工支持按钮</w:t>
            </w:r>
          </w:p>
        </w:tc>
      </w:tr>
      <w:tr>
        <w:tc>
          <w:tcPr>
            <w:tcW w:type="dxa" w:w="2160"/>
          </w:tcPr>
          <w:p>
            <w:r>
              <w:rPr>
                <w:rFonts w:ascii="仿宋_GB2312" w:hAnsi="仿宋_GB2312" w:eastAsia="仿宋_GB2312"/>
                <w:b w:val="0"/>
                <w:sz w:val="22"/>
              </w:rPr>
              <w:t>无答案</w:t>
            </w:r>
          </w:p>
        </w:tc>
        <w:tc>
          <w:tcPr>
            <w:tcW w:type="dxa" w:w="2160"/>
          </w:tcPr>
          <w:p>
            <w:r>
              <w:rPr>
                <w:rFonts w:ascii="仿宋_GB2312" w:hAnsi="仿宋_GB2312" w:eastAsia="仿宋_GB2312"/>
                <w:b w:val="0"/>
                <w:sz w:val="22"/>
              </w:rPr>
              <w:t>不存在</w:t>
            </w:r>
          </w:p>
        </w:tc>
        <w:tc>
          <w:tcPr>
            <w:tcW w:type="dxa" w:w="2160"/>
          </w:tcPr>
          <w:p>
            <w:r>
              <w:rPr>
                <w:rFonts w:ascii="仿宋_GB2312" w:hAnsi="仿宋_GB2312" w:eastAsia="仿宋_GB2312"/>
                <w:b w:val="0"/>
                <w:sz w:val="22"/>
              </w:rPr>
              <w:t>否</w:t>
            </w:r>
          </w:p>
        </w:tc>
        <w:tc>
          <w:tcPr>
            <w:tcW w:type="dxa" w:w="2160"/>
          </w:tcPr>
          <w:p>
            <w:r>
              <w:rPr>
                <w:rFonts w:ascii="仿宋_GB2312" w:hAnsi="仿宋_GB2312" w:eastAsia="仿宋_GB2312"/>
                <w:b w:val="0"/>
                <w:sz w:val="22"/>
              </w:rPr>
              <w:t>展示等待提示，跳过技能执行，直接进入文档推荐兜底，暂不提供人工支持按钮</w:t>
            </w:r>
          </w:p>
        </w:tc>
      </w:tr>
    </w:tbl>
    <w:p>
      <w:pPr>
        <w:spacing w:after="80"/>
      </w:pPr>
    </w:p>
    <w:p>
      <w:pPr>
        <w:spacing w:after="160"/>
      </w:pPr>
      <w:r>
        <w:rPr>
          <w:rFonts w:ascii="仿宋_GB2312" w:hAnsi="仿宋_GB2312" w:eastAsia="仿宋_GB2312"/>
          <w:b w:val="0"/>
          <w:sz w:val="21"/>
        </w:rPr>
        <w:t>说明：技能执行完成、或文档推荐兜底返回后（无论结果如何），均视为到达终态，统一提供人工支持按钮，避免用户看到质量一般的中间结果就提前转向人工、也避免用户在不知情的情况下无限等待。</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以下为方案本体在编码通(新)平台落地后的具体情况。</w:t>
      </w:r>
    </w:p>
    <w:p>
      <w:pPr>
        <w:spacing w:after="160"/>
      </w:pPr>
      <w:r>
        <w:rPr>
          <w:rFonts w:ascii="黑体" w:hAnsi="黑体" w:eastAsia="黑体"/>
          <w:b/>
          <w:sz w:val="28"/>
        </w:rPr>
        <w:t>3.1 落地案例：编码通(新)的具体实现</w:t>
      </w:r>
    </w:p>
    <w:p>
      <w:pPr>
        <w:spacing w:after="160"/>
      </w:pPr>
      <w:r>
        <w:rPr>
          <w:rFonts w:ascii="仿宋_GB2312" w:hAnsi="仿宋_GB2312" w:eastAsia="仿宋_GB2312"/>
          <w:b/>
          <w:sz w:val="24"/>
        </w:rPr>
        <w:t>知识库层面：</w:t>
      </w:r>
      <w:r>
        <w:rPr>
          <w:rFonts w:ascii="仿宋_GB2312" w:hAnsi="仿宋_GB2312" w:eastAsia="仿宋_GB2312"/>
          <w:b w:val="0"/>
          <w:sz w:val="24"/>
        </w:rPr>
        <w:t>订阅内部K+知识库，内容来源于官方操作文档（与在线文档自动同步）和人工整理的QA。</w:t>
      </w:r>
    </w:p>
    <w:p>
      <w:pPr>
        <w:spacing w:after="160"/>
      </w:pPr>
      <w:r>
        <w:rPr>
          <w:rFonts w:ascii="仿宋_GB2312" w:hAnsi="仿宋_GB2312" w:eastAsia="仿宋_GB2312"/>
          <w:b/>
          <w:sz w:val="24"/>
        </w:rPr>
        <w:t>技能层面：</w:t>
      </w:r>
      <w:r>
        <w:rPr>
          <w:rFonts w:ascii="仿宋_GB2312" w:hAnsi="仿宋_GB2312" w:eastAsia="仿宋_GB2312"/>
          <w:b w:val="0"/>
          <w:sz w:val="24"/>
        </w:rPr>
        <w:t>通过Function Calling配置了约30个排障SKILL，覆盖数据开发、界面开发、数据处理、权限设置、应用运维、辅助功能、触发设置等7大业务模块。例如用户询问某SQL节点字段该如何插入数据时，Agent能基于用户输入直接生成对应SQL语句，而非仅返回一篇通用文档。</w:t>
      </w:r>
    </w:p>
    <w:p>
      <w:pPr>
        <w:spacing w:after="160"/>
      </w:pPr>
      <w:r>
        <w:rPr>
          <w:rFonts w:ascii="黑体" w:hAnsi="黑体" w:eastAsia="黑体"/>
          <w:b/>
          <w:sz w:val="28"/>
        </w:rPr>
        <w:t>3.2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3.3 响应效率与人力成本</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3.4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黑体" w:hAnsi="黑体" w:eastAsia="黑体"/>
          <w:b/>
          <w:sz w:val="28"/>
        </w:rPr>
        <w:t>3.5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200"/>
      </w:pPr>
      <w:r>
        <w:rPr>
          <w:rFonts w:ascii="黑体" w:hAnsi="黑体" w:eastAsia="黑体"/>
          <w:b/>
          <w:sz w:val="32"/>
        </w:rPr>
        <w:t>四、总结</w:t>
      </w:r>
    </w:p>
    <w:p>
      <w:pPr>
        <w:spacing w:after="160"/>
      </w:pPr>
      <w:r>
        <w:rPr>
          <w:rFonts w:ascii="黑体" w:hAnsi="黑体" w:eastAsia="黑体"/>
          <w:b/>
          <w:sz w:val="28"/>
        </w:rPr>
        <w:t>4.1 创新性</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4.2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打通了从人工支持到知识库的一键沉淀链路，以及机器自动识别缺口的问题池分级机制；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4.3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