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CAPSTONE PROJECT REVISION MATRIX</w:t>
      </w:r>
    </w:p>
    <w:tbl>
      <w:tblPr>
        <w:tblStyle w:val="Table1"/>
        <w:tblW w:w="7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2070"/>
        <w:tblGridChange w:id="0">
          <w:tblGrid>
            <w:gridCol w:w="1800"/>
            <w:gridCol w:w="1800"/>
            <w:gridCol w:w="1800"/>
            <w:gridCol w:w="2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Proposal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Tool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Final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Re-defense</w:t>
            </w:r>
          </w:p>
        </w:tc>
      </w:tr>
    </w:tbl>
    <w:p w:rsidR="00000000" w:rsidDel="00000000" w:rsidP="00000000" w:rsidRDefault="00000000" w:rsidRPr="00000000" w14:paraId="0000000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654"/>
        <w:tblGridChange w:id="0">
          <w:tblGrid>
            <w:gridCol w:w="1696"/>
            <w:gridCol w:w="7654"/>
          </w:tblGrid>
        </w:tblGridChange>
      </w:tblGrid>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08">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Title:</w:t>
            </w:r>
          </w:p>
        </w:tc>
        <w:tc>
          <w:tcPr>
            <w:tcMar>
              <w:top w:w="72.0" w:type="dxa"/>
              <w:left w:w="72.0" w:type="dxa"/>
              <w:bottom w:w="72.0" w:type="dxa"/>
              <w:right w:w="72.0" w:type="dxa"/>
            </w:tcMar>
          </w:tcPr>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Fonts w:ascii="Arial" w:cs="Arial" w:eastAsia="Arial" w:hAnsi="Arial"/>
                <w:rtl w:val="0"/>
              </w:rPr>
              <w:t xml:space="preserve">NEST.PH: A Web-Based Integrated Dormitory Management System with VR Room Visualization and Automated Delinquency Escalation Protocol </w:t>
            </w:r>
          </w:p>
        </w:tc>
      </w:tr>
      <w:tr>
        <w:trPr>
          <w:cantSplit w:val="0"/>
          <w:tblHeader w:val="0"/>
        </w:trPr>
        <w:tc>
          <w:tcPr>
            <w:tcMar>
              <w:top w:w="72.0" w:type="dxa"/>
              <w:left w:w="72.0" w:type="dxa"/>
              <w:bottom w:w="72.0" w:type="dxa"/>
              <w:right w:w="72.0" w:type="dxa"/>
            </w:tcMar>
            <w:vAlign w:val="center"/>
          </w:tcPr>
          <w:p w:rsidR="00000000" w:rsidDel="00000000" w:rsidP="00000000" w:rsidRDefault="00000000" w:rsidRPr="00000000" w14:paraId="0000000A">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Proponents:</w:t>
            </w:r>
          </w:p>
        </w:tc>
        <w:tc>
          <w:tcPr>
            <w:tcMar>
              <w:top w:w="72.0" w:type="dxa"/>
              <w:left w:w="72.0" w:type="dxa"/>
              <w:bottom w:w="72.0" w:type="dxa"/>
              <w:right w:w="72.0" w:type="dxa"/>
            </w:tcMar>
          </w:tcPr>
          <w:p w:rsidR="00000000" w:rsidDel="00000000" w:rsidP="00000000" w:rsidRDefault="00000000" w:rsidRPr="00000000" w14:paraId="0000000B">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Bagui, Shayne Marie D.</w:t>
            </w:r>
          </w:p>
          <w:p w:rsidR="00000000" w:rsidDel="00000000" w:rsidP="00000000" w:rsidRDefault="00000000" w:rsidRPr="00000000" w14:paraId="0000000C">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De Leon, Ryza May B.</w:t>
            </w:r>
          </w:p>
          <w:p w:rsidR="00000000" w:rsidDel="00000000" w:rsidP="00000000" w:rsidRDefault="00000000" w:rsidRPr="00000000" w14:paraId="0000000D">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Lopez, Vince D.</w:t>
            </w:r>
          </w:p>
          <w:p w:rsidR="00000000" w:rsidDel="00000000" w:rsidP="00000000" w:rsidRDefault="00000000" w:rsidRPr="00000000" w14:paraId="0000000E">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Pelea, Ayranne Gabrielle M.</w:t>
            </w:r>
          </w:p>
        </w:tc>
      </w:tr>
    </w:tbl>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3090"/>
        <w:gridCol w:w="4365"/>
        <w:gridCol w:w="1335"/>
        <w:tblGridChange w:id="0">
          <w:tblGrid>
            <w:gridCol w:w="570"/>
            <w:gridCol w:w="3090"/>
            <w:gridCol w:w="4365"/>
            <w:gridCol w:w="1335"/>
          </w:tblGrid>
        </w:tblGridChange>
      </w:tblGrid>
      <w:tr>
        <w:trPr>
          <w:cantSplit w:val="0"/>
          <w:trHeight w:val="364" w:hRule="atLeast"/>
          <w:tblHeader w:val="0"/>
        </w:trPr>
        <w:tc>
          <w:tcPr>
            <w:gridSpan w:val="2"/>
            <w:tcMar>
              <w:top w:w="72.0" w:type="dxa"/>
              <w:left w:w="72.0" w:type="dxa"/>
              <w:bottom w:w="72.0" w:type="dxa"/>
              <w:right w:w="72.0" w:type="dxa"/>
            </w:tcMar>
            <w:vAlign w:val="center"/>
          </w:tcPr>
          <w:p w:rsidR="00000000" w:rsidDel="00000000" w:rsidP="00000000" w:rsidRDefault="00000000" w:rsidRPr="00000000" w14:paraId="00000010">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Comments / Suggestions / and Recommendations from the Panelists</w:t>
            </w:r>
          </w:p>
        </w:tc>
        <w:tc>
          <w:tcPr>
            <w:tcMar>
              <w:top w:w="72.0" w:type="dxa"/>
              <w:left w:w="72.0" w:type="dxa"/>
              <w:bottom w:w="72.0" w:type="dxa"/>
              <w:right w:w="72.0" w:type="dxa"/>
            </w:tcMar>
            <w:vAlign w:val="center"/>
          </w:tcPr>
          <w:p w:rsidR="00000000" w:rsidDel="00000000" w:rsidP="00000000" w:rsidRDefault="00000000" w:rsidRPr="00000000" w14:paraId="0000001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Action Taken</w:t>
            </w:r>
          </w:p>
        </w:tc>
        <w:tc>
          <w:tcPr>
            <w:tcMar>
              <w:top w:w="72.0" w:type="dxa"/>
              <w:left w:w="72.0" w:type="dxa"/>
              <w:bottom w:w="72.0" w:type="dxa"/>
              <w:right w:w="72.0" w:type="dxa"/>
            </w:tcMar>
            <w:vAlign w:val="center"/>
          </w:tcPr>
          <w:p w:rsidR="00000000" w:rsidDel="00000000" w:rsidP="00000000" w:rsidRDefault="00000000" w:rsidRPr="00000000" w14:paraId="00000013">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Signature of the Panelist</w:t>
            </w:r>
          </w:p>
        </w:tc>
      </w:tr>
      <w:tr>
        <w:trPr>
          <w:cantSplit w:val="0"/>
          <w:trHeight w:val="364" w:hRule="atLeast"/>
          <w:tblHeader w:val="0"/>
        </w:trPr>
        <w:tc>
          <w:tcPr>
            <w:gridSpan w:val="4"/>
            <w:tcMar>
              <w:top w:w="72.0" w:type="dxa"/>
              <w:left w:w="72.0" w:type="dxa"/>
              <w:bottom w:w="72.0" w:type="dxa"/>
              <w:right w:w="72.0" w:type="dxa"/>
            </w:tcMar>
            <w:vAlign w:val="center"/>
          </w:tcPr>
          <w:p w:rsidR="00000000" w:rsidDel="00000000" w:rsidP="00000000" w:rsidRDefault="00000000" w:rsidRPr="00000000" w14:paraId="00000014">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Panelist 1: Prof. Iluminada Vivien R. Domingo, DBA</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 </w:t>
            </w:r>
          </w:p>
        </w:tc>
        <w:tc>
          <w:tcPr>
            <w:tcMar>
              <w:top w:w="72.0" w:type="dxa"/>
              <w:left w:w="72.0" w:type="dxa"/>
              <w:bottom w:w="72.0" w:type="dxa"/>
              <w:right w:w="72.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Create a generic application process/GUI for other dormitory owners instead of going directly into the vendor’s (Pureza Station Dormitory) page, with a contact option for dormitory owners who want to use the system.</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Developed a generic NEST.PH landing page that appears before the dormitory-specific pages. It includes an inquiry GUI that allows other dormitory owners to contact the NEST.PH team, and an embedded YouTube tutorial that introduces the platform.</w:t>
            </w:r>
          </w:p>
        </w:tc>
        <w:tc>
          <w:tcPr>
            <w:tcMar>
              <w:top w:w="72.0" w:type="dxa"/>
              <w:left w:w="72.0" w:type="dxa"/>
              <w:bottom w:w="72.0" w:type="dxa"/>
              <w:right w:w="72.0" w:type="dxa"/>
            </w:tcMar>
            <w:vAlign w:val="center"/>
          </w:tcPr>
          <w:p w:rsidR="00000000" w:rsidDel="00000000" w:rsidP="00000000" w:rsidRDefault="00000000" w:rsidRPr="00000000" w14:paraId="0000001B">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 </w:t>
            </w:r>
          </w:p>
        </w:tc>
        <w:tc>
          <w:tcPr>
            <w:tcMar>
              <w:top w:w="72.0" w:type="dxa"/>
              <w:left w:w="72.0" w:type="dxa"/>
              <w:bottom w:w="72.0" w:type="dxa"/>
              <w:right w:w="72.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Include the room area in square meters in the room listing and VR room visualization, since the size of the room affects the price and some tenants prefer a bigger space.</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Added the room area (in square meters) as an owner-encoded field for whole-room listings and displayed it in the room listing and VR room visualization. Bed-space listings remain priced per bed.</w:t>
            </w:r>
          </w:p>
        </w:tc>
        <w:tc>
          <w:tcPr>
            <w:tcMar>
              <w:top w:w="72.0" w:type="dxa"/>
              <w:left w:w="72.0" w:type="dxa"/>
              <w:bottom w:w="72.0" w:type="dxa"/>
              <w:right w:w="72.0" w:type="dxa"/>
            </w:tcMar>
            <w:vAlign w:val="center"/>
          </w:tcPr>
          <w:p w:rsidR="00000000" w:rsidDel="00000000" w:rsidP="00000000" w:rsidRDefault="00000000" w:rsidRPr="00000000" w14:paraId="0000001F">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 </w:t>
            </w:r>
          </w:p>
        </w:tc>
        <w:tc>
          <w:tcPr>
            <w:tcMar>
              <w:top w:w="72.0" w:type="dxa"/>
              <w:left w:w="72.0" w:type="dxa"/>
              <w:bottom w:w="72.0" w:type="dxa"/>
              <w:right w:w="72.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Show the two (2) months security deposit and one (1) month advance rent as part of the payments upon signing of the contract.</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Added an advance rent and security deposit breakdown, with the security deposit computed automatically from the full-month rent, shown to the applicant as part of the move-in payment.</w:t>
            </w:r>
          </w:p>
        </w:tc>
        <w:tc>
          <w:tcPr>
            <w:tcMar>
              <w:top w:w="72.0" w:type="dxa"/>
              <w:left w:w="72.0" w:type="dxa"/>
              <w:bottom w:w="72.0" w:type="dxa"/>
              <w:right w:w="72.0" w:type="dxa"/>
            </w:tcMar>
            <w:vAlign w:val="center"/>
          </w:tcPr>
          <w:p w:rsidR="00000000" w:rsidDel="00000000" w:rsidP="00000000" w:rsidRDefault="00000000" w:rsidRPr="00000000" w14:paraId="00000023">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4. </w:t>
            </w:r>
          </w:p>
        </w:tc>
        <w:tc>
          <w:tcPr>
            <w:tcMar>
              <w:top w:w="72.0" w:type="dxa"/>
              <w:left w:w="72.0" w:type="dxa"/>
              <w:bottom w:w="72.0" w:type="dxa"/>
              <w:right w:w="72.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Provide an immediate safety solution in the emergency ticket (e.g., use the fire extinguisher) that the tenant can follow while waiting for the technician, instead of only “wait for the technician.”</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Added emergency safety guidance pop-ups that display immediate safety instructions to the tenant when an emergency ticket is filed.</w:t>
            </w:r>
          </w:p>
        </w:tc>
        <w:tc>
          <w:tcPr>
            <w:tcMar>
              <w:top w:w="72.0" w:type="dxa"/>
              <w:left w:w="72.0" w:type="dxa"/>
              <w:bottom w:w="72.0" w:type="dxa"/>
              <w:right w:w="72.0" w:type="dxa"/>
            </w:tcMar>
            <w:vAlign w:val="center"/>
          </w:tcPr>
          <w:p w:rsidR="00000000" w:rsidDel="00000000" w:rsidP="00000000" w:rsidRDefault="00000000" w:rsidRPr="00000000" w14:paraId="00000027">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5. </w:t>
            </w:r>
          </w:p>
        </w:tc>
        <w:tc>
          <w:tcPr>
            <w:tcMar>
              <w:top w:w="72.0" w:type="dxa"/>
              <w:left w:w="72.0" w:type="dxa"/>
              <w:bottom w:w="72.0" w:type="dxa"/>
              <w:right w:w="72.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Address emergencies where multiple tenants report at the same time, and ensure the owner or administrator is assigned to respond.</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The system now supports multiple simultaneous emergency assignments. Dormitory administrators have an online status, and critical tickets are automatically assigned to administrators who are online.</w:t>
            </w:r>
          </w:p>
        </w:tc>
        <w:tc>
          <w:tcPr>
            <w:tcMar>
              <w:top w:w="72.0" w:type="dxa"/>
              <w:left w:w="72.0" w:type="dxa"/>
              <w:bottom w:w="72.0" w:type="dxa"/>
              <w:right w:w="72.0" w:type="dxa"/>
            </w:tcMar>
            <w:vAlign w:val="center"/>
          </w:tcPr>
          <w:p w:rsidR="00000000" w:rsidDel="00000000" w:rsidP="00000000" w:rsidRDefault="00000000" w:rsidRPr="00000000" w14:paraId="0000002B">
            <w:pPr>
              <w:spacing w:after="0" w:line="240" w:lineRule="auto"/>
              <w:jc w:val="both"/>
              <w:rPr>
                <w:rFonts w:ascii="Arial" w:cs="Arial" w:eastAsia="Arial" w:hAnsi="Arial"/>
              </w:rPr>
            </w:pPr>
            <w:r w:rsidDel="00000000" w:rsidR="00000000" w:rsidRPr="00000000">
              <w:rPr>
                <w:rtl w:val="0"/>
              </w:rPr>
            </w:r>
          </w:p>
        </w:tc>
      </w:tr>
      <w:tr>
        <w:trPr>
          <w:cantSplit w:val="0"/>
          <w:trHeight w:val="364" w:hRule="atLeast"/>
          <w:tblHeader w:val="0"/>
        </w:trPr>
        <w:tc>
          <w:tcPr>
            <w:gridSpan w:val="4"/>
            <w:tcMar>
              <w:top w:w="72.0" w:type="dxa"/>
              <w:left w:w="72.0" w:type="dxa"/>
              <w:bottom w:w="72.0" w:type="dxa"/>
              <w:right w:w="72.0" w:type="dxa"/>
            </w:tcMar>
            <w:vAlign w:val="center"/>
          </w:tcPr>
          <w:p w:rsidR="00000000" w:rsidDel="00000000" w:rsidP="00000000" w:rsidRDefault="00000000" w:rsidRPr="00000000" w14:paraId="0000002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Panelist 2: Mr. Mariel Leo T. Violeta, MIT</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 </w:t>
            </w:r>
          </w:p>
        </w:tc>
        <w:tc>
          <w:tcPr>
            <w:tcMar>
              <w:top w:w="72.0" w:type="dxa"/>
              <w:left w:w="72.0" w:type="dxa"/>
              <w:bottom w:w="72.0" w:type="dxa"/>
              <w:right w:w="72.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Provide a way to upload and view the notarized contract, in addition to the contract details (names, etc.) defined in the system.</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NOT IMPLEMENTED. </w:t>
            </w:r>
            <w:r w:rsidDel="00000000" w:rsidR="00000000" w:rsidRPr="00000000">
              <w:rPr>
                <w:rFonts w:ascii="Arial" w:cs="Arial" w:eastAsia="Arial" w:hAnsi="Arial"/>
                <w:rtl w:val="0"/>
              </w:rPr>
              <w:t xml:space="preserve">The recommendation was not adopted. Under Article 1318 of the Civil Code of the Philippines, a contract is valid when the essential requisites of consent, object, and cause are present, and under Article 1356 a contract is binding in whatever form it is entered into when these are present. Notarization is not one of these requisites. In NEST.PH, the contract is signed in the system by the parties (consent), identifies the room or bed being leased and its terms (object), and states the rent and charges that the tenant pays in exchange for occupancy (cause). Notarization only converts the contract into a public document and is not a condition for its validity. The upload and viewing of a notarized contract may be considered as a future enhancement.</w:t>
            </w:r>
          </w:p>
        </w:tc>
        <w:tc>
          <w:tcPr>
            <w:tcMar>
              <w:top w:w="72.0" w:type="dxa"/>
              <w:left w:w="72.0" w:type="dxa"/>
              <w:bottom w:w="72.0" w:type="dxa"/>
              <w:right w:w="72.0" w:type="dxa"/>
            </w:tcMar>
            <w:vAlign w:val="center"/>
          </w:tcPr>
          <w:p w:rsidR="00000000" w:rsidDel="00000000" w:rsidP="00000000" w:rsidRDefault="00000000" w:rsidRPr="00000000" w14:paraId="00000033">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 </w:t>
            </w:r>
          </w:p>
        </w:tc>
        <w:tc>
          <w:tcPr>
            <w:tcMar>
              <w:top w:w="72.0" w:type="dxa"/>
              <w:left w:w="72.0" w:type="dxa"/>
              <w:bottom w:w="72.0" w:type="dxa"/>
              <w:right w:w="72.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Show the actual values alongside the forecasted values (e.g., a second line in the graph) so that both can be compared.</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The forecasting graph now displays both the forecasted and the actual values, allowing the Dormitory Owner to compare them.</w:t>
            </w:r>
          </w:p>
        </w:tc>
        <w:tc>
          <w:tcPr>
            <w:tcMar>
              <w:top w:w="72.0" w:type="dxa"/>
              <w:left w:w="72.0" w:type="dxa"/>
              <w:bottom w:w="72.0" w:type="dxa"/>
              <w:right w:w="72.0" w:type="dxa"/>
            </w:tcMar>
            <w:vAlign w:val="center"/>
          </w:tcPr>
          <w:p w:rsidR="00000000" w:rsidDel="00000000" w:rsidP="00000000" w:rsidRDefault="00000000" w:rsidRPr="00000000" w14:paraId="00000037">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 </w:t>
            </w:r>
          </w:p>
        </w:tc>
        <w:tc>
          <w:tcPr>
            <w:tcMar>
              <w:top w:w="72.0" w:type="dxa"/>
              <w:left w:w="72.0" w:type="dxa"/>
              <w:bottom w:w="72.0" w:type="dxa"/>
              <w:right w:w="72.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Include the unpredictable utility (electricity and water) costs in the forecast, since the bills fluctuate and the utilities may be included in the rent.</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The forecasting module now covers utility expense fluctuations, in addition to the historical income and occupancy data.</w:t>
            </w:r>
          </w:p>
        </w:tc>
        <w:tc>
          <w:tcPr>
            <w:tcMar>
              <w:top w:w="72.0" w:type="dxa"/>
              <w:left w:w="72.0" w:type="dxa"/>
              <w:bottom w:w="72.0" w:type="dxa"/>
              <w:right w:w="72.0" w:type="dxa"/>
            </w:tcMar>
            <w:vAlign w:val="center"/>
          </w:tcPr>
          <w:p w:rsidR="00000000" w:rsidDel="00000000" w:rsidP="00000000" w:rsidRDefault="00000000" w:rsidRPr="00000000" w14:paraId="0000003B">
            <w:pPr>
              <w:spacing w:after="0" w:line="240" w:lineRule="auto"/>
              <w:jc w:val="both"/>
              <w:rPr>
                <w:rFonts w:ascii="Arial" w:cs="Arial" w:eastAsia="Arial" w:hAnsi="Arial"/>
              </w:rPr>
            </w:pPr>
            <w:r w:rsidDel="00000000" w:rsidR="00000000" w:rsidRPr="00000000">
              <w:rPr>
                <w:rtl w:val="0"/>
              </w:rPr>
            </w:r>
          </w:p>
        </w:tc>
      </w:tr>
      <w:tr>
        <w:trPr>
          <w:cantSplit w:val="0"/>
          <w:trHeight w:val="364" w:hRule="atLeast"/>
          <w:tblHeader w:val="0"/>
        </w:trPr>
        <w:tc>
          <w:tcPr>
            <w:gridSpan w:val="4"/>
            <w:tcMar>
              <w:top w:w="72.0" w:type="dxa"/>
              <w:left w:w="72.0" w:type="dxa"/>
              <w:bottom w:w="72.0" w:type="dxa"/>
              <w:right w:w="72.0" w:type="dxa"/>
            </w:tcMar>
            <w:vAlign w:val="center"/>
          </w:tcPr>
          <w:p w:rsidR="00000000" w:rsidDel="00000000" w:rsidP="00000000" w:rsidRDefault="00000000" w:rsidRPr="00000000" w14:paraId="0000003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Panelist 3: Ms. Jazarene B. Lingad, MTM</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 </w:t>
            </w:r>
          </w:p>
        </w:tc>
        <w:tc>
          <w:tcPr>
            <w:tcMar>
              <w:top w:w="72.0" w:type="dxa"/>
              <w:left w:w="72.0" w:type="dxa"/>
              <w:bottom w:w="72.0" w:type="dxa"/>
              <w:right w:w="72.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Add another layer of security (e.g., CAPTCHA) on the log-in submit box to reduce bot attacks and brute-force attempts.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Implemented CAPTCHA (bot protection) on the log-in form. Log in via Facebook was not part of this recommendation.</w:t>
            </w:r>
          </w:p>
        </w:tc>
        <w:tc>
          <w:tcPr>
            <w:tcMar>
              <w:top w:w="72.0" w:type="dxa"/>
              <w:left w:w="72.0" w:type="dxa"/>
              <w:bottom w:w="72.0" w:type="dxa"/>
              <w:right w:w="72.0" w:type="dxa"/>
            </w:tcMar>
            <w:vAlign w:val="center"/>
          </w:tcPr>
          <w:p w:rsidR="00000000" w:rsidDel="00000000" w:rsidP="00000000" w:rsidRDefault="00000000" w:rsidRPr="00000000" w14:paraId="00000043">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 </w:t>
            </w:r>
          </w:p>
        </w:tc>
        <w:tc>
          <w:tcPr>
            <w:tcMar>
              <w:top w:w="72.0" w:type="dxa"/>
              <w:left w:w="72.0" w:type="dxa"/>
              <w:bottom w:w="72.0" w:type="dxa"/>
              <w:right w:w="72.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Provide a way to notify the owner when a tenant’s payment fails or the payment method is unavailable (e.g., the GCash receiving limit of the owner has been reached).</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Tenants can submit a support ticket to report failed payments or unavailable payment methods (e.g., when the owner's GCash receiving limit has been reached). The system notifies the administrator through the ticketing system, allowing them to review the issue and provide an alternative payment method or appropriate resolution.</w:t>
            </w:r>
          </w:p>
        </w:tc>
        <w:tc>
          <w:tcPr>
            <w:tcMar>
              <w:top w:w="72.0" w:type="dxa"/>
              <w:left w:w="72.0" w:type="dxa"/>
              <w:bottom w:w="72.0" w:type="dxa"/>
              <w:right w:w="72.0" w:type="dxa"/>
            </w:tcMar>
            <w:vAlign w:val="center"/>
          </w:tcPr>
          <w:p w:rsidR="00000000" w:rsidDel="00000000" w:rsidP="00000000" w:rsidRDefault="00000000" w:rsidRPr="00000000" w14:paraId="00000047">
            <w:pPr>
              <w:spacing w:after="0" w:line="240" w:lineRule="auto"/>
              <w:jc w:val="both"/>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 </w:t>
            </w:r>
          </w:p>
        </w:tc>
        <w:tc>
          <w:tcPr>
            <w:tcMar>
              <w:top w:w="72.0" w:type="dxa"/>
              <w:left w:w="72.0" w:type="dxa"/>
              <w:bottom w:w="72.0" w:type="dxa"/>
              <w:right w:w="72.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Provide a way to notify tenants of alternative payment methods and of the additional fees that may apply (e.g., when paying through another bank or payment method).</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IMPLEMENTED. </w:t>
            </w:r>
            <w:r w:rsidDel="00000000" w:rsidR="00000000" w:rsidRPr="00000000">
              <w:rPr>
                <w:rFonts w:ascii="Arial" w:cs="Arial" w:eastAsia="Arial" w:hAnsi="Arial"/>
                <w:rtl w:val="0"/>
              </w:rPr>
              <w:t xml:space="preserve">The Dormitory Owner/Administrator can notify tenants of alternative payment methods and any applicable fees (e.g., bank transfer fees) by posting an announcement, which all tenants receive.</w:t>
            </w:r>
          </w:p>
        </w:tc>
        <w:tc>
          <w:tcPr>
            <w:tcMar>
              <w:top w:w="72.0" w:type="dxa"/>
              <w:left w:w="72.0" w:type="dxa"/>
              <w:bottom w:w="72.0" w:type="dxa"/>
              <w:right w:w="72.0" w:type="dxa"/>
            </w:tcMar>
            <w:vAlign w:val="center"/>
          </w:tcPr>
          <w:p w:rsidR="00000000" w:rsidDel="00000000" w:rsidP="00000000" w:rsidRDefault="00000000" w:rsidRPr="00000000" w14:paraId="0000004B">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4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04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MONTAIGNE G. MOLEJON, MSIT</w:t>
      </w:r>
    </w:p>
    <w:p w:rsidR="00000000" w:rsidDel="00000000" w:rsidP="00000000" w:rsidRDefault="00000000" w:rsidRPr="00000000" w14:paraId="00000052">
      <w:pPr>
        <w:spacing w:after="0" w:line="240" w:lineRule="auto"/>
        <w:jc w:val="both"/>
        <w:rPr>
          <w:rFonts w:ascii="Arial" w:cs="Arial" w:eastAsia="Arial" w:hAnsi="Arial"/>
        </w:rPr>
      </w:pPr>
      <w:r w:rsidDel="00000000" w:rsidR="00000000" w:rsidRPr="00000000">
        <w:rPr>
          <w:rFonts w:ascii="Arial" w:cs="Arial" w:eastAsia="Arial" w:hAnsi="Arial"/>
          <w:rtl w:val="0"/>
        </w:rPr>
        <w:t xml:space="preserve">Faculty in-Charge</w:t>
      </w:r>
    </w:p>
    <w:sectPr>
      <w:headerReference r:id="rId6" w:type="default"/>
      <w:headerReference r:id="rId7" w:type="first"/>
      <w:footerReference r:id="rId8" w:type="default"/>
      <w:footerReference r:id="rId9" w:type="first"/>
      <w:pgSz w:h="18720" w:w="12240" w:orient="portrait"/>
      <w:pgMar w:bottom="990" w:top="630" w:left="1440" w:right="1440" w:header="270" w:footer="3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ustria">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3848100</wp:posOffset>
          </wp:positionH>
          <wp:positionV relativeFrom="paragraph">
            <wp:posOffset>66675</wp:posOffset>
          </wp:positionV>
          <wp:extent cx="2559600" cy="1036800"/>
          <wp:effectExtent b="0" l="0" r="0" t="0"/>
          <wp:wrapSquare wrapText="bothSides" distB="0" distT="0" distL="114300" distR="114300"/>
          <wp:docPr descr="A close-up of a list of logos&#10;&#10;AI-generated content may be incorrect." id="1" name="image4.jpg"/>
          <a:graphic>
            <a:graphicData uri="http://schemas.openxmlformats.org/drawingml/2006/picture">
              <pic:pic>
                <pic:nvPicPr>
                  <pic:cNvPr descr="A close-up of a list of logos&#10;&#10;AI-generated content may be incorrect." id="0" name="image4.jpg"/>
                  <pic:cNvPicPr preferRelativeResize="0"/>
                </pic:nvPicPr>
                <pic:blipFill>
                  <a:blip r:embed="rId1"/>
                  <a:srcRect b="0" l="0" r="0" t="0"/>
                  <a:stretch>
                    <a:fillRect/>
                  </a:stretch>
                </pic:blipFill>
                <pic:spPr>
                  <a:xfrm>
                    <a:off x="0" y="0"/>
                    <a:ext cx="2559600" cy="1036800"/>
                  </a:xfrm>
                  <a:prstGeom prst="rect"/>
                  <a:ln/>
                </pic:spPr>
              </pic:pic>
            </a:graphicData>
          </a:graphic>
        </wp:anchor>
      </w:drawing>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PUP A. Mabini Campus, Anonas Street, Sta. Mesa, Manila 1016</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Trunk Line: 335-1787 or 335-1777</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Website: www.pup.edu.ph | Inquiries: https://bit.ly/PUPSINTA</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Lustria" w:cs="Lustria" w:eastAsia="Lustria" w:hAnsi="Lustri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HE </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OUNTRY’S </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OLYTECHNIC</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U</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sz w:val="14"/>
        <w:szCs w:val="1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2847975</wp:posOffset>
          </wp:positionH>
          <wp:positionV relativeFrom="paragraph">
            <wp:posOffset>62247</wp:posOffset>
          </wp:positionV>
          <wp:extent cx="3390900" cy="986790"/>
          <wp:effectExtent b="0" l="0" r="0" t="0"/>
          <wp:wrapSquare wrapText="bothSides" distB="0" distT="0" distL="114300" distR="114300"/>
          <wp:docPr descr="Several logos with text&#10;&#10;AI-generated content may be incorrect." id="3" name="image2.png"/>
          <a:graphic>
            <a:graphicData uri="http://schemas.openxmlformats.org/drawingml/2006/picture">
              <pic:pic>
                <pic:nvPicPr>
                  <pic:cNvPr descr="Several logos with text&#10;&#10;AI-generated content may be incorrect." id="0" name="image2.png"/>
                  <pic:cNvPicPr preferRelativeResize="0"/>
                </pic:nvPicPr>
                <pic:blipFill>
                  <a:blip r:embed="rId1"/>
                  <a:srcRect b="0" l="0" r="0" t="0"/>
                  <a:stretch>
                    <a:fillRect/>
                  </a:stretch>
                </pic:blipFill>
                <pic:spPr>
                  <a:xfrm>
                    <a:off x="0" y="0"/>
                    <a:ext cx="3390900" cy="986790"/>
                  </a:xfrm>
                  <a:prstGeom prst="rect"/>
                  <a:ln/>
                </pic:spPr>
              </pic:pic>
            </a:graphicData>
          </a:graphic>
        </wp:anchor>
      </w:drawing>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PUP A. Mabini Campus, Anonas Street, Sta. Mesa, Manila 1016</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Trunk Line: 335-1787 or 335-1777</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Website: www.pup.edu.ph | Inquiries: https://bit.ly/PUPSINTA</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EADING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OMPREHENSIVE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OLYTECHNIC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NIVERSITY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w:t>
      <w:tab/>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tabs>
        <w:tab w:val="center" w:leader="none" w:pos="4680"/>
        <w:tab w:val="right" w:leader="none" w:pos="9360"/>
      </w:tabs>
      <w:spacing w:after="0" w:line="240" w:lineRule="auto"/>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-450848</wp:posOffset>
          </wp:positionH>
          <wp:positionV relativeFrom="paragraph">
            <wp:posOffset>0</wp:posOffset>
          </wp:positionV>
          <wp:extent cx="914400" cy="927735"/>
          <wp:effectExtent b="0" l="0" r="0" t="0"/>
          <wp:wrapNone/>
          <wp:docPr descr="A yellow star with a black background&#10;&#10;AI-generated content may be incorrect." id="4" name="image3.png"/>
          <a:graphic>
            <a:graphicData uri="http://schemas.openxmlformats.org/drawingml/2006/picture">
              <pic:pic>
                <pic:nvPicPr>
                  <pic:cNvPr descr="A yellow star with a black background&#10;&#10;AI-generated content may be incorrect." id="0" name="image3.png"/>
                  <pic:cNvPicPr preferRelativeResize="0"/>
                </pic:nvPicPr>
                <pic:blipFill>
                  <a:blip r:embed="rId1"/>
                  <a:srcRect b="0" l="0" r="0" t="0"/>
                  <a:stretch>
                    <a:fillRect/>
                  </a:stretch>
                </pic:blipFill>
                <pic:spPr>
                  <a:xfrm>
                    <a:off x="0" y="0"/>
                    <a:ext cx="914400" cy="927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5359400</wp:posOffset>
          </wp:positionH>
          <wp:positionV relativeFrom="paragraph">
            <wp:posOffset>108585</wp:posOffset>
          </wp:positionV>
          <wp:extent cx="1047750" cy="1047750"/>
          <wp:effectExtent b="0" l="0" r="0" t="0"/>
          <wp:wrapNone/>
          <wp:docPr descr="A logo with a sun and stars&#10;&#10;Description automatically generated" id="6" name="image1.png"/>
          <a:graphic>
            <a:graphicData uri="http://schemas.openxmlformats.org/drawingml/2006/picture">
              <pic:pic>
                <pic:nvPicPr>
                  <pic:cNvPr descr="A logo with a sun and stars&#10;&#10;Description automatically generated" id="0" name="image1.png"/>
                  <pic:cNvPicPr preferRelativeResize="0"/>
                </pic:nvPicPr>
                <pic:blipFill>
                  <a:blip r:embed="rId2"/>
                  <a:srcRect b="0" l="0" r="0" t="0"/>
                  <a:stretch>
                    <a:fillRect/>
                  </a:stretch>
                </pic:blipFill>
                <pic:spPr>
                  <a:xfrm>
                    <a:off x="0" y="0"/>
                    <a:ext cx="1047750" cy="1047750"/>
                  </a:xfrm>
                  <a:prstGeom prst="rect"/>
                  <a:ln/>
                </pic:spPr>
              </pic:pic>
            </a:graphicData>
          </a:graphic>
        </wp:anchor>
      </w:drawing>
    </w:r>
  </w:p>
  <w:p w:rsidR="00000000" w:rsidDel="00000000" w:rsidP="00000000" w:rsidRDefault="00000000" w:rsidRPr="00000000" w14:paraId="00000054">
    <w:pPr>
      <w:spacing w:after="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055">
    <w:pPr>
      <w:spacing w:after="0" w:lineRule="auto"/>
      <w:ind w:left="900" w:firstLine="0"/>
      <w:rPr>
        <w:rFonts w:ascii="Cambria" w:cs="Cambria" w:eastAsia="Cambria" w:hAnsi="Cambria"/>
        <w:b w:val="1"/>
        <w:bCs w:val="1"/>
      </w:rPr>
    </w:pP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OLYTECHNIC </w:t>
    </w:r>
    <w:r w:rsidDel="00000000" w:rsidR="00000000" w:rsidRPr="00000000">
      <w:rPr>
        <w:rFonts w:ascii="Cambria" w:cs="Cambria" w:eastAsia="Cambria" w:hAnsi="Cambria"/>
        <w:b w:val="1"/>
        <w:bCs w:val="1"/>
        <w:sz w:val="26"/>
        <w:szCs w:val="26"/>
        <w:rtl w:val="0"/>
      </w:rPr>
      <w:t xml:space="preserve">U</w:t>
    </w:r>
    <w:r w:rsidDel="00000000" w:rsidR="00000000" w:rsidRPr="00000000">
      <w:rPr>
        <w:rFonts w:ascii="Cambria" w:cs="Cambria" w:eastAsia="Cambria" w:hAnsi="Cambria"/>
        <w:b w:val="1"/>
        <w:bCs w:val="1"/>
        <w:rtl w:val="0"/>
      </w:rPr>
      <w:t xml:space="preserve">NIVERSITY OF THE </w:t>
    </w: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HILIPPINES  </w:t>
    </w:r>
  </w:p>
  <w:p w:rsidR="00000000" w:rsidDel="00000000" w:rsidP="00000000" w:rsidRDefault="00000000" w:rsidRPr="00000000" w14:paraId="00000056">
    <w:pPr>
      <w:tabs>
        <w:tab w:val="left" w:leader="none" w:pos="7934"/>
      </w:tabs>
      <w:spacing w:after="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VICE PRESIDENT FOR ACADEMIC AFFAIRS</w:t>
      <w:tab/>
    </w:r>
  </w:p>
  <w:p w:rsidR="00000000" w:rsidDel="00000000" w:rsidP="00000000" w:rsidRDefault="00000000" w:rsidRPr="00000000" w14:paraId="00000057">
    <w:pPr>
      <w:spacing w:after="0" w:lineRule="auto"/>
      <w:ind w:left="90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COLLEGE OF COMPUTER AND INFORMATION SCIENCES</w:t>
    </w:r>
  </w:p>
  <w:p w:rsidR="00000000" w:rsidDel="00000000" w:rsidP="00000000" w:rsidRDefault="00000000" w:rsidRPr="00000000" w14:paraId="00000058">
    <w:pPr>
      <w:tabs>
        <w:tab w:val="left" w:leader="none" w:pos="8370"/>
      </w:tabs>
      <w:spacing w:after="0" w:lineRule="auto"/>
      <w:ind w:left="9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DEPARTMENT OF INFORMATION TECHNOLOGY</w:t>
    </w:r>
  </w:p>
  <w:p w:rsidR="00000000" w:rsidDel="00000000" w:rsidP="00000000" w:rsidRDefault="00000000" w:rsidRPr="00000000" w14:paraId="00000059">
    <w:pPr>
      <w:pBdr>
        <w:bottom w:color="808080" w:space="1" w:sz="4" w:val="single"/>
      </w:pBdr>
      <w:tabs>
        <w:tab w:val="center" w:leader="none" w:pos="4680"/>
      </w:tabs>
      <w:spacing w:after="0" w:line="240" w:lineRule="auto"/>
      <w:ind w:left="-720" w:right="-718" w:firstLine="0"/>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tabs>
        <w:tab w:val="center" w:leader="none" w:pos="4680"/>
        <w:tab w:val="right" w:leader="none" w:pos="9360"/>
      </w:tabs>
      <w:spacing w:after="0" w:line="240" w:lineRule="auto"/>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-450848</wp:posOffset>
          </wp:positionH>
          <wp:positionV relativeFrom="paragraph">
            <wp:posOffset>0</wp:posOffset>
          </wp:positionV>
          <wp:extent cx="914400" cy="927735"/>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14400" cy="927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5359400</wp:posOffset>
          </wp:positionH>
          <wp:positionV relativeFrom="paragraph">
            <wp:posOffset>108585</wp:posOffset>
          </wp:positionV>
          <wp:extent cx="1047750" cy="1047750"/>
          <wp:effectExtent b="0" l="0" r="0" t="0"/>
          <wp:wrapNone/>
          <wp:docPr descr="A logo with a sun and stars&#10;&#10;Description automatically generated" id="2" name="image1.png"/>
          <a:graphic>
            <a:graphicData uri="http://schemas.openxmlformats.org/drawingml/2006/picture">
              <pic:pic>
                <pic:nvPicPr>
                  <pic:cNvPr descr="A logo with a sun and stars&#10;&#10;Description automatically generated" id="0" name="image1.png"/>
                  <pic:cNvPicPr preferRelativeResize="0"/>
                </pic:nvPicPr>
                <pic:blipFill>
                  <a:blip r:embed="rId2"/>
                  <a:srcRect b="0" l="0" r="0" t="0"/>
                  <a:stretch>
                    <a:fillRect/>
                  </a:stretch>
                </pic:blipFill>
                <pic:spPr>
                  <a:xfrm>
                    <a:off x="0" y="0"/>
                    <a:ext cx="1047750" cy="1047750"/>
                  </a:xfrm>
                  <a:prstGeom prst="rect"/>
                  <a:ln/>
                </pic:spPr>
              </pic:pic>
            </a:graphicData>
          </a:graphic>
        </wp:anchor>
      </w:drawing>
    </w:r>
  </w:p>
  <w:p w:rsidR="00000000" w:rsidDel="00000000" w:rsidP="00000000" w:rsidRDefault="00000000" w:rsidRPr="00000000" w14:paraId="0000005C">
    <w:pPr>
      <w:spacing w:after="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05D">
    <w:pPr>
      <w:spacing w:after="0" w:lineRule="auto"/>
      <w:ind w:left="900" w:firstLine="0"/>
      <w:rPr>
        <w:rFonts w:ascii="Cambria" w:cs="Cambria" w:eastAsia="Cambria" w:hAnsi="Cambria"/>
        <w:b w:val="1"/>
        <w:bCs w:val="1"/>
      </w:rPr>
    </w:pP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OLYTECHNIC </w:t>
    </w:r>
    <w:r w:rsidDel="00000000" w:rsidR="00000000" w:rsidRPr="00000000">
      <w:rPr>
        <w:rFonts w:ascii="Cambria" w:cs="Cambria" w:eastAsia="Cambria" w:hAnsi="Cambria"/>
        <w:b w:val="1"/>
        <w:bCs w:val="1"/>
        <w:sz w:val="26"/>
        <w:szCs w:val="26"/>
        <w:rtl w:val="0"/>
      </w:rPr>
      <w:t xml:space="preserve">U</w:t>
    </w:r>
    <w:r w:rsidDel="00000000" w:rsidR="00000000" w:rsidRPr="00000000">
      <w:rPr>
        <w:rFonts w:ascii="Cambria" w:cs="Cambria" w:eastAsia="Cambria" w:hAnsi="Cambria"/>
        <w:b w:val="1"/>
        <w:bCs w:val="1"/>
        <w:rtl w:val="0"/>
      </w:rPr>
      <w:t xml:space="preserve">NIVERSITY OF THE </w:t>
    </w: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HILIPPINES  </w:t>
    </w:r>
  </w:p>
  <w:p w:rsidR="00000000" w:rsidDel="00000000" w:rsidP="00000000" w:rsidRDefault="00000000" w:rsidRPr="00000000" w14:paraId="0000005E">
    <w:pPr>
      <w:tabs>
        <w:tab w:val="left" w:leader="none" w:pos="7934"/>
      </w:tabs>
      <w:spacing w:after="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VICE PRESIDENT FOR ACADEMIC AFFAIRS</w:t>
      <w:tab/>
    </w:r>
  </w:p>
  <w:p w:rsidR="00000000" w:rsidDel="00000000" w:rsidP="00000000" w:rsidRDefault="00000000" w:rsidRPr="00000000" w14:paraId="0000005F">
    <w:pPr>
      <w:spacing w:after="0" w:lineRule="auto"/>
      <w:ind w:left="90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COLLEGE OF COMPUTER AND INFORMATION SCIENCES</w:t>
    </w:r>
  </w:p>
  <w:p w:rsidR="00000000" w:rsidDel="00000000" w:rsidP="00000000" w:rsidRDefault="00000000" w:rsidRPr="00000000" w14:paraId="00000060">
    <w:pPr>
      <w:tabs>
        <w:tab w:val="left" w:leader="none" w:pos="8370"/>
      </w:tabs>
      <w:spacing w:after="0" w:lineRule="auto"/>
      <w:ind w:left="9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DEPARTMENT OF INFORMATION TECHNOLOGY</w:t>
    </w:r>
  </w:p>
  <w:p w:rsidR="00000000" w:rsidDel="00000000" w:rsidP="00000000" w:rsidRDefault="00000000" w:rsidRPr="00000000" w14:paraId="00000061">
    <w:pPr>
      <w:pBdr>
        <w:bottom w:color="808080" w:space="1" w:sz="4" w:val="single"/>
      </w:pBdr>
      <w:tabs>
        <w:tab w:val="center" w:leader="none" w:pos="4680"/>
      </w:tabs>
      <w:spacing w:after="0" w:line="240" w:lineRule="auto"/>
      <w:ind w:left="-720" w:right="-718" w:firstLine="0"/>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