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1744"/>
            <w:tcMar>
              <w:top w:w="500" w:type="dxa"/>
              <w:start w:w="350" w:type="dxa"/>
              <w:bottom w:w="500" w:type="dxa"/>
              <w:end w:w="35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otlight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color w:val="58D4C4"/>
                <w:sz w:val="32"/>
              </w:rPr>
              <w:t>SPOTLIGHT OS</w:t>
            </w:r>
            <w:r>
              <w:br/>
            </w:r>
            <w:r>
              <w:rPr>
                <w:rFonts w:ascii="Arial" w:hAnsi="Arial"/>
                <w:b/>
                <w:color w:val="FFFFFF"/>
                <w:sz w:val="68"/>
              </w:rPr>
              <w:t>User Manual</w:t>
            </w:r>
            <w:r>
              <w:br/>
            </w:r>
            <w:r>
              <w:rPr>
                <w:rFonts w:ascii="Arial" w:hAnsi="Arial"/>
                <w:color w:val="E2DDEB"/>
                <w:sz w:val="22"/>
              </w:rPr>
              <w:t>Account access, role-aware navigation, projects, finance, liquidation, and testing</w:t>
            </w:r>
          </w:p>
        </w:tc>
      </w:tr>
    </w:tbl>
    <w:p/>
    <w:p>
      <w:pPr>
        <w:jc w:val="center"/>
      </w:pPr>
      <w:r>
        <w:rPr>
          <w:b/>
          <w:color w:val="653C91"/>
        </w:rPr>
        <w:t>Version 1.0  |  September 2026</w:t>
      </w:r>
    </w:p>
    <w:p>
      <w:pPr>
        <w:jc w:val="center"/>
      </w:pPr>
      <w:r>
        <w:rPr>
          <w:i/>
        </w:rPr>
        <w:t>For internal user training and acceptance testing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653C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START</w:t>
            </w:r>
          </w:p>
        </w:tc>
        <w:tc>
          <w:tcPr>
            <w:tcW w:type="dxa" w:w="5184"/>
            <w:shd w:fill="653C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How to use this manual</w:t>
            </w:r>
          </w:p>
        </w:tc>
      </w:tr>
    </w:tbl>
    <w:p>
      <w:pPr>
        <w:pStyle w:val="Heading1"/>
      </w:pPr>
      <w:r>
        <w:t>What Spotlight OS is</w:t>
      </w:r>
    </w:p>
    <w:p>
      <w:r>
        <w:t>Spotlight OS is a project-first operating system for the full life of an account: opportunity, project creation, cost estimate, approvals, releases, execution, billing, collection, liquidation, and closeout. What a person sees is determined by both role and record scope.</w:t>
      </w:r>
    </w:p>
    <w:p>
      <w:pPr>
        <w:pStyle w:val="Heading2"/>
      </w:pPr>
      <w:r>
        <w:t>Recommended training order</w:t>
      </w:r>
    </w:p>
    <w:p>
      <w:pPr>
        <w:ind w:left="403" w:hanging="403"/>
      </w:pPr>
      <w:r>
        <w:rPr>
          <w:b/>
          <w:color w:val="653C91"/>
        </w:rPr>
        <w:t xml:space="preserve">1. </w:t>
      </w:r>
      <w:r>
        <w:t>Give each participant an account with the correct department, role, record scope, and reporting line.</w:t>
      </w:r>
    </w:p>
    <w:p>
      <w:pPr>
        <w:ind w:left="403" w:hanging="403"/>
      </w:pPr>
      <w:r>
        <w:rPr>
          <w:b/>
          <w:color w:val="653C91"/>
        </w:rPr>
        <w:t xml:space="preserve">2. </w:t>
      </w:r>
      <w:r>
        <w:t>Explain the navigation and dashboard before asking anyone to enter records.</w:t>
      </w:r>
    </w:p>
    <w:p>
      <w:pPr>
        <w:ind w:left="403" w:hanging="403"/>
      </w:pPr>
      <w:r>
        <w:rPr>
          <w:b/>
          <w:color w:val="653C91"/>
        </w:rPr>
        <w:t xml:space="preserve">3. </w:t>
      </w:r>
      <w:r>
        <w:t>Run one test project from creation through collection and liquidation.</w:t>
      </w:r>
    </w:p>
    <w:p>
      <w:pPr>
        <w:ind w:left="403" w:hanging="403"/>
      </w:pPr>
      <w:r>
        <w:rPr>
          <w:b/>
          <w:color w:val="653C91"/>
        </w:rPr>
        <w:t xml:space="preserve">4. </w:t>
      </w:r>
      <w:r>
        <w:t>Confirm that each role sees the correct records and can perform only its assigned actions.</w:t>
      </w:r>
    </w:p>
    <w:p>
      <w:pPr>
        <w:ind w:left="403" w:hanging="403"/>
      </w:pPr>
      <w:r>
        <w:rPr>
          <w:b/>
          <w:color w:val="653C91"/>
        </w:rPr>
        <w:t xml:space="preserve">5. </w:t>
      </w:r>
      <w:r>
        <w:t>Log issues using the exact page, role, record, action, and expected result.</w:t>
      </w:r>
    </w:p>
    <w:p>
      <w:pPr>
        <w:pStyle w:val="Heading2"/>
      </w:pPr>
      <w:r>
        <w:t>Core access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71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7704"/>
            <w:shd w:fill="171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Assigned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The user always sees records they created plus records specifically assigned to them.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Team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A supervisor sees their own and assigned records plus the records of direct and indirect reports.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All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The user sees company-wide records, subject to the pages and actions allowed by the role.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CEO mode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Executive operations, business performance, approvals, projects, finance, and audit views.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Admin mode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Account creation, role and scope assignment, password resets, suspension, and activity logs.</w:t>
            </w:r>
          </w:p>
        </w:tc>
      </w:tr>
    </w:tbl>
    <w:p>
      <w:pPr>
        <w:pStyle w:val="SpotlightCallout"/>
      </w:pPr>
      <w:r>
        <w:t>Heads and supervisors automatically receive visibility over the work beneath their reporting line. A subordinate does not automatically see a head-only record.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653C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ACCESS</w:t>
            </w:r>
          </w:p>
        </w:tc>
        <w:tc>
          <w:tcPr>
            <w:tcW w:type="dxa" w:w="5184"/>
            <w:shd w:fill="653C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Sign in and first-time password setup</w:t>
            </w:r>
          </w:p>
        </w:tc>
      </w:tr>
    </w:tbl>
    <w:p>
      <w:pPr>
        <w:pStyle w:val="Heading1"/>
      </w:pPr>
      <w:r>
        <w:t>Sign in</w:t>
      </w:r>
    </w:p>
    <w:p>
      <w:pPr>
        <w:ind w:left="403" w:hanging="403"/>
      </w:pPr>
      <w:r>
        <w:rPr>
          <w:b/>
          <w:color w:val="653C91"/>
        </w:rPr>
        <w:t xml:space="preserve">1. </w:t>
      </w:r>
      <w:r>
        <w:t>Enter the company-issued email address and the temporary password supplied by the CEO in Admin mode.</w:t>
      </w:r>
    </w:p>
    <w:p>
      <w:pPr>
        <w:ind w:left="403" w:hanging="403"/>
      </w:pPr>
      <w:r>
        <w:rPr>
          <w:b/>
          <w:color w:val="653C91"/>
        </w:rPr>
        <w:t xml:space="preserve">2. </w:t>
      </w:r>
      <w:r>
        <w:t>Use the eye icon to show or hide the password while typing.</w:t>
      </w:r>
    </w:p>
    <w:p>
      <w:pPr>
        <w:ind w:left="403" w:hanging="403"/>
      </w:pPr>
      <w:r>
        <w:rPr>
          <w:b/>
          <w:color w:val="653C91"/>
        </w:rPr>
        <w:t xml:space="preserve">3. </w:t>
      </w:r>
      <w:r>
        <w:t>Select Remember me only on a trusted work device.</w:t>
      </w:r>
    </w:p>
    <w:p>
      <w:pPr>
        <w:ind w:left="403" w:hanging="403"/>
      </w:pPr>
      <w:r>
        <w:rPr>
          <w:b/>
          <w:color w:val="653C91"/>
        </w:rPr>
        <w:t xml:space="preserve">4. </w:t>
      </w:r>
      <w:r>
        <w:t>Choose Login. On first access, create a private password that replaces the temporary password.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41382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3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Login screen with password visibility, Remember me, and password-reset request.</w:t>
      </w:r>
    </w:p>
    <w:p>
      <w:pPr>
        <w:pStyle w:val="Heading2"/>
      </w:pPr>
      <w:r>
        <w:t>Forgot password</w:t>
      </w:r>
    </w:p>
    <w:p>
      <w:r>
        <w:t>Enter the company email first, then select Forgot password. The request becomes visible to the CEO in Admin mode. The CEO resets the account and gives the user a new temporary password.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58D4C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NAVIGATE</w:t>
            </w:r>
          </w:p>
        </w:tc>
        <w:tc>
          <w:tcPr>
            <w:tcW w:type="dxa" w:w="5184"/>
            <w:shd w:fill="58D4C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The shared workspace</w:t>
            </w:r>
          </w:p>
        </w:tc>
      </w:tr>
    </w:tbl>
    <w:p>
      <w:pPr>
        <w:pStyle w:val="Heading1"/>
      </w:pPr>
      <w:r>
        <w:t>Navigation pane</w:t>
      </w:r>
    </w:p>
    <w:p>
      <w:pPr>
        <w:pStyle w:val="ListBullet"/>
        <w:ind w:left="360" w:hanging="216"/>
      </w:pPr>
      <w:r>
        <w:t>Search is directly below the signed-in account and can locate projects, clients, brands, suppliers, invoices, cost estimates, and employees.</w:t>
      </w:r>
    </w:p>
    <w:p>
      <w:pPr>
        <w:pStyle w:val="ListBullet"/>
        <w:ind w:left="360" w:hanging="216"/>
      </w:pPr>
      <w:r>
        <w:t>Projects expands by phase and then by project, allowing a direct jump without returning to the Project Master page.</w:t>
      </w:r>
    </w:p>
    <w:p>
      <w:pPr>
        <w:pStyle w:val="ListBullet"/>
        <w:ind w:left="360" w:hanging="216"/>
      </w:pPr>
      <w:r>
        <w:t>The page list changes by role. A missing page usually means the role does not have visibility.</w:t>
      </w:r>
    </w:p>
    <w:p>
      <w:pPr>
        <w:pStyle w:val="ListBullet"/>
        <w:ind w:left="360" w:hanging="216"/>
      </w:pPr>
      <w:r>
        <w:t>Rows and line items that support review are clickable; selecting the row performs the same action as View.</w:t>
      </w:r>
    </w:p>
    <w:p>
      <w:pPr>
        <w:pStyle w:val="Heading2"/>
      </w:pPr>
      <w:r>
        <w:t>CEO and Admin mode</w:t>
      </w:r>
    </w:p>
    <w:p>
      <w:r>
        <w:t>The CEO uses the switch beneath the signed-in identity. CEO mode and Admin mode are intentionally separate so executive decisions are not mixed with account administration.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3872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eo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38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CEO mode: business information and executive work remain separate from system administration.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35B7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DASHBOARD</w:t>
            </w:r>
          </w:p>
        </w:tc>
        <w:tc>
          <w:tcPr>
            <w:tcW w:type="dxa" w:w="5184"/>
            <w:shd w:fill="35B7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Read the role-aware dashboard</w:t>
            </w:r>
          </w:p>
        </w:tc>
      </w:tr>
    </w:tbl>
    <w:p>
      <w:pPr>
        <w:pStyle w:val="Heading1"/>
      </w:pPr>
      <w:r>
        <w:t>What every dashboard is doing</w:t>
      </w:r>
    </w:p>
    <w:p>
      <w:r>
        <w:t>A dashboard summarizes the records within the signed-in user's scope. It does not expand access. An Assigned user sees assigned work, a Team user sees team work, and an All user sees company-wide information permitted by the role.</w:t>
      </w:r>
    </w:p>
    <w:p>
      <w:pPr>
        <w:pStyle w:val="Heading2"/>
      </w:pPr>
      <w:r>
        <w:t>Shared dashboard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71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7704"/>
            <w:shd w:fill="171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Attention cards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Critical, due soon, at risk, and next event indicators for the user's scope.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Calendar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Brief, checkpoint, presentation, and event dates. When dates overlap, calendar priority is Event, Presentation, Checkpoint/Brief, then Today.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Task bucket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Open work requiring the user to review, approve, submit, follow up, or complete an assigned action.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Row color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Green is on track, yellow is attention, orange is at risk or upcoming, red is critical or overdue, and purple is review or approval.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Question mark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Hover over the question mark beside a financial term to read its definition.</w:t>
            </w:r>
          </w:p>
        </w:tc>
      </w:tr>
    </w:tbl>
    <w:p>
      <w:pPr>
        <w:pStyle w:val="SpotlightCallout"/>
      </w:pPr>
      <w:r>
        <w:t>Selecting a dashboard item should open the corresponding project or operational record. Report any item that looks clickable but does not navigate.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D9893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PROJECTS</w:t>
            </w:r>
          </w:p>
        </w:tc>
        <w:tc>
          <w:tcPr>
            <w:tcW w:type="dxa" w:w="5184"/>
            <w:shd w:fill="D9893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Project Master and project phases</w:t>
            </w:r>
          </w:p>
        </w:tc>
      </w:tr>
    </w:tbl>
    <w:p>
      <w:pPr>
        <w:pStyle w:val="Heading1"/>
      </w:pPr>
      <w:r>
        <w:t>Project Master</w:t>
      </w:r>
    </w:p>
    <w:p>
      <w:r>
        <w:t>Projects are grouped into For Pitch/Bidding, On-Going, and For Collection/Completion. The phase header color is consistent throughout the system: orange, green, and purple.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3872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je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38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Project Master after the clean reset. New test projects will appear in the correct phase.</w:t>
      </w:r>
    </w:p>
    <w:p>
      <w:pPr>
        <w:pStyle w:val="Heading2"/>
      </w:pPr>
      <w:r>
        <w:t>Open a project</w:t>
      </w:r>
    </w:p>
    <w:p>
      <w:pPr>
        <w:pStyle w:val="ListBullet"/>
        <w:ind w:left="360" w:hanging="216"/>
      </w:pPr>
      <w:r>
        <w:t>Select a project row or View to enter Project 360.</w:t>
      </w:r>
    </w:p>
    <w:p>
      <w:pPr>
        <w:pStyle w:val="ListBullet"/>
        <w:ind w:left="360" w:hanging="216"/>
      </w:pPr>
      <w:r>
        <w:t>Use the project tabs for overview, brief, cost estimates, budget requests, fund releases, liquidations, suppliers, billing, and post-audit.</w:t>
      </w:r>
    </w:p>
    <w:p>
      <w:pPr>
        <w:pStyle w:val="ListBullet"/>
        <w:ind w:left="360" w:hanging="216"/>
      </w:pPr>
      <w:r>
        <w:t>A project should remain traceable using one permanent Project ID across every tab.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D9893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CREATE</w:t>
            </w:r>
          </w:p>
        </w:tc>
        <w:tc>
          <w:tcPr>
            <w:tcW w:type="dxa" w:w="5184"/>
            <w:shd w:fill="D9893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Create a project</w:t>
            </w:r>
          </w:p>
        </w:tc>
      </w:tr>
    </w:tbl>
    <w:p>
      <w:pPr>
        <w:pStyle w:val="Heading1"/>
      </w:pPr>
      <w:r>
        <w:t>Required setup</w:t>
      </w:r>
    </w:p>
    <w:p>
      <w:pPr>
        <w:ind w:left="403" w:hanging="403"/>
      </w:pPr>
      <w:r>
        <w:rPr>
          <w:b/>
          <w:color w:val="653C91"/>
        </w:rPr>
        <w:t xml:space="preserve">1. </w:t>
      </w:r>
      <w:r>
        <w:t>Open Projects and select New.</w:t>
      </w:r>
    </w:p>
    <w:p>
      <w:pPr>
        <w:ind w:left="403" w:hanging="403"/>
      </w:pPr>
      <w:r>
        <w:rPr>
          <w:b/>
          <w:color w:val="653C91"/>
        </w:rPr>
        <w:t xml:space="preserve">2. </w:t>
      </w:r>
      <w:r>
        <w:t>Enter Company/Brand Name, Client Name, Designation, venue, event date, event type, and project budget.</w:t>
      </w:r>
    </w:p>
    <w:p>
      <w:pPr>
        <w:ind w:left="403" w:hanging="403"/>
      </w:pPr>
      <w:r>
        <w:rPr>
          <w:b/>
          <w:color w:val="653C91"/>
        </w:rPr>
        <w:t xml:space="preserve">3. </w:t>
      </w:r>
      <w:r>
        <w:t>Assign the account, project, production, and creative owners from the available users.</w:t>
      </w:r>
    </w:p>
    <w:p>
      <w:pPr>
        <w:ind w:left="403" w:hanging="403"/>
      </w:pPr>
      <w:r>
        <w:rPr>
          <w:b/>
          <w:color w:val="653C91"/>
        </w:rPr>
        <w:t xml:space="preserve">4. </w:t>
      </w:r>
      <w:r>
        <w:t>Complete the overview, objectives, one-line project description, implementation checklist, and attached materials.</w:t>
      </w:r>
    </w:p>
    <w:p>
      <w:pPr>
        <w:ind w:left="403" w:hanging="403"/>
      </w:pPr>
      <w:r>
        <w:rPr>
          <w:b/>
          <w:color w:val="653C91"/>
        </w:rPr>
        <w:t xml:space="preserve">5. </w:t>
      </w:r>
      <w:r>
        <w:t>Select Submit, then confirm that the project appears in For Pitch/Bidding and in the navigation accordion.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3872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reate-proje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38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New Project form. Known companies and contacts are reused as the database grows.</w:t>
      </w:r>
    </w:p>
    <w:p>
      <w:pPr>
        <w:pStyle w:val="Heading2"/>
      </w:pPr>
      <w:r>
        <w:t>Attachments</w:t>
      </w:r>
    </w:p>
    <w:p>
      <w:r>
        <w:t>Brand logo, font guide, color palette, and reference images may be uploaded or pasted from the clipboard. Verify that a preview appears before submitting.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58D4C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CLIENTS</w:t>
            </w:r>
          </w:p>
        </w:tc>
        <w:tc>
          <w:tcPr>
            <w:tcW w:type="dxa" w:w="5184"/>
            <w:shd w:fill="58D4C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Client database and annual archive</w:t>
            </w:r>
          </w:p>
        </w:tc>
      </w:tr>
    </w:tbl>
    <w:p>
      <w:pPr>
        <w:pStyle w:val="Heading1"/>
      </w:pPr>
      <w:r>
        <w:t>How the database is built</w:t>
      </w:r>
    </w:p>
    <w:p>
      <w:r>
        <w:t>Client records are generated as projects are created. Company/Brand Name identifies the organization or brand; Client Name identifies the contact person; Designation records the contact's role.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387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i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38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The active-year client database and the CEO-only annual archive.</w:t>
      </w:r>
    </w:p>
    <w:p>
      <w:pPr>
        <w:pStyle w:val="Heading2"/>
      </w:pPr>
      <w:r>
        <w:t>Year-end behavior</w:t>
      </w:r>
    </w:p>
    <w:p>
      <w:pPr>
        <w:pStyle w:val="ListBullet"/>
        <w:ind w:left="360" w:hanging="216"/>
      </w:pPr>
      <w:r>
        <w:t>The current-year database remains active while projects are being created.</w:t>
      </w:r>
    </w:p>
    <w:p>
      <w:pPr>
        <w:pStyle w:val="ListBullet"/>
        <w:ind w:left="360" w:hanging="216"/>
      </w:pPr>
      <w:r>
        <w:t>At year-end, the completed client database becomes a read-only annual archive.</w:t>
      </w:r>
    </w:p>
    <w:p>
      <w:pPr>
        <w:pStyle w:val="ListBullet"/>
        <w:ind w:left="360" w:hanging="216"/>
      </w:pPr>
      <w:r>
        <w:t>Only the CEO can see archived years; operating users continue with the new active year.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35B7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FINANCE</w:t>
            </w:r>
          </w:p>
        </w:tc>
        <w:tc>
          <w:tcPr>
            <w:tcW w:type="dxa" w:w="5184"/>
            <w:shd w:fill="35B7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Business financial health</w:t>
            </w:r>
          </w:p>
        </w:tc>
      </w:tr>
    </w:tbl>
    <w:p>
      <w:pPr>
        <w:pStyle w:val="Heading1"/>
      </w:pPr>
      <w:r>
        <w:t>CEO financial view</w:t>
      </w:r>
    </w:p>
    <w:p>
      <w:r>
        <w:t>Finance shows the life of the business: collection, savings, forecasted revenue, receivables, payables, working capital, project economics, and liquidation exposure. Finance visibility remains role controlled.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3872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in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38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Business Financial Health with zeroed totals ready for the first test dataset.</w:t>
      </w:r>
    </w:p>
    <w:p>
      <w:pPr>
        <w:pStyle w:val="Heading2"/>
      </w:pPr>
      <w:r>
        <w:t>Key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71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7704"/>
            <w:shd w:fill="171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Total Collection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Client payments already received.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Cash Recouped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Unused manpower or project cash returned to the company.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Project Savings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Savings recorded against approved project budgets.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Forecasted Revenue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Expected project revenue that has not yet been recognized.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Accounts Receivable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Billed amounts not yet collected, including aging days.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Accounts Payable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Supplier obligations due, including aging days.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Net Working Capital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Collection and receivables less releases and payables.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E6B9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LIQUIDATION</w:t>
            </w:r>
          </w:p>
        </w:tc>
        <w:tc>
          <w:tcPr>
            <w:tcW w:type="dxa" w:w="5184"/>
            <w:shd w:fill="E6B9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Submit, supervise, audit, and clear</w:t>
            </w:r>
          </w:p>
        </w:tc>
      </w:tr>
    </w:tbl>
    <w:p>
      <w:pPr>
        <w:pStyle w:val="Heading1"/>
      </w:pPr>
      <w:r>
        <w:t>What the page controls</w:t>
      </w:r>
    </w:p>
    <w:p>
      <w:r>
        <w:t>Liquidations track released funds that still require receipts, cash returns, reimbursements, audit decisions, or final clearance. Visibility follows reporting relationships: employees see their own and assigned packets; supervisors see their teams; authorized executives and finance roles see wider scopes.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3872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iquid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38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CEO liquidation summary and the current scope banner.</w:t>
      </w:r>
    </w:p>
    <w:p>
      <w:pPr>
        <w:pStyle w:val="Heading2"/>
      </w:pPr>
      <w:r>
        <w:t>Review behavior</w:t>
      </w:r>
    </w:p>
    <w:p>
      <w:pPr>
        <w:pStyle w:val="ListBullet"/>
        <w:ind w:left="360" w:hanging="216"/>
      </w:pPr>
      <w:r>
        <w:t>Open a project accordion to see exposure by person and aging days.</w:t>
      </w:r>
    </w:p>
    <w:p>
      <w:pPr>
        <w:pStyle w:val="ListBullet"/>
        <w:ind w:left="360" w:hanging="216"/>
      </w:pPr>
      <w:r>
        <w:t>Selecting a finance liquidation item opens the matching project or line item here.</w:t>
      </w:r>
    </w:p>
    <w:p>
      <w:pPr>
        <w:pStyle w:val="ListBullet"/>
        <w:ind w:left="360" w:hanging="216"/>
      </w:pPr>
      <w:r>
        <w:t>Approving a line item should preserve the user's position instead of returning to the top.</w:t>
      </w:r>
    </w:p>
    <w:p>
      <w:pPr>
        <w:pStyle w:val="ListBullet"/>
        <w:ind w:left="360" w:hanging="216"/>
      </w:pPr>
      <w:r>
        <w:t>Use Cash Return when unused funds must be returned; use Reimbursement when the employee spent personal funds that require clearance.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653C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5184"/>
            <w:shd w:fill="653C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Account administration</w:t>
            </w:r>
          </w:p>
        </w:tc>
      </w:tr>
    </w:tbl>
    <w:p>
      <w:pPr>
        <w:pStyle w:val="Heading1"/>
      </w:pPr>
      <w:r>
        <w:t>Switch to Admin mode</w:t>
      </w:r>
    </w:p>
    <w:p>
      <w:r>
        <w:t>Only the CEO account can enter Admin mode. This mode is for governance and account management, not executive operating decisions.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3872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dmin-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38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Admin Dashboard with account totals, testing resources, and account activity.</w:t>
      </w:r>
    </w:p>
    <w:p>
      <w:pPr>
        <w:pStyle w:val="Heading2"/>
      </w:pPr>
      <w:r>
        <w:t>Create and manage accounts</w:t>
      </w:r>
    </w:p>
    <w:p>
      <w:pPr>
        <w:ind w:left="403" w:hanging="403"/>
      </w:pPr>
      <w:r>
        <w:rPr>
          <w:b/>
          <w:color w:val="653C91"/>
        </w:rPr>
        <w:t xml:space="preserve">1. </w:t>
      </w:r>
      <w:r>
        <w:t>Open Accounts.</w:t>
      </w:r>
    </w:p>
    <w:p>
      <w:pPr>
        <w:ind w:left="403" w:hanging="403"/>
      </w:pPr>
      <w:r>
        <w:rPr>
          <w:b/>
          <w:color w:val="653C91"/>
        </w:rPr>
        <w:t xml:space="preserve">2. </w:t>
      </w:r>
      <w:r>
        <w:t>Enter the employee's full name and company email.</w:t>
      </w:r>
    </w:p>
    <w:p>
      <w:pPr>
        <w:ind w:left="403" w:hanging="403"/>
      </w:pPr>
      <w:r>
        <w:rPr>
          <w:b/>
          <w:color w:val="653C91"/>
        </w:rPr>
        <w:t xml:space="preserve">3. </w:t>
      </w:r>
      <w:r>
        <w:t>Choose the role and record scope: Assigned, Team, or All.</w:t>
      </w:r>
    </w:p>
    <w:p>
      <w:pPr>
        <w:ind w:left="403" w:hanging="403"/>
      </w:pPr>
      <w:r>
        <w:rPr>
          <w:b/>
          <w:color w:val="653C91"/>
        </w:rPr>
        <w:t xml:space="preserve">4. </w:t>
      </w:r>
      <w:r>
        <w:t>Select Create. Give the temporary password only to the intended employee.</w:t>
      </w:r>
    </w:p>
    <w:p>
      <w:pPr>
        <w:ind w:left="403" w:hanging="403"/>
      </w:pPr>
      <w:r>
        <w:rPr>
          <w:b/>
          <w:color w:val="653C91"/>
        </w:rPr>
        <w:t xml:space="preserve">5. </w:t>
      </w:r>
      <w:r>
        <w:t>Use Edit, Reset, or account status controls for later maintenance.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653C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ACCOUNTS</w:t>
            </w:r>
          </w:p>
        </w:tc>
        <w:tc>
          <w:tcPr>
            <w:tcW w:type="dxa" w:w="5184"/>
            <w:shd w:fill="653C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Roles, scope, and activity</w:t>
            </w:r>
          </w:p>
        </w:tc>
      </w:tr>
    </w:tbl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3872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ccount-manage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38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Accounts page showing role-based pages, record scope, status, and owner controls.</w:t>
      </w:r>
    </w:p>
    <w:p>
      <w:pPr>
        <w:pStyle w:val="Heading2"/>
      </w:pPr>
      <w:r>
        <w:t>Bulk account preparation</w:t>
      </w:r>
    </w:p>
    <w:p>
      <w:r>
        <w:t>Use Spotlight_Bulk_User_Template.xlsx for a larger rollout. Do not enter passwords in the workbook. The system should generate a temporary password when each account is created.</w:t>
      </w:r>
    </w:p>
    <w:p>
      <w:pPr>
        <w:pStyle w:val="Heading2"/>
      </w:pPr>
      <w:r>
        <w:t>Activity log</w:t>
      </w:r>
    </w:p>
    <w:p>
      <w:pPr>
        <w:pStyle w:val="ListBullet"/>
        <w:ind w:left="360" w:hanging="216"/>
      </w:pPr>
      <w:r>
        <w:t>The log records sign-ins, mode switches, password resets, account creation, edits, and suspensions.</w:t>
      </w:r>
    </w:p>
    <w:p>
      <w:pPr>
        <w:pStyle w:val="ListBullet"/>
        <w:ind w:left="360" w:hanging="216"/>
      </w:pPr>
      <w:r>
        <w:t>The CEO can download the activity log for review.</w:t>
      </w:r>
    </w:p>
    <w:p>
      <w:pPr>
        <w:pStyle w:val="ListBullet"/>
        <w:ind w:left="360" w:hanging="216"/>
      </w:pPr>
      <w:r>
        <w:t>A reset password is temporary and must be replaced by the user at the next login.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58D4C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TESTING</w:t>
            </w:r>
          </w:p>
        </w:tc>
        <w:tc>
          <w:tcPr>
            <w:tcW w:type="dxa" w:w="5184"/>
            <w:shd w:fill="58D4C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Load the first test dataset</w:t>
            </w:r>
          </w:p>
        </w:tc>
      </w:tr>
    </w:tbl>
    <w:p>
      <w:pPr>
        <w:pStyle w:val="Heading1"/>
      </w:pPr>
      <w:r>
        <w:t>Files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71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7704"/>
            <w:shd w:fill="171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Business Data Template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Revenue targets, clients, projects, invoices, collections, suppliers, and calendar items.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Bulk User Template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Names, company emails, departments, roles, record scopes, reporting lines, and account status.</w:t>
            </w:r>
          </w:p>
        </w:tc>
      </w:tr>
    </w:tbl>
    <w:p>
      <w:pPr>
        <w:pStyle w:val="Heading2"/>
      </w:pPr>
      <w:r>
        <w:t>Recommended loading sequence</w:t>
      </w:r>
    </w:p>
    <w:p>
      <w:pPr>
        <w:ind w:left="403" w:hanging="403"/>
      </w:pPr>
      <w:r>
        <w:rPr>
          <w:b/>
          <w:color w:val="653C91"/>
        </w:rPr>
        <w:t xml:space="preserve">1. </w:t>
      </w:r>
      <w:r>
        <w:t>Complete the Users workbook and confirm every company email, role, scope, and reporting line.</w:t>
      </w:r>
    </w:p>
    <w:p>
      <w:pPr>
        <w:ind w:left="403" w:hanging="403"/>
      </w:pPr>
      <w:r>
        <w:rPr>
          <w:b/>
          <w:color w:val="653C91"/>
        </w:rPr>
        <w:t xml:space="preserve">2. </w:t>
      </w:r>
      <w:r>
        <w:t>Create or import the accounts and have test users complete first-time password setup.</w:t>
      </w:r>
    </w:p>
    <w:p>
      <w:pPr>
        <w:ind w:left="403" w:hanging="403"/>
      </w:pPr>
      <w:r>
        <w:rPr>
          <w:b/>
          <w:color w:val="653C91"/>
        </w:rPr>
        <w:t xml:space="preserve">3. </w:t>
      </w:r>
      <w:r>
        <w:t>Complete Revenue Targets and Clients.</w:t>
      </w:r>
    </w:p>
    <w:p>
      <w:pPr>
        <w:ind w:left="403" w:hanging="403"/>
      </w:pPr>
      <w:r>
        <w:rPr>
          <w:b/>
          <w:color w:val="653C91"/>
        </w:rPr>
        <w:t xml:space="preserve">4. </w:t>
      </w:r>
      <w:r>
        <w:t>Add Projects, then Invoices, Suppliers, and Calendar items using matching project codes and emails.</w:t>
      </w:r>
    </w:p>
    <w:p>
      <w:pPr>
        <w:ind w:left="403" w:hanging="403"/>
      </w:pPr>
      <w:r>
        <w:rPr>
          <w:b/>
          <w:color w:val="653C91"/>
        </w:rPr>
        <w:t xml:space="preserve">5. </w:t>
      </w:r>
      <w:r>
        <w:t>Open the CEO dashboard and confirm Revenue vs Target, finance totals, project phases, calendar points, and task buckets.</w:t>
      </w:r>
    </w:p>
    <w:p>
      <w:pPr>
        <w:pStyle w:val="Heading2"/>
      </w:pPr>
      <w:r>
        <w:t>Data preparation rules</w:t>
      </w:r>
    </w:p>
    <w:p>
      <w:pPr>
        <w:pStyle w:val="ListBullet"/>
        <w:ind w:left="360" w:hanging="216"/>
      </w:pPr>
      <w:r>
        <w:t>Do not rename workbook tabs or column headers.</w:t>
      </w:r>
    </w:p>
    <w:p>
      <w:pPr>
        <w:pStyle w:val="ListBullet"/>
        <w:ind w:left="360" w:hanging="216"/>
      </w:pPr>
      <w:r>
        <w:t>Purple headers are required; white headers are optional unless your process requires them.</w:t>
      </w:r>
    </w:p>
    <w:p>
      <w:pPr>
        <w:pStyle w:val="ListBullet"/>
        <w:ind w:left="360" w:hanging="216"/>
      </w:pPr>
      <w:r>
        <w:t>Use MM/DD/YYYY for dates and numeric values for amounts.</w:t>
      </w:r>
    </w:p>
    <w:p>
      <w:pPr>
        <w:pStyle w:val="ListBullet"/>
        <w:ind w:left="360" w:hanging="216"/>
      </w:pPr>
      <w:r>
        <w:t>Keep unavailable optional fields blank instead of entering zero or N/A.</w:t>
      </w:r>
    </w:p>
    <w:p>
      <w:pPr>
        <w:pStyle w:val="ListBullet"/>
        <w:ind w:left="360" w:hanging="216"/>
      </w:pPr>
      <w:r>
        <w:t>Use company emails consistently so assignments resolve to the correct people.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E6B9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UAT</w:t>
            </w:r>
          </w:p>
        </w:tc>
        <w:tc>
          <w:tcPr>
            <w:tcW w:type="dxa" w:w="5184"/>
            <w:shd w:fill="E6B9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Role-based acceptance test</w:t>
            </w:r>
          </w:p>
        </w:tc>
      </w:tr>
    </w:tbl>
    <w:p>
      <w:pPr>
        <w:pStyle w:val="Heading1"/>
      </w:pPr>
      <w:r>
        <w:t>Test one complete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171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8208"/>
            <w:shd w:fill="171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Access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User can sign in, change the temporary password, and see only allowed pages and records.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Project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Account user creates a project, assigns people, adds brief content, and attaches reference material.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CE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The correct roles upload, review, revise, and approve the cost estimate without duplicate ASF display.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Funding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Budget requests and releases use the correct labels, attachments, and approvals.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Execution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Assigned and team users see the correct calendar dates, tasks, statuses, and project rows.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Billing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Invoice amount, due date, collection, and aging appear in the correct financial views.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Liquidation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Employee submits; supervisor sees team summary; finance audits; CEO sees final exposure and decisions.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Closeout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Project moves to collection/completion and the client/project history remains traceable.</w:t>
            </w:r>
          </w:p>
        </w:tc>
      </w:tr>
    </w:tbl>
    <w:p>
      <w:pPr>
        <w:pStyle w:val="Heading2"/>
      </w:pPr>
      <w:r>
        <w:t>Log an issue with five facts</w:t>
      </w:r>
    </w:p>
    <w:p>
      <w:pPr>
        <w:pStyle w:val="ListBullet"/>
        <w:ind w:left="360" w:hanging="216"/>
      </w:pPr>
      <w:r>
        <w:t>Role used</w:t>
      </w:r>
    </w:p>
    <w:p>
      <w:pPr>
        <w:pStyle w:val="ListBullet"/>
        <w:ind w:left="360" w:hanging="216"/>
      </w:pPr>
      <w:r>
        <w:t>Page and record</w:t>
      </w:r>
    </w:p>
    <w:p>
      <w:pPr>
        <w:pStyle w:val="ListBullet"/>
        <w:ind w:left="360" w:hanging="216"/>
      </w:pPr>
      <w:r>
        <w:t>Action attempted</w:t>
      </w:r>
    </w:p>
    <w:p>
      <w:pPr>
        <w:pStyle w:val="ListBullet"/>
        <w:ind w:left="360" w:hanging="216"/>
      </w:pPr>
      <w:r>
        <w:t>What happened</w:t>
      </w:r>
    </w:p>
    <w:p>
      <w:pPr>
        <w:pStyle w:val="ListBullet"/>
        <w:ind w:left="360" w:hanging="216"/>
      </w:pPr>
      <w:r>
        <w:t>What should have happened</w:t>
      </w:r>
    </w:p>
    <w:p>
      <w:pPr>
        <w:pStyle w:val="SpotlightCallout"/>
      </w:pPr>
      <w:r>
        <w:t>Include a screenshot when the problem is visual, a value is incorrect, or a button is missing or disabled.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5184"/>
            <w:shd w:fill="653C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84"/>
            <w:shd w:fill="653C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Quick operating rules</w:t>
            </w:r>
          </w:p>
        </w:tc>
      </w:tr>
    </w:tbl>
    <w:p>
      <w:pPr>
        <w:pStyle w:val="Heading1"/>
      </w:pPr>
      <w:r>
        <w:t>Use this as the training closeout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71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7704"/>
            <w:shd w:fill="171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One identity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Each person receives one company account. Do not share credentials.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One project ID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All project activity must remain linked to the permanent Project ID.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One source of truth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Edit records in Spotlight OS rather than maintaining conflicting copies.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Role controls action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Visibility does not automatically mean approval authority.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Scope controls records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Assigned, Team, and All determine which permitted records appear.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Rows open records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Use the full row or View to move from a summary to the working page.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b/>
                <w:sz w:val="17"/>
              </w:rPr>
              <w:t>Color indicates urgency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Green on track; yellow attention; orange at risk/upcoming; red critical/overdue; purple review/approval.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b/>
                <w:sz w:val="17"/>
              </w:rPr>
              <w:t>Ask before overriding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2EEF7"/>
          </w:tcPr>
          <w:p>
            <w:r>
              <w:rPr>
                <w:rFonts w:ascii="Arial" w:hAnsi="Arial"/>
                <w:sz w:val="17"/>
              </w:rPr>
              <w:t>Use override or exception controls only when the business reason is recorded.</w:t>
            </w:r>
          </w:p>
        </w:tc>
      </w:tr>
    </w:tbl>
    <w:p>
      <w:pPr>
        <w:pStyle w:val="Heading2"/>
      </w:pPr>
      <w:r>
        <w:t>Training completion</w:t>
      </w:r>
    </w:p>
    <w:p>
      <w:r>
        <w:t>A user is ready when they can sign in, explain their scope, locate an assigned project, open a dashboard item, complete one role-specific action, and identify where to request help or password reset.</w:t>
      </w:r>
    </w:p>
    <w:p/>
    <w:p>
      <w:pPr>
        <w:jc w:val="center"/>
      </w:pPr>
      <w:r>
        <w:rPr>
          <w:rFonts w:ascii="Arial" w:hAnsi="Arial"/>
          <w:b/>
          <w:color w:val="171744"/>
          <w:sz w:val="34"/>
        </w:rPr>
        <w:t>SPOTLIGHT OS</w:t>
      </w:r>
      <w:r>
        <w:br/>
        <w:t>Every client has history. Every project has an identity. Every peso has an owner and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6373"/>
        <w:sz w:val="15"/>
      </w:rPr>
      <w:t xml:space="preserve">Internal training guide  |  </w:t>
    </w:r>
    <w:r>
      <w:t xml:space="preserve">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potligh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653C91"/>
        <w:sz w:val="16"/>
      </w:rPr>
      <w:t xml:space="preserve">  SPOTLIGHT OS  | 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221F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17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653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17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44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jc w:val="center"/>
    </w:pPr>
    <w:rPr>
      <w:rFonts w:ascii="Arial" w:hAnsi="Arial"/>
      <w:b/>
      <w:bCs/>
      <w:i w:val="0"/>
      <w:color w:val="6863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tlightCallout">
    <w:name w:val="Spotlight Callout"/>
    <w:pPr>
      <w:spacing w:before="100" w:after="100"/>
      <w:ind w:left="288"/>
    </w:pPr>
    <w:rPr>
      <w:rFonts w:ascii="Arial" w:hAnsi="Arial"/>
      <w:b/>
      <w:color w:val="653C9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