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p>
      <w:pPr>
        <w:pStyle w:val="Author"/>
      </w:pPr>
      <w:r>
        <w:t xml:space="preserve">Katy</w:t>
      </w:r>
      <w:r>
        <w:t xml:space="preserve"> </w:t>
      </w:r>
      <w:r>
        <w:t xml:space="preserve">Gaythorpe</w:t>
      </w:r>
    </w:p>
    <w:p>
      <w:pPr>
        <w:pStyle w:val="Date"/>
      </w:pPr>
      <w:r>
        <w:t xml:space="preserve">6</w:t>
      </w:r>
      <w:r>
        <w:t xml:space="preserve"> </w:t>
      </w:r>
      <w:r>
        <w:t xml:space="preserve">November</w:t>
      </w:r>
      <w:r>
        <w:t xml:space="preserve"> </w:t>
      </w:r>
      <w:r>
        <w:t xml:space="preserve">2018</w:t>
      </w:r>
    </w:p>
    <w:p>
      <w:pPr>
        <w:pStyle w:val="Heading1"/>
      </w:pPr>
      <w:bookmarkStart w:id="21" w:name="introduction"/>
      <w:bookmarkEnd w:id="21"/>
      <w:r>
        <w:t xml:space="preserve">Introduction</w:t>
      </w:r>
    </w:p>
    <w:p>
      <w:pPr>
        <w:pStyle w:val="FirstParagraph"/>
      </w:pPr>
      <w:r>
        <w:t xml:space="preserve">This app was developed to produce estimates of exposure dates for Ebola cases. It can also produce estimates of the date that symptoms developed if we have information on symptoms or date of death.</w:t>
      </w:r>
    </w:p>
    <w:p>
      <w:pPr>
        <w:pStyle w:val="BodyText"/>
      </w:pPr>
      <w:r>
        <w:t xml:space="preserve">Authors:</w:t>
      </w:r>
    </w:p>
    <w:p>
      <w:pPr>
        <w:numPr>
          <w:numId w:val="1001"/>
          <w:ilvl w:val="0"/>
        </w:numPr>
      </w:pPr>
      <w:r>
        <w:t xml:space="preserve">Mary Choi developed the calculator logic.</w:t>
      </w:r>
    </w:p>
    <w:p>
      <w:pPr>
        <w:numPr>
          <w:numId w:val="1001"/>
          <w:ilvl w:val="0"/>
        </w:numPr>
      </w:pPr>
      <w:r>
        <w:t xml:space="preserve">Katy Gaythorpe developed the app.</w:t>
      </w:r>
    </w:p>
    <w:p>
      <w:pPr>
        <w:pStyle w:val="Heading1"/>
      </w:pPr>
      <w:bookmarkStart w:id="22" w:name="how-to-use"/>
      <w:bookmarkEnd w:id="22"/>
      <w:r>
        <w:t xml:space="preserve">How to use</w:t>
      </w:r>
    </w:p>
    <w:p>
      <w:pPr>
        <w:pStyle w:val="FirstParagraph"/>
      </w:pPr>
      <w:r>
        <w:t xml:space="preserve">The app is broken down into a few pages depending on the number of individuals you wish to look at.</w:t>
      </w:r>
    </w:p>
    <w:p>
      <w:pPr>
        <w:pStyle w:val="Heading3"/>
      </w:pPr>
      <w:bookmarkStart w:id="23" w:name="timeline"/>
      <w:bookmarkEnd w:id="23"/>
      <w:r>
        <w:t xml:space="preserve">Timeline</w:t>
      </w:r>
    </w:p>
    <w:p>
      <w:pPr>
        <w:pStyle w:val="FirstParagraph"/>
      </w:pPr>
      <w:r>
        <w:t xml:space="preserve">If you are interested in checking one individual, use this page to put in estimates of the date of death (if you have it) or the date of reported onset. You can also fill in the durations although these have default values in established ranges (see section on defaults). When you have filled out the information on the left, the plot and text will update on the right. The plot shows the dates of interest: exposure, onset and death. The text gives thes dates in words. The logic behind the calculation is shown in</w:t>
      </w:r>
      <w:r>
        <w:t xml:space="preserve"> </w:t>
      </w:r>
      <w:r>
        <w:rPr>
          <w:rStyle w:val="VerbatimChar"/>
        </w:rPr>
        <w:t xml:space="preserve">calculator logic</w:t>
      </w:r>
      <w:r>
        <w:t xml:space="preserve">.</w:t>
      </w:r>
    </w:p>
    <w:p>
      <w:pPr>
        <w:pStyle w:val="Heading3"/>
      </w:pPr>
      <w:bookmarkStart w:id="24" w:name="upload"/>
      <w:bookmarkEnd w:id="24"/>
      <w:r>
        <w:t xml:space="preserve">Upload</w:t>
      </w:r>
    </w:p>
    <w:p>
      <w:pPr>
        <w:pStyle w:val="FirstParagraph"/>
      </w:pPr>
      <w:r>
        <w:t xml:space="preserve">If you wish to check the dates or visualise a number of individuals, you can upload data here. The two buttons at the top give you the option to download templates for the data which you can fill in then upload. The linelist .csv details characteristics of each person. The contacts .csv details the connections between each linked pair of people; there is also the option to state types of connection. Both templates are a minimal set, meaning you can add more columns to both. However, these templates must retain the same basic column headers and should link to each other, for example if individual EG1 appears in the contacts list, they should have an entry in the linelist with the same identifier.</w:t>
      </w:r>
    </w:p>
    <w:p>
      <w:pPr>
        <w:pStyle w:val="Heading3"/>
      </w:pPr>
      <w:bookmarkStart w:id="25" w:name="exposure-windows-for-uploaded-linelist"/>
      <w:bookmarkEnd w:id="25"/>
      <w:r>
        <w:t xml:space="preserve">Exposure windows for uploaded linelist</w:t>
      </w:r>
    </w:p>
    <w:p>
      <w:pPr>
        <w:pStyle w:val="FirstParagraph"/>
      </w:pPr>
      <w:r>
        <w:t xml:space="preserve">This shows the same information as is shown in</w:t>
      </w:r>
      <w:r>
        <w:t xml:space="preserve"> </w:t>
      </w:r>
      <w:r>
        <w:rPr>
          <w:rStyle w:val="VerbatimChar"/>
        </w:rPr>
        <w:t xml:space="preserve">timeline</w:t>
      </w:r>
      <w:r>
        <w:t xml:space="preserve"> </w:t>
      </w:r>
      <w:r>
        <w:t xml:space="preserve">but for the uploaded linelist data. This again depends on a list of specified parameters such as the minimum duration of the incubation period. The plot can be turned into a .png and downloaded. Additionally, the new linelist, with the estimated onset and exposure window can be downloaded.</w:t>
      </w:r>
    </w:p>
    <w:p>
      <w:pPr>
        <w:pStyle w:val="Heading3"/>
      </w:pPr>
      <w:bookmarkStart w:id="26" w:name="transmission-tree-for-uploaded-linelist-and-contacts"/>
      <w:bookmarkEnd w:id="26"/>
      <w:r>
        <w:t xml:space="preserve">Transmission tree for uploaded linelist and contacts</w:t>
      </w:r>
    </w:p>
    <w:p>
      <w:pPr>
        <w:pStyle w:val="FirstParagraph"/>
      </w:pPr>
      <w:r>
        <w:t xml:space="preserve">In this page we visualise two transmission trees. The first is from the data as entered; the second is from the data as adjusted through the calculator. When visualising the tree, it is possible to colour the different nodes by chracteristics from the linelist. Additionally, it is possible to colour the vertical lines by characteristics from the contact list.</w:t>
      </w:r>
    </w:p>
    <w:p>
      <w:pPr>
        <w:pStyle w:val="BodyText"/>
      </w:pPr>
      <w:r>
        <w:t xml:space="preserve">The horiontal lines are highlighted</w:t>
      </w:r>
      <w:r>
        <w:t xml:space="preserve"> </w:t>
      </w:r>
      <w:r>
        <w:t xml:space="preserve">red</w:t>
      </w:r>
      <w:r>
        <w:t xml:space="preserve"> </w:t>
      </w:r>
      <w:r>
        <w:t xml:space="preserve">if the onset times of the two linked individuals are in the wrong order.</w:t>
      </w:r>
    </w:p>
    <w:p>
      <w:pPr>
        <w:pStyle w:val="BodyText"/>
      </w:pPr>
      <w:r>
        <w:t xml:space="preserve">The horiontal lines are highlighted</w:t>
      </w:r>
      <w:r>
        <w:t xml:space="preserve"> </w:t>
      </w:r>
      <w:r>
        <w:t xml:space="preserve">orange</w:t>
      </w:r>
      <w:r>
        <w:t xml:space="preserve"> </w:t>
      </w:r>
      <w:r>
        <w:t xml:space="preserve">if the onset times of the two linked individuals are too close together, as determined by the minimum serial interval.</w:t>
      </w:r>
    </w:p>
    <w:p>
      <w:pPr>
        <w:pStyle w:val="Heading1"/>
      </w:pPr>
      <w:bookmarkStart w:id="27" w:name="calculator-logic"/>
      <w:bookmarkEnd w:id="27"/>
      <w:r>
        <w:t xml:space="preserve">Calculator logic</w:t>
      </w:r>
    </w:p>
    <w:p>
      <w:pPr>
        <w:pStyle w:val="FirstParagraph"/>
      </w:pPr>
      <w:r>
        <w:t xml:space="preserve">The calculator uses the following steps to estimate onset and exposure dates.</w:t>
      </w:r>
    </w:p>
    <w:p>
      <w:pPr>
        <w:pStyle w:val="Compact"/>
        <w:numPr>
          <w:numId w:val="1002"/>
          <w:ilvl w:val="0"/>
        </w:numPr>
      </w:pPr>
      <w:r>
        <w:t xml:space="preserve">If date of death is available.</w:t>
      </w:r>
      <w:r>
        <w:t xml:space="preserve"> </w:t>
      </w:r>
      <w:r>
        <w:rPr>
          <w:rStyle w:val="VerbatimChar"/>
        </w:rPr>
        <w:t xml:space="preserve">Estimated onset = date of death - time from onset to death.</w:t>
      </w:r>
      <w:r>
        <w:t xml:space="preserve"> </w:t>
      </w:r>
      <w:r>
        <w:t xml:space="preserve">Then go to 5.</w:t>
      </w:r>
    </w:p>
    <w:p>
      <w:pPr>
        <w:pStyle w:val="Compact"/>
        <w:numPr>
          <w:numId w:val="1003"/>
          <w:ilvl w:val="1"/>
        </w:numPr>
      </w:pPr>
      <w:r>
        <w:t xml:space="preserve">If date of death is unavailable, go to 2.</w:t>
      </w:r>
    </w:p>
    <w:p>
      <w:pPr>
        <w:pStyle w:val="Compact"/>
        <w:numPr>
          <w:numId w:val="1002"/>
          <w:ilvl w:val="0"/>
        </w:numPr>
      </w:pPr>
      <w:r>
        <w:t xml:space="preserve">If individual was bleeding at reported onset.</w:t>
      </w:r>
      <w:r>
        <w:t xml:space="preserve"> </w:t>
      </w:r>
      <w:r>
        <w:rPr>
          <w:rStyle w:val="VerbatimChar"/>
        </w:rPr>
        <w:t xml:space="preserve">Estimated onset = reported onset - bleeding correction factor.</w:t>
      </w:r>
      <w:r>
        <w:t xml:space="preserve"> </w:t>
      </w:r>
      <w:r>
        <w:t xml:space="preserve">Then go to 5.</w:t>
      </w:r>
    </w:p>
    <w:p>
      <w:pPr>
        <w:pStyle w:val="Compact"/>
        <w:numPr>
          <w:numId w:val="1004"/>
          <w:ilvl w:val="1"/>
        </w:numPr>
      </w:pPr>
      <w:r>
        <w:t xml:space="preserve">If they were not bleeding go to 3.</w:t>
      </w:r>
    </w:p>
    <w:p>
      <w:pPr>
        <w:pStyle w:val="Compact"/>
        <w:numPr>
          <w:numId w:val="1002"/>
          <w:ilvl w:val="0"/>
        </w:numPr>
      </w:pPr>
      <w:r>
        <w:t xml:space="preserve">If individual had diarrhea at reported onset.</w:t>
      </w:r>
      <w:r>
        <w:t xml:space="preserve"> </w:t>
      </w:r>
      <w:r>
        <w:rPr>
          <w:rStyle w:val="VerbatimChar"/>
        </w:rPr>
        <w:t xml:space="preserve">Estimated onset = reported onset - diarrhea correction factor.</w:t>
      </w:r>
      <w:r>
        <w:t xml:space="preserve"> </w:t>
      </w:r>
      <w:r>
        <w:t xml:space="preserve">Then go to 5.</w:t>
      </w:r>
    </w:p>
    <w:p>
      <w:pPr>
        <w:pStyle w:val="Compact"/>
        <w:numPr>
          <w:numId w:val="1005"/>
          <w:ilvl w:val="1"/>
        </w:numPr>
      </w:pPr>
      <w:r>
        <w:t xml:space="preserve">If they did not have diarrhea go to 4.</w:t>
      </w:r>
    </w:p>
    <w:p>
      <w:pPr>
        <w:pStyle w:val="Compact"/>
        <w:numPr>
          <w:numId w:val="1002"/>
          <w:ilvl w:val="0"/>
        </w:numPr>
      </w:pPr>
      <w:r>
        <w:rPr>
          <w:rStyle w:val="VerbatimChar"/>
        </w:rPr>
        <w:t xml:space="preserve">Estimated onset  = reported onset</w:t>
      </w:r>
      <w:r>
        <w:t xml:space="preserve">.</w:t>
      </w:r>
    </w:p>
    <w:p>
      <w:pPr>
        <w:pStyle w:val="Compact"/>
        <w:numPr>
          <w:numId w:val="1002"/>
          <w:ilvl w:val="0"/>
        </w:numPr>
      </w:pPr>
      <w:r>
        <w:rPr>
          <w:rStyle w:val="VerbatimChar"/>
        </w:rPr>
        <w:t xml:space="preserve">Earliest exposure date = estimated onset - maximum incubation period</w:t>
      </w:r>
      <w:r>
        <w:t xml:space="preserve">.</w:t>
      </w:r>
    </w:p>
    <w:p>
      <w:pPr>
        <w:pStyle w:val="Compact"/>
        <w:numPr>
          <w:numId w:val="1002"/>
          <w:ilvl w:val="0"/>
        </w:numPr>
      </w:pPr>
      <w:r>
        <w:rPr>
          <w:rStyle w:val="VerbatimChar"/>
        </w:rPr>
        <w:t xml:space="preserve">Latest exposure date = estimated onset - minimum incubation period</w:t>
      </w:r>
      <w:r>
        <w:t xml:space="preserve">.</w:t>
      </w:r>
    </w:p>
    <w:p>
      <w:pPr>
        <w:pStyle w:val="Heading1"/>
      </w:pPr>
      <w:bookmarkStart w:id="28" w:name="defaults"/>
      <w:bookmarkEnd w:id="28"/>
      <w:r>
        <w:t xml:space="preserve">Defaults</w:t>
      </w:r>
    </w:p>
    <w:p>
      <w:pPr>
        <w:pStyle w:val="FirstParagraph"/>
      </w:pPr>
      <w:r>
        <w:t xml:space="preserve">There are a few default values set for the periods of interest. These are taken from the literature and we detail the ranges below.</w:t>
      </w:r>
    </w:p>
    <w:p>
      <w:pPr>
        <w:pStyle w:val="Heading3"/>
      </w:pPr>
      <w:bookmarkStart w:id="29" w:name="incubation"/>
      <w:bookmarkEnd w:id="29"/>
      <w:r>
        <w:t xml:space="preserve">Incubation</w:t>
      </w:r>
    </w:p>
    <w:p>
      <w:pPr>
        <w:pStyle w:val="FirstParagraph"/>
      </w:pPr>
      <w:r>
        <w:t xml:space="preserve">We take the default maximum incubation period to be 21 days and the minimum to be 4 days.</w:t>
      </w:r>
      <w:r>
        <w:t xml:space="preserve"> </w:t>
      </w:r>
      <w:r>
        <w:t xml:space="preserve">This has been estimated in numerous studies; selected reading includes,</w:t>
      </w:r>
      <w:r>
        <w:t xml:space="preserve"> </w:t>
      </w:r>
      <w:r>
        <w:rPr>
          <w:rStyle w:val="VerbatimChar"/>
        </w:rPr>
        <w:t xml:space="preserve">Eichner, Dowell &amp; Firese, 2011</w:t>
      </w:r>
      <w:r>
        <w:t xml:space="preserve">,</w:t>
      </w:r>
      <w:r>
        <w:t xml:space="preserve"> </w:t>
      </w:r>
      <w:r>
        <w:rPr>
          <w:rStyle w:val="VerbatimChar"/>
        </w:rPr>
        <w:t xml:space="preserve">Bull. WHO, 1978</w:t>
      </w:r>
      <w:r>
        <w:t xml:space="preserve">,</w:t>
      </w:r>
      <w:r>
        <w:t xml:space="preserve"> </w:t>
      </w:r>
      <w:r>
        <w:rPr>
          <w:rStyle w:val="VerbatimChar"/>
        </w:rPr>
        <w:t xml:space="preserve">Bwaka et al. 1999</w:t>
      </w:r>
      <w:r>
        <w:t xml:space="preserve"> </w:t>
      </w:r>
      <w:r>
        <w:t xml:space="preserve">and</w:t>
      </w:r>
      <w:r>
        <w:t xml:space="preserve"> </w:t>
      </w:r>
      <w:r>
        <w:rPr>
          <w:rStyle w:val="VerbatimChar"/>
        </w:rPr>
        <w:t xml:space="preserve">Ebola virus disease, WHO, 2018</w:t>
      </w:r>
      <w:r>
        <w:t xml:space="preserve">.</w:t>
      </w:r>
    </w:p>
    <w:p>
      <w:pPr>
        <w:pStyle w:val="Heading3"/>
      </w:pPr>
      <w:bookmarkStart w:id="30" w:name="developing-symptoms"/>
      <w:bookmarkEnd w:id="30"/>
      <w:r>
        <w:t xml:space="preserve">Developing symptoms</w:t>
      </w:r>
    </w:p>
    <w:p>
      <w:pPr>
        <w:pStyle w:val="FirstParagraph"/>
      </w:pPr>
      <w:r>
        <w:t xml:space="preserve">There are two correction factors, one for bleeding and one for dirrhea with defaults 6 and 4 days respectively. These denote the average time to develop each symptom after disease onset. There are multiple studies detailing the development of Ebola symptoms;</w:t>
      </w:r>
      <w:r>
        <w:t xml:space="preserve"> </w:t>
      </w:r>
      <w:r>
        <w:rPr>
          <w:rStyle w:val="VerbatimChar"/>
        </w:rPr>
        <w:t xml:space="preserve">Valasquez et al. 2015</w:t>
      </w:r>
      <w:r>
        <w:t xml:space="preserve"> </w:t>
      </w:r>
      <w:r>
        <w:t xml:space="preserve">produced a systematic review on the time from infection to disease.</w:t>
      </w:r>
    </w:p>
    <w:p>
      <w:pPr>
        <w:pStyle w:val="Heading3"/>
      </w:pPr>
      <w:bookmarkStart w:id="31" w:name="time-from-onset-to-death"/>
      <w:bookmarkEnd w:id="31"/>
      <w:r>
        <w:t xml:space="preserve">Time from onset to death</w:t>
      </w:r>
    </w:p>
    <w:p>
      <w:pPr>
        <w:pStyle w:val="FirstParagraph"/>
      </w:pPr>
      <w:r>
        <w:t xml:space="preserve">If an individual does not recover, we set the default time from symptom onset to death at 9 days. This value usually falls within the range of 8 to 10 days with further discussion found in</w:t>
      </w:r>
      <w:r>
        <w:t xml:space="preserve"> </w:t>
      </w:r>
      <w:r>
        <w:rPr>
          <w:rStyle w:val="VerbatimChar"/>
        </w:rPr>
        <w:t xml:space="preserve">Valasquez et al. 2015</w:t>
      </w:r>
      <w:r>
        <w:t xml:space="preserve">.</w:t>
      </w:r>
    </w:p>
    <w:p>
      <w:pPr>
        <w:pStyle w:val="Heading1"/>
      </w:pPr>
      <w:bookmarkStart w:id="32" w:name="definitions"/>
      <w:bookmarkEnd w:id="32"/>
      <w:r>
        <w:t xml:space="preserve">Definitions</w:t>
      </w:r>
    </w:p>
    <w:p>
      <w:pPr>
        <w:pStyle w:val="FirstParagraph"/>
      </w:pPr>
      <w:r>
        <w:t xml:space="preserve">*Bleeding is defined as</w:t>
      </w:r>
      <w:r>
        <w:t xml:space="preserve"> </w:t>
      </w:r>
      <w:r>
        <w:rPr>
          <w:rStyle w:val="VerbatimChar"/>
        </w:rPr>
        <w:t xml:space="preserve">bleeding from the nose, bleeding from the mouth/gums, blood in their vomit, blood in their stool and /or bleeding from puncture sites</w:t>
      </w:r>
      <w:r>
        <w:t xml:space="preserve"> </w:t>
      </w:r>
      <w:r>
        <w:t xml:space="preserve">-at time of reported onset-.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7aad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848d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4cd28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Katy Gaythorpe</dc:creator>
  <dcterms:created xsi:type="dcterms:W3CDTF">2018-11-08T11:59:35Z</dcterms:created>
  <dcterms:modified xsi:type="dcterms:W3CDTF">2018-11-08T11:59:35Z</dcterms:modified>
</cp:coreProperties>
</file>