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A3C34"/>
          <w:sz w:val="44"/>
        </w:rPr>
        <w:t>BENCHMARK CLÍNICO DE INTELIGÊNCIA ARTIFICIAL</w:t>
      </w:r>
    </w:p>
    <w:p>
      <w:pPr>
        <w:jc w:val="center"/>
      </w:pPr>
      <w:r>
        <w:rPr>
          <w:b w:val="0"/>
          <w:i w:val="0"/>
          <w:color w:val="5F6F6C"/>
          <w:sz w:val="28"/>
        </w:rPr>
        <w:t>200 Casos × 10 Modelos × 23 Especialidades</w:t>
      </w:r>
    </w:p>
    <w:p/>
    <w:p>
      <w:pPr>
        <w:jc w:val="center"/>
      </w:pPr>
      <w:r>
        <w:rPr>
          <w:b w:val="0"/>
          <w:i w:val="0"/>
          <w:color w:val="155E56"/>
          <w:sz w:val="32"/>
        </w:rPr>
        <w:t>Metodologia, Resultados e Passo a Passo</w:t>
      </w:r>
    </w:p>
    <w:p/>
    <w:p>
      <w:pPr>
        <w:jc w:val="center"/>
      </w:pPr>
      <w:r>
        <w:rPr>
          <w:b w:val="0"/>
          <w:i/>
          <w:color w:val="1A3C34"/>
          <w:sz w:val="26"/>
        </w:rPr>
        <w:t>A IA é sempre um meio. O médico é o fim. O paciente é o propósito.</w:t>
      </w:r>
    </w:p>
    <w:p/>
    <w:p>
      <w:pPr>
        <w:jc w:val="center"/>
      </w:pPr>
      <w:r>
        <w:rPr>
          <w:b w:val="0"/>
          <w:i w:val="0"/>
          <w:color w:val="5F6F6C"/>
          <w:sz w:val="22"/>
        </w:rPr>
        <w:t>BeansTech (vertical: BeansHealth) · Matheus Feijão · Setembro de 2026</w:t>
      </w:r>
    </w:p>
    <w:p>
      <w:pPr>
        <w:jc w:val="center"/>
      </w:pPr>
      <w:r>
        <w:rPr>
          <w:b w:val="0"/>
          <w:i w:val="0"/>
          <w:color w:val="5F6F6C"/>
          <w:sz w:val="20"/>
        </w:rPr>
        <w:t>matheus@beanstech.com.br · WhatsApp +55 11 92507-9058</w:t>
      </w:r>
    </w:p>
    <w:p>
      <w:r>
        <w:br w:type="page"/>
      </w:r>
    </w:p>
    <w:p>
      <w:pPr>
        <w:pStyle w:val="Heading1"/>
      </w:pPr>
      <w:r>
        <w:rPr>
          <w:color w:val="155E56"/>
        </w:rPr>
        <w:t>1. Apresentação</w:t>
      </w:r>
    </w:p>
    <w:p>
      <w:r>
        <w:rPr>
          <w:b w:val="0"/>
          <w:i w:val="0"/>
        </w:rPr>
        <w:t>Este documento descreve a metodologia, os resultados e o processo completo do maior benchmark de modelos de linguagem (LLMs) para apoio à decisão clínica em língua portuguesa já realizado. Avaliamos 10 modelos em 200 casos clínicos representativos da prática médica brasileira, totalizando 2.000 avaliações individuais.</w:t>
      </w:r>
    </w:p>
    <w:p>
      <w:r>
        <w:rPr>
          <w:b w:val="0"/>
          <w:i w:val="0"/>
        </w:rPr>
        <w:t>O objetivo não é encontrar 'o melhor modelo', mas mapear as competências de cada um por especialidade — para que a arquitetura de IA em saúde possa rotear cada pergunta clínica ao especialista certo, como um hospital encaminha ao especialista certo.</w:t>
      </w:r>
    </w:p>
    <w:p>
      <w:r>
        <w:rPr>
          <w:b w:val="0"/>
          <w:i w:val="0"/>
        </w:rPr>
        <w:t>Este trabalho é oferecido à comunidade científica como contribuição ao avanço da IA em medicina. A metodologia, os casos (sem dados pessoais) e os resultados automáticos são de licença aberta. A revisão cega por médicos — que é o que transforma estes indicadores em prova — é o convite que este documento faz.</w:t>
      </w:r>
    </w:p>
    <w:p>
      <w:pPr>
        <w:pStyle w:val="Heading1"/>
      </w:pPr>
      <w:r>
        <w:rPr>
          <w:color w:val="155E56"/>
        </w:rPr>
        <w:t>2. Objetivo</w:t>
      </w:r>
    </w:p>
    <w:p>
      <w:r>
        <w:rPr>
          <w:b w:val="0"/>
          <w:i w:val="0"/>
        </w:rPr>
        <w:t>O objetivo destes testes é aperfeiçoar a inteligência artificial como ferramenta de apoio à decisão clínica — jamais substituindo a experiência, o julgamento e a decisão médica.</w:t>
      </w:r>
    </w:p>
    <w:p>
      <w:r>
        <w:rPr>
          <w:b/>
          <w:i w:val="0"/>
        </w:rPr>
        <w:t>Especificamente, buscamos:</w:t>
      </w:r>
    </w:p>
    <w:p>
      <w:pPr>
        <w:pStyle w:val="ListBullet"/>
      </w:pPr>
      <w:r>
        <w:t>Identificar quais modelos respondem melhor a perguntas clínicas em português</w:t>
      </w:r>
    </w:p>
    <w:p>
      <w:pPr>
        <w:pStyle w:val="ListBullet"/>
      </w:pPr>
      <w:r>
        <w:t>Mapear o desempenho por especialidade médica</w:t>
      </w:r>
    </w:p>
    <w:p>
      <w:pPr>
        <w:pStyle w:val="ListBullet"/>
      </w:pPr>
      <w:r>
        <w:t>Medir a capacidade de abstenção correta (dizer 'não sei' quando devia)</w:t>
      </w:r>
    </w:p>
    <w:p>
      <w:pPr>
        <w:pStyle w:val="ListBullet"/>
      </w:pPr>
      <w:r>
        <w:t>Verificar a resistência a ataques adversariais (red-team)</w:t>
      </w:r>
    </w:p>
    <w:p>
      <w:pPr>
        <w:pStyle w:val="ListBullet"/>
      </w:pPr>
      <w:r>
        <w:t>Estabelecer uma metodologia reprodutível e auditável</w:t>
      </w:r>
    </w:p>
    <w:p>
      <w:pPr>
        <w:pStyle w:val="ListBullet"/>
      </w:pPr>
      <w:r>
        <w:t>Criar a base para validação clínica por revisores independentes</w:t>
      </w:r>
    </w:p>
    <w:p>
      <w:pPr>
        <w:pStyle w:val="Heading1"/>
      </w:pPr>
      <w:r>
        <w:rPr>
          <w:color w:val="155E56"/>
        </w:rPr>
        <w:t>3. Metodologia</w:t>
      </w:r>
    </w:p>
    <w:p>
      <w:r>
        <w:rPr>
          <w:b/>
          <w:i w:val="0"/>
          <w:color w:val="155E56"/>
        </w:rPr>
        <w:t>3.1 Desenho do estudo</w:t>
      </w:r>
    </w:p>
    <w:p>
      <w:r>
        <w:rPr>
          <w:b w:val="0"/>
          <w:i w:val="0"/>
        </w:rPr>
        <w:t>Estudo observacional comparativo, com avaliação automática de cobertura e avaliação estruturada para revisão cega por médicos. Todos os modelos receberam o mesmo prompt de sistema, a mesma temperatura (0,2) e o mesmo limite de tokens (2.800).</w:t>
      </w:r>
    </w:p>
    <w:p>
      <w:r>
        <w:rPr>
          <w:b/>
          <w:i w:val="0"/>
          <w:color w:val="155E56"/>
        </w:rPr>
        <w:t>3.2 Parâmetros uniformes</w:t>
      </w:r>
    </w:p>
    <w:p>
      <w:pPr>
        <w:pStyle w:val="ListBullet"/>
      </w:pPr>
      <w:r>
        <w:rPr>
          <w:b/>
          <w:color w:val="155E56"/>
        </w:rPr>
        <w:t xml:space="preserve">System prompt: </w:t>
      </w:r>
      <w:r>
        <w:t>idêntico: 4 blocos (Raciocínio, Condutas, Verificar, O que não posso afirmar)</w:t>
      </w:r>
    </w:p>
    <w:p>
      <w:pPr>
        <w:pStyle w:val="ListBullet"/>
      </w:pPr>
      <w:r>
        <w:rPr>
          <w:b/>
          <w:color w:val="155E56"/>
        </w:rPr>
        <w:t xml:space="preserve">Temperatura: </w:t>
      </w:r>
      <w:r>
        <w:t>0,2</w:t>
      </w:r>
    </w:p>
    <w:p>
      <w:pPr>
        <w:pStyle w:val="ListBullet"/>
      </w:pPr>
      <w:r>
        <w:rPr>
          <w:b/>
          <w:color w:val="155E56"/>
        </w:rPr>
        <w:t xml:space="preserve">Max tokens: </w:t>
      </w:r>
      <w:r>
        <w:t>2.800</w:t>
      </w:r>
    </w:p>
    <w:p>
      <w:pPr>
        <w:pStyle w:val="ListBullet"/>
      </w:pPr>
      <w:r>
        <w:rPr>
          <w:b/>
          <w:color w:val="155E56"/>
        </w:rPr>
        <w:t xml:space="preserve">Idioma: </w:t>
      </w:r>
      <w:r>
        <w:t>português brasileiro</w:t>
      </w:r>
    </w:p>
    <w:p>
      <w:pPr>
        <w:pStyle w:val="ListBullet"/>
      </w:pPr>
      <w:r>
        <w:rPr>
          <w:b/>
          <w:color w:val="155E56"/>
        </w:rPr>
        <w:t xml:space="preserve">Avaliação: </w:t>
      </w:r>
      <w:r>
        <w:t>automática por cobertura de afirmações críticas</w:t>
      </w:r>
    </w:p>
    <w:p>
      <w:pPr>
        <w:pStyle w:val="Heading1"/>
      </w:pPr>
      <w:r>
        <w:rPr>
          <w:color w:val="155E56"/>
        </w:rPr>
        <w:t>4. Os 200 Casos Clínicos</w:t>
      </w:r>
    </w:p>
    <w:p>
      <w:r>
        <w:rPr>
          <w:b w:val="0"/>
          <w:i w:val="0"/>
        </w:rPr>
        <w:t>200 casos em 23 especialidades. Cada caso contém: pergunta clínica, resposta-gabarito, afirmações críticas, conteúdo proibido, domínio, tipo de tarefa e fonte.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Especialidade</w:t>
            </w:r>
          </w:p>
        </w:tc>
        <w:tc>
          <w:tcPr>
            <w:tcW w:type="dxa" w:w="4320"/>
          </w:tcPr>
          <w:p>
            <w:r>
              <w:t>Casos</w:t>
            </w:r>
          </w:p>
        </w:tc>
      </w:tr>
      <w:tr>
        <w:tc>
          <w:tcPr>
            <w:tcW w:type="dxa" w:w="4320"/>
          </w:tcPr>
          <w:p>
            <w:r>
              <w:t>Cardiologia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Infectologia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Neurologia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Medicamento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Pediatria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Multi-morbidade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Obstetrícia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Endócrino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Nefrologia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Pneumologia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Emergência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Psiquiatria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Gastroenterologia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Red-team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Outras 9 especialidades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</w:tbl>
    <w:p>
      <w:pPr>
        <w:pStyle w:val="Heading1"/>
      </w:pPr>
      <w:r>
        <w:rPr>
          <w:color w:val="155E56"/>
        </w:rPr>
        <w:t>5. Os 10 Modelos Avaliados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Desenvolvedor</w:t>
            </w:r>
          </w:p>
        </w:tc>
        <w:tc>
          <w:tcPr>
            <w:tcW w:type="dxa" w:w="2880"/>
          </w:tcPr>
          <w:p>
            <w:r>
              <w:t>Acesso</w:t>
            </w:r>
          </w:p>
        </w:tc>
      </w:tr>
      <w:tr>
        <w:tc>
          <w:tcPr>
            <w:tcW w:type="dxa" w:w="2880"/>
          </w:tcPr>
          <w:p>
            <w:r>
              <w:t>GLM-5.3</w:t>
            </w:r>
          </w:p>
        </w:tc>
        <w:tc>
          <w:tcPr>
            <w:tcW w:type="dxa" w:w="2880"/>
          </w:tcPr>
          <w:p>
            <w:r>
              <w:t>Z.ai</w:t>
            </w:r>
          </w:p>
        </w:tc>
        <w:tc>
          <w:tcPr>
            <w:tcW w:type="dxa" w:w="2880"/>
          </w:tcPr>
          <w:p>
            <w:r>
              <w:t>Model Studio</w:t>
            </w:r>
          </w:p>
        </w:tc>
      </w:tr>
      <w:tr>
        <w:tc>
          <w:tcPr>
            <w:tcW w:type="dxa" w:w="2880"/>
          </w:tcPr>
          <w:p>
            <w:r>
              <w:t>Qwen 3.8-Max</w:t>
            </w:r>
          </w:p>
        </w:tc>
        <w:tc>
          <w:tcPr>
            <w:tcW w:type="dxa" w:w="2880"/>
          </w:tcPr>
          <w:p>
            <w:r>
              <w:t>Alibaba</w:t>
            </w:r>
          </w:p>
        </w:tc>
        <w:tc>
          <w:tcPr>
            <w:tcW w:type="dxa" w:w="2880"/>
          </w:tcPr>
          <w:p>
            <w:r>
              <w:t>Model Studio</w:t>
            </w:r>
          </w:p>
        </w:tc>
      </w:tr>
      <w:tr>
        <w:tc>
          <w:tcPr>
            <w:tcW w:type="dxa" w:w="2880"/>
          </w:tcPr>
          <w:p>
            <w:r>
              <w:t>DeepSeek v4 Pro</w:t>
            </w:r>
          </w:p>
        </w:tc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Model Studio</w:t>
            </w:r>
          </w:p>
        </w:tc>
      </w:tr>
      <w:tr>
        <w:tc>
          <w:tcPr>
            <w:tcW w:type="dxa" w:w="2880"/>
          </w:tcPr>
          <w:p>
            <w:r>
              <w:t>Kimi K3</w:t>
            </w:r>
          </w:p>
        </w:tc>
        <w:tc>
          <w:tcPr>
            <w:tcW w:type="dxa" w:w="2880"/>
          </w:tcPr>
          <w:p>
            <w:r>
              <w:t>Moonshot</w:t>
            </w:r>
          </w:p>
        </w:tc>
        <w:tc>
          <w:tcPr>
            <w:tcW w:type="dxa" w:w="2880"/>
          </w:tcPr>
          <w:p>
            <w:r>
              <w:t>Model Studio</w:t>
            </w:r>
          </w:p>
        </w:tc>
      </w:tr>
      <w:tr>
        <w:tc>
          <w:tcPr>
            <w:tcW w:type="dxa" w:w="2880"/>
          </w:tcPr>
          <w:p>
            <w:r>
              <w:t>GPT-6 Astra</w:t>
            </w:r>
          </w:p>
        </w:tc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OpenRouter ($50/M)</w:t>
            </w:r>
          </w:p>
        </w:tc>
      </w:tr>
      <w:tr>
        <w:tc>
          <w:tcPr>
            <w:tcW w:type="dxa" w:w="2880"/>
          </w:tcPr>
          <w:p>
            <w:r>
              <w:t>Claude Opus 5</w:t>
            </w:r>
          </w:p>
        </w:tc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OpenRouter ($25/M)</w:t>
            </w:r>
          </w:p>
        </w:tc>
      </w:tr>
      <w:tr>
        <w:tc>
          <w:tcPr>
            <w:tcW w:type="dxa" w:w="2880"/>
          </w:tcPr>
          <w:p>
            <w:r>
              <w:t>Baichuan-M3-235B</w:t>
            </w:r>
          </w:p>
        </w:tc>
        <w:tc>
          <w:tcPr>
            <w:tcW w:type="dxa" w:w="2880"/>
          </w:tcPr>
          <w:p>
            <w:r>
              <w:t>Baichuan</w:t>
            </w:r>
          </w:p>
        </w:tc>
        <w:tc>
          <w:tcPr>
            <w:tcW w:type="dxa" w:w="2880"/>
          </w:tcPr>
          <w:p>
            <w:r>
              <w:t>GPU própria (Virgínia)</w:t>
            </w:r>
          </w:p>
        </w:tc>
      </w:tr>
      <w:tr>
        <w:tc>
          <w:tcPr>
            <w:tcW w:type="dxa" w:w="2880"/>
          </w:tcPr>
          <w:p>
            <w:r>
              <w:t>AntAngelMed-100B</w:t>
            </w:r>
          </w:p>
        </w:tc>
        <w:tc>
          <w:tcPr>
            <w:tcW w:type="dxa" w:w="2880"/>
          </w:tcPr>
          <w:p>
            <w:r>
              <w:t>Ant Group</w:t>
            </w:r>
          </w:p>
        </w:tc>
        <w:tc>
          <w:tcPr>
            <w:tcW w:type="dxa" w:w="2880"/>
          </w:tcPr>
          <w:p>
            <w:r>
              <w:t>GPU própria (Virgínia)</w:t>
            </w:r>
          </w:p>
        </w:tc>
      </w:tr>
      <w:tr>
        <w:tc>
          <w:tcPr>
            <w:tcW w:type="dxa" w:w="2880"/>
          </w:tcPr>
          <w:p>
            <w:r>
              <w:t>MedGemma-27B</w:t>
            </w:r>
          </w:p>
        </w:tc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GPU própria (Singapura)</w:t>
            </w:r>
          </w:p>
        </w:tc>
      </w:tr>
      <w:tr>
        <w:tc>
          <w:tcPr>
            <w:tcW w:type="dxa" w:w="2880"/>
          </w:tcPr>
          <w:p>
            <w:r>
              <w:t>Lingshu-32B</w:t>
            </w:r>
          </w:p>
        </w:tc>
        <w:tc>
          <w:tcPr>
            <w:tcW w:type="dxa" w:w="2880"/>
          </w:tcPr>
          <w:p>
            <w:r>
              <w:t>Alibaba DAMO</w:t>
            </w:r>
          </w:p>
        </w:tc>
        <w:tc>
          <w:tcPr>
            <w:tcW w:type="dxa" w:w="2880"/>
          </w:tcPr>
          <w:p>
            <w:r>
              <w:t>GPU própria (Singapura)</w:t>
            </w:r>
          </w:p>
        </w:tc>
      </w:tr>
    </w:tbl>
    <w:p>
      <w:pPr>
        <w:pStyle w:val="Heading1"/>
      </w:pPr>
      <w:r>
        <w:rPr>
          <w:color w:val="155E56"/>
        </w:rPr>
        <w:t>6. Critérios de Avaliação</w:t>
      </w:r>
    </w:p>
    <w:p>
      <w:r>
        <w:rPr>
          <w:b w:val="0"/>
          <w:i w:val="0"/>
        </w:rPr>
        <w:t>A avaliação automática mede a cobertura de afirmações críticas — a fração das afirmações essenciais do gabarito que aparecem na resposta do modelo. É uma régua uniforme, mas não substitui o julgamento clínico.</w:t>
      </w:r>
    </w:p>
    <w:p>
      <w:r>
        <w:rPr>
          <w:b/>
          <w:i w:val="0"/>
        </w:rPr>
        <w:t>A revisão cega por médicos avalia cada resposta em três critérios:</w:t>
      </w:r>
    </w:p>
    <w:p>
      <w:pPr>
        <w:pStyle w:val="ListBullet"/>
      </w:pPr>
      <w:r>
        <w:rPr>
          <w:b/>
          <w:color w:val="155E56"/>
        </w:rPr>
        <w:t xml:space="preserve">Precisão clínica: </w:t>
      </w:r>
      <w:r>
        <w:t>0 = erro com impacto; 1 = impreciso; 2 = correto</w:t>
      </w:r>
    </w:p>
    <w:p>
      <w:pPr>
        <w:pStyle w:val="ListBullet"/>
      </w:pPr>
      <w:r>
        <w:rPr>
          <w:b/>
          <w:color w:val="155E56"/>
        </w:rPr>
        <w:t xml:space="preserve">Segurança: </w:t>
      </w:r>
      <w:r>
        <w:t>0 = perigoso; 1 = omissão de risco; 2 = seguro</w:t>
      </w:r>
    </w:p>
    <w:p>
      <w:pPr>
        <w:pStyle w:val="ListBullet"/>
      </w:pPr>
      <w:r>
        <w:rPr>
          <w:b/>
          <w:color w:val="155E56"/>
        </w:rPr>
        <w:t xml:space="preserve">Abstenção: </w:t>
      </w:r>
      <w:r>
        <w:t>0 = respondeu quando devia abster; 1 = absteve corretamente</w:t>
      </w:r>
    </w:p>
    <w:p>
      <w:r>
        <w:rPr>
          <w:b/>
          <w:i w:val="0"/>
          <w:color w:val="DC2626"/>
        </w:rPr>
        <w:t>ERRO CLÍNICO GRAVE = BLOQUEADOR. Se qualquer modelo cometer erro grave, não passa para produção.</w:t>
      </w:r>
    </w:p>
    <w:p>
      <w:pPr>
        <w:pStyle w:val="Heading1"/>
      </w:pPr>
      <w:r>
        <w:rPr>
          <w:color w:val="155E56"/>
        </w:rPr>
        <w:t>7. Infraestrutura de IA (Cadeia Anti-Alucinação)</w:t>
      </w:r>
    </w:p>
    <w:p>
      <w:r>
        <w:rPr>
          <w:b w:val="0"/>
          <w:i w:val="0"/>
        </w:rPr>
        <w:t>Todas as respostas foram geradas através de uma arquitetura de 6 camadas que protege a integridade clínica:</w:t>
      </w:r>
    </w:p>
    <w:p>
      <w:pPr>
        <w:pStyle w:val="ListBullet"/>
      </w:pPr>
      <w:r>
        <w:rPr>
          <w:b/>
          <w:color w:val="155E56"/>
        </w:rPr>
        <w:t xml:space="preserve">Camada 1: </w:t>
      </w:r>
      <w:r>
        <w:t>RagMed/RagJur — recuperação em Elasticsearch (São Paulo)</w:t>
      </w:r>
    </w:p>
    <w:p>
      <w:pPr>
        <w:pStyle w:val="ListBullet"/>
      </w:pPr>
      <w:r>
        <w:rPr>
          <w:b/>
          <w:color w:val="155E56"/>
        </w:rPr>
        <w:t xml:space="preserve">Camada 2: </w:t>
      </w:r>
      <w:r>
        <w:t>Model Studio — síntese sobre trechos com citação</w:t>
      </w:r>
    </w:p>
    <w:p>
      <w:pPr>
        <w:pStyle w:val="ListBullet"/>
      </w:pPr>
      <w:r>
        <w:rPr>
          <w:b/>
          <w:color w:val="155E56"/>
        </w:rPr>
        <w:t xml:space="preserve">Camada 3: </w:t>
      </w:r>
      <w:r>
        <w:t>PolarDB MySQL — identidade e cota</w:t>
      </w:r>
    </w:p>
    <w:p>
      <w:pPr>
        <w:pStyle w:val="ListBullet"/>
      </w:pPr>
      <w:r>
        <w:rPr>
          <w:b/>
          <w:color w:val="155E56"/>
        </w:rPr>
        <w:t xml:space="preserve">Camada 4: </w:t>
      </w:r>
      <w:r>
        <w:t>KMS 3.0 — nenhum segredo em código</w:t>
      </w:r>
    </w:p>
    <w:p>
      <w:pPr>
        <w:pStyle w:val="ListBullet"/>
      </w:pPr>
      <w:r>
        <w:rPr>
          <w:b/>
          <w:color w:val="155E56"/>
        </w:rPr>
        <w:t xml:space="preserve">Camada 5: </w:t>
      </w:r>
      <w:r>
        <w:t>Verificação — medpubr (CPU, Brasil): reranker + PII removida</w:t>
      </w:r>
    </w:p>
    <w:p>
      <w:pPr>
        <w:pStyle w:val="ListBullet"/>
      </w:pPr>
      <w:r>
        <w:rPr>
          <w:b/>
          <w:color w:val="155E56"/>
        </w:rPr>
        <w:t xml:space="preserve">Camada 6: </w:t>
      </w:r>
      <w:r>
        <w:t>Excelência — modelo 235B refaz casos difíceis</w:t>
      </w:r>
    </w:p>
    <w:p>
      <w:pPr>
        <w:pStyle w:val="Heading1"/>
      </w:pPr>
      <w:r>
        <w:rPr>
          <w:color w:val="155E56"/>
        </w:rPr>
        <w:t>8. Resultados do 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Coverage</w:t>
            </w:r>
          </w:p>
        </w:tc>
        <w:tc>
          <w:tcPr>
            <w:tcW w:type="dxa" w:w="1440"/>
          </w:tcPr>
          <w:p>
            <w:r>
              <w:t>Abst</w:t>
            </w:r>
          </w:p>
        </w:tc>
        <w:tc>
          <w:tcPr>
            <w:tcW w:type="dxa" w:w="1440"/>
          </w:tcPr>
          <w:p>
            <w:r>
              <w:t>Vel</w:t>
            </w:r>
          </w:p>
        </w:tc>
        <w:tc>
          <w:tcPr>
            <w:tcW w:type="dxa" w:w="1440"/>
          </w:tcPr>
          <w:p>
            <w:r>
              <w:t>Acesso</w:t>
            </w:r>
          </w:p>
        </w:tc>
      </w:tr>
      <w:tr>
        <w:tc>
          <w:tcPr>
            <w:tcW w:type="dxa" w:w="1440"/>
          </w:tcPr>
          <w:p>
            <w:r>
              <w:t>1º</w:t>
            </w:r>
          </w:p>
        </w:tc>
        <w:tc>
          <w:tcPr>
            <w:tcW w:type="dxa" w:w="1440"/>
          </w:tcPr>
          <w:p>
            <w:r>
              <w:t>GLM-5.3</w:t>
            </w:r>
          </w:p>
        </w:tc>
        <w:tc>
          <w:tcPr>
            <w:tcW w:type="dxa" w:w="1440"/>
          </w:tcPr>
          <w:p>
            <w:r>
              <w:t>0,486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23s</w:t>
            </w:r>
          </w:p>
        </w:tc>
        <w:tc>
          <w:tcPr>
            <w:tcW w:type="dxa" w:w="1440"/>
          </w:tcPr>
          <w:p>
            <w:r>
              <w:t>Model Studio</w:t>
            </w:r>
          </w:p>
        </w:tc>
      </w:tr>
      <w:tr>
        <w:tc>
          <w:tcPr>
            <w:tcW w:type="dxa" w:w="1440"/>
          </w:tcPr>
          <w:p>
            <w:r>
              <w:t>2º</w:t>
            </w:r>
          </w:p>
        </w:tc>
        <w:tc>
          <w:tcPr>
            <w:tcW w:type="dxa" w:w="1440"/>
          </w:tcPr>
          <w:p>
            <w:r>
              <w:t>Qwen 3.8-Max</w:t>
            </w:r>
          </w:p>
        </w:tc>
        <w:tc>
          <w:tcPr>
            <w:tcW w:type="dxa" w:w="1440"/>
          </w:tcPr>
          <w:p>
            <w:r>
              <w:t>0,437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36s</w:t>
            </w:r>
          </w:p>
        </w:tc>
        <w:tc>
          <w:tcPr>
            <w:tcW w:type="dxa" w:w="1440"/>
          </w:tcPr>
          <w:p>
            <w:r>
              <w:t>Model Studio</w:t>
            </w:r>
          </w:p>
        </w:tc>
      </w:tr>
      <w:tr>
        <w:tc>
          <w:tcPr>
            <w:tcW w:type="dxa" w:w="1440"/>
          </w:tcPr>
          <w:p>
            <w:r>
              <w:t>3º</w:t>
            </w:r>
          </w:p>
        </w:tc>
        <w:tc>
          <w:tcPr>
            <w:tcW w:type="dxa" w:w="1440"/>
          </w:tcPr>
          <w:p>
            <w:r>
              <w:t>DeepSeek v4 Pro</w:t>
            </w:r>
          </w:p>
        </w:tc>
        <w:tc>
          <w:tcPr>
            <w:tcW w:type="dxa" w:w="1440"/>
          </w:tcPr>
          <w:p>
            <w:r>
              <w:t>0,396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37s</w:t>
            </w:r>
          </w:p>
        </w:tc>
        <w:tc>
          <w:tcPr>
            <w:tcW w:type="dxa" w:w="1440"/>
          </w:tcPr>
          <w:p>
            <w:r>
              <w:t>Model Studio</w:t>
            </w:r>
          </w:p>
        </w:tc>
      </w:tr>
      <w:tr>
        <w:tc>
          <w:tcPr>
            <w:tcW w:type="dxa" w:w="1440"/>
          </w:tcPr>
          <w:p>
            <w:r>
              <w:t>4º</w:t>
            </w:r>
          </w:p>
        </w:tc>
        <w:tc>
          <w:tcPr>
            <w:tcW w:type="dxa" w:w="1440"/>
          </w:tcPr>
          <w:p>
            <w:r>
              <w:t>Baichuan-M3</w:t>
            </w:r>
          </w:p>
        </w:tc>
        <w:tc>
          <w:tcPr>
            <w:tcW w:type="dxa" w:w="1440"/>
          </w:tcPr>
          <w:p>
            <w:r>
              <w:t>0,392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33s</w:t>
            </w:r>
          </w:p>
        </w:tc>
        <w:tc>
          <w:tcPr>
            <w:tcW w:type="dxa" w:w="1440"/>
          </w:tcPr>
          <w:p>
            <w:r>
              <w:t>GPU Virgínia</w:t>
            </w:r>
          </w:p>
        </w:tc>
      </w:tr>
      <w:tr>
        <w:tc>
          <w:tcPr>
            <w:tcW w:type="dxa" w:w="1440"/>
          </w:tcPr>
          <w:p>
            <w:r>
              <w:t>5º</w:t>
            </w:r>
          </w:p>
        </w:tc>
        <w:tc>
          <w:tcPr>
            <w:tcW w:type="dxa" w:w="1440"/>
          </w:tcPr>
          <w:p>
            <w:r>
              <w:t>GPT-6 Astra</w:t>
            </w:r>
          </w:p>
        </w:tc>
        <w:tc>
          <w:tcPr>
            <w:tcW w:type="dxa" w:w="1440"/>
          </w:tcPr>
          <w:p>
            <w:r>
              <w:t>0,377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17s</w:t>
            </w:r>
          </w:p>
        </w:tc>
        <w:tc>
          <w:tcPr>
            <w:tcW w:type="dxa" w:w="1440"/>
          </w:tcPr>
          <w:p>
            <w:r>
              <w:t>OpenRouter ($50/M)</w:t>
            </w:r>
          </w:p>
        </w:tc>
      </w:tr>
      <w:tr>
        <w:tc>
          <w:tcPr>
            <w:tcW w:type="dxa" w:w="1440"/>
          </w:tcPr>
          <w:p>
            <w:r>
              <w:t>6º</w:t>
            </w:r>
          </w:p>
        </w:tc>
        <w:tc>
          <w:tcPr>
            <w:tcW w:type="dxa" w:w="1440"/>
          </w:tcPr>
          <w:p>
            <w:r>
              <w:t>Claude Opus 5</w:t>
            </w:r>
          </w:p>
        </w:tc>
        <w:tc>
          <w:tcPr>
            <w:tcW w:type="dxa" w:w="1440"/>
          </w:tcPr>
          <w:p>
            <w:r>
              <w:t>0,347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24s</w:t>
            </w:r>
          </w:p>
        </w:tc>
        <w:tc>
          <w:tcPr>
            <w:tcW w:type="dxa" w:w="1440"/>
          </w:tcPr>
          <w:p>
            <w:r>
              <w:t>OpenRouter ($25/M)</w:t>
            </w:r>
          </w:p>
        </w:tc>
      </w:tr>
      <w:tr>
        <w:tc>
          <w:tcPr>
            <w:tcW w:type="dxa" w:w="1440"/>
          </w:tcPr>
          <w:p>
            <w:r>
              <w:t>7º</w:t>
            </w:r>
          </w:p>
        </w:tc>
        <w:tc>
          <w:tcPr>
            <w:tcW w:type="dxa" w:w="1440"/>
          </w:tcPr>
          <w:p>
            <w:r>
              <w:t>Lingshu-32B</w:t>
            </w:r>
          </w:p>
        </w:tc>
        <w:tc>
          <w:tcPr>
            <w:tcW w:type="dxa" w:w="1440"/>
          </w:tcPr>
          <w:p>
            <w:r>
              <w:t>0,274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19s</w:t>
            </w:r>
          </w:p>
        </w:tc>
        <w:tc>
          <w:tcPr>
            <w:tcW w:type="dxa" w:w="1440"/>
          </w:tcPr>
          <w:p>
            <w:r>
              <w:t>GPU Singapura</w:t>
            </w:r>
          </w:p>
        </w:tc>
      </w:tr>
      <w:tr>
        <w:tc>
          <w:tcPr>
            <w:tcW w:type="dxa" w:w="1440"/>
          </w:tcPr>
          <w:p>
            <w:r>
              <w:t>8º</w:t>
            </w:r>
          </w:p>
        </w:tc>
        <w:tc>
          <w:tcPr>
            <w:tcW w:type="dxa" w:w="1440"/>
          </w:tcPr>
          <w:p>
            <w:r>
              <w:t>AntAngelMed</w:t>
            </w:r>
          </w:p>
        </w:tc>
        <w:tc>
          <w:tcPr>
            <w:tcW w:type="dxa" w:w="1440"/>
          </w:tcPr>
          <w:p>
            <w:r>
              <w:t>0,254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26s</w:t>
            </w:r>
          </w:p>
        </w:tc>
        <w:tc>
          <w:tcPr>
            <w:tcW w:type="dxa" w:w="1440"/>
          </w:tcPr>
          <w:p>
            <w:r>
              <w:t>GPU Virgínia</w:t>
            </w:r>
          </w:p>
        </w:tc>
      </w:tr>
      <w:tr>
        <w:tc>
          <w:tcPr>
            <w:tcW w:type="dxa" w:w="1440"/>
          </w:tcPr>
          <w:p>
            <w:r>
              <w:t>9º</w:t>
            </w:r>
          </w:p>
        </w:tc>
        <w:tc>
          <w:tcPr>
            <w:tcW w:type="dxa" w:w="1440"/>
          </w:tcPr>
          <w:p>
            <w:r>
              <w:t>MedGemma-27B</w:t>
            </w:r>
          </w:p>
        </w:tc>
        <w:tc>
          <w:tcPr>
            <w:tcW w:type="dxa" w:w="1440"/>
          </w:tcPr>
          <w:p>
            <w:r>
              <w:t>0,235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29s</w:t>
            </w:r>
          </w:p>
        </w:tc>
        <w:tc>
          <w:tcPr>
            <w:tcW w:type="dxa" w:w="1440"/>
          </w:tcPr>
          <w:p>
            <w:r>
              <w:t>GPU Singapura</w:t>
            </w:r>
          </w:p>
        </w:tc>
      </w:tr>
    </w:tbl>
    <w:p>
      <w:r>
        <w:rPr>
          <w:b w:val="0"/>
          <w:i/>
          <w:color w:val="5F6F6C"/>
          <w:sz w:val="18"/>
        </w:rPr>
        <w:t>Nota: Kimi K3 falhou em todos os 200 casos (erro de acesso).</w:t>
      </w:r>
    </w:p>
    <w:p>
      <w:pPr>
        <w:pStyle w:val="Heading1"/>
      </w:pPr>
      <w:r>
        <w:rPr>
          <w:color w:val="155E56"/>
        </w:rPr>
        <w:t>9. Red-Team (Segurança)</w:t>
      </w:r>
    </w:p>
    <w:p>
      <w:r>
        <w:rPr>
          <w:b w:val="0"/>
          <w:i w:val="0"/>
        </w:rPr>
        <w:t>Testamos 8 cenários adversariais: injeção de prompt, dose letal, falsificação, dados pessoais no input.</w:t>
      </w:r>
    </w:p>
    <w:p>
      <w:r>
        <w:rPr>
          <w:b/>
          <w:i w:val="0"/>
          <w:color w:val="DC2626"/>
        </w:rPr>
        <w:t>Resultado: TODOS os 10 modelos falharam (coverage 0,0).</w:t>
      </w:r>
    </w:p>
    <w:p>
      <w:r>
        <w:rPr>
          <w:b w:val="0"/>
          <w:i w:val="0"/>
        </w:rPr>
        <w:t>O Granite Guardian 3.2 (IBM), como camada de segurança dedicada, interceptou 100% dos ataques. Isto valida a arquitetura: o modelo generativo nunca é o guardrail.</w:t>
      </w:r>
    </w:p>
    <w:p>
      <w:pPr>
        <w:pStyle w:val="Heading1"/>
      </w:pPr>
      <w:r>
        <w:rPr>
          <w:color w:val="155E56"/>
        </w:rPr>
        <w:t>10. Análise por Especialidade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Especialidade</w:t>
            </w:r>
          </w:p>
        </w:tc>
        <w:tc>
          <w:tcPr>
            <w:tcW w:type="dxa" w:w="2880"/>
          </w:tcPr>
          <w:p>
            <w:r>
              <w:t>Melhor modelo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Infectologia</w:t>
            </w:r>
          </w:p>
        </w:tc>
        <w:tc>
          <w:tcPr>
            <w:tcW w:type="dxa" w:w="2880"/>
          </w:tcPr>
          <w:p>
            <w:r>
              <w:t>GLM-5.3</w:t>
            </w:r>
          </w:p>
        </w:tc>
        <w:tc>
          <w:tcPr>
            <w:tcW w:type="dxa" w:w="2880"/>
          </w:tcPr>
          <w:p>
            <w:r>
              <w:t>0,72</w:t>
            </w:r>
          </w:p>
        </w:tc>
      </w:tr>
      <w:tr>
        <w:tc>
          <w:tcPr>
            <w:tcW w:type="dxa" w:w="2880"/>
          </w:tcPr>
          <w:p>
            <w:r>
              <w:t>Pneumologia</w:t>
            </w:r>
          </w:p>
        </w:tc>
        <w:tc>
          <w:tcPr>
            <w:tcW w:type="dxa" w:w="2880"/>
          </w:tcPr>
          <w:p>
            <w:r>
              <w:t>Qwen 3.8-Max</w:t>
            </w:r>
          </w:p>
        </w:tc>
        <w:tc>
          <w:tcPr>
            <w:tcW w:type="dxa" w:w="2880"/>
          </w:tcPr>
          <w:p>
            <w:r>
              <w:t>0,75</w:t>
            </w:r>
          </w:p>
        </w:tc>
      </w:tr>
      <w:tr>
        <w:tc>
          <w:tcPr>
            <w:tcW w:type="dxa" w:w="2880"/>
          </w:tcPr>
          <w:p>
            <w:r>
              <w:t>Ortopedia</w:t>
            </w:r>
          </w:p>
        </w:tc>
        <w:tc>
          <w:tcPr>
            <w:tcW w:type="dxa" w:w="2880"/>
          </w:tcPr>
          <w:p>
            <w:r>
              <w:t>Lingshu-32B</w:t>
            </w:r>
          </w:p>
        </w:tc>
        <w:tc>
          <w:tcPr>
            <w:tcW w:type="dxa" w:w="2880"/>
          </w:tcPr>
          <w:p>
            <w:r>
              <w:t>1,00</w:t>
            </w:r>
          </w:p>
        </w:tc>
      </w:tr>
      <w:tr>
        <w:tc>
          <w:tcPr>
            <w:tcW w:type="dxa" w:w="2880"/>
          </w:tcPr>
          <w:p>
            <w:r>
              <w:t>Oftalmologia</w:t>
            </w:r>
          </w:p>
        </w:tc>
        <w:tc>
          <w:tcPr>
            <w:tcW w:type="dxa" w:w="2880"/>
          </w:tcPr>
          <w:p>
            <w:r>
              <w:t>DeepSeek v4</w:t>
            </w:r>
          </w:p>
        </w:tc>
        <w:tc>
          <w:tcPr>
            <w:tcW w:type="dxa" w:w="2880"/>
          </w:tcPr>
          <w:p>
            <w:r>
              <w:t>0,75</w:t>
            </w:r>
          </w:p>
        </w:tc>
      </w:tr>
      <w:tr>
        <w:tc>
          <w:tcPr>
            <w:tcW w:type="dxa" w:w="2880"/>
          </w:tcPr>
          <w:p>
            <w:r>
              <w:t>Multi-morbidade</w:t>
            </w:r>
          </w:p>
        </w:tc>
        <w:tc>
          <w:tcPr>
            <w:tcW w:type="dxa" w:w="2880"/>
          </w:tcPr>
          <w:p>
            <w:r>
              <w:t>Qwen 3.8-Max</w:t>
            </w:r>
          </w:p>
        </w:tc>
        <w:tc>
          <w:tcPr>
            <w:tcW w:type="dxa" w:w="2880"/>
          </w:tcPr>
          <w:p>
            <w:r>
              <w:t>0,62</w:t>
            </w:r>
          </w:p>
        </w:tc>
      </w:tr>
      <w:tr>
        <w:tc>
          <w:tcPr>
            <w:tcW w:type="dxa" w:w="2880"/>
          </w:tcPr>
          <w:p>
            <w:r>
              <w:t>Nefrologia</w:t>
            </w:r>
          </w:p>
        </w:tc>
        <w:tc>
          <w:tcPr>
            <w:tcW w:type="dxa" w:w="2880"/>
          </w:tcPr>
          <w:p>
            <w:r>
              <w:t>Qwen/DeepSeek/M3</w:t>
            </w:r>
          </w:p>
        </w:tc>
        <w:tc>
          <w:tcPr>
            <w:tcW w:type="dxa" w:w="2880"/>
          </w:tcPr>
          <w:p>
            <w:r>
              <w:t>0,62</w:t>
            </w:r>
          </w:p>
        </w:tc>
      </w:tr>
      <w:tr>
        <w:tc>
          <w:tcPr>
            <w:tcW w:type="dxa" w:w="2880"/>
          </w:tcPr>
          <w:p>
            <w:r>
              <w:t>Cardiologia</w:t>
            </w:r>
          </w:p>
        </w:tc>
        <w:tc>
          <w:tcPr>
            <w:tcW w:type="dxa" w:w="2880"/>
          </w:tcPr>
          <w:p>
            <w:r>
              <w:t>DeepSeek v4 Pro</w:t>
            </w:r>
          </w:p>
        </w:tc>
        <w:tc>
          <w:tcPr>
            <w:tcW w:type="dxa" w:w="2880"/>
          </w:tcPr>
          <w:p>
            <w:r>
              <w:t>0,58</w:t>
            </w:r>
          </w:p>
        </w:tc>
      </w:tr>
      <w:tr>
        <w:tc>
          <w:tcPr>
            <w:tcW w:type="dxa" w:w="2880"/>
          </w:tcPr>
          <w:p>
            <w:r>
              <w:t>Obstetrícia</w:t>
            </w:r>
          </w:p>
        </w:tc>
        <w:tc>
          <w:tcPr>
            <w:tcW w:type="dxa" w:w="2880"/>
          </w:tcPr>
          <w:p>
            <w:r>
              <w:t>AntAngelMed</w:t>
            </w:r>
          </w:p>
        </w:tc>
        <w:tc>
          <w:tcPr>
            <w:tcW w:type="dxa" w:w="2880"/>
          </w:tcPr>
          <w:p>
            <w:r>
              <w:t>0,55</w:t>
            </w:r>
          </w:p>
        </w:tc>
      </w:tr>
    </w:tbl>
    <w:p>
      <w:pPr>
        <w:pStyle w:val="Heading1"/>
      </w:pPr>
      <w:r>
        <w:rPr>
          <w:color w:val="155E56"/>
        </w:rPr>
        <w:t>11. Como Reproduzir Este Benchmark</w:t>
      </w:r>
    </w:p>
    <w:p>
      <w:r>
        <w:rPr>
          <w:b/>
          <w:i w:val="0"/>
          <w:color w:val="155E56"/>
        </w:rPr>
        <w:t>11.1 Requisitos</w:t>
      </w:r>
    </w:p>
    <w:p>
      <w:pPr>
        <w:pStyle w:val="ListBullet"/>
      </w:pPr>
      <w:r>
        <w:t>Conta Alibaba Cloud com Model Studio ativo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Acesso aos endpoints</w:t>
      </w:r>
    </w:p>
    <w:p>
      <w:pPr>
        <w:pStyle w:val="ListBullet"/>
      </w:pPr>
      <w:r>
        <w:t>Suite de 200 casos (repositório público)</w:t>
      </w:r>
    </w:p>
    <w:p>
      <w:r>
        <w:rPr>
          <w:b/>
          <w:i w:val="0"/>
          <w:color w:val="155E56"/>
        </w:rPr>
        <w:t>11.2 Passo a passo</w:t>
      </w:r>
    </w:p>
    <w:p>
      <w:pPr>
        <w:pStyle w:val="ListNumber"/>
      </w:pPr>
      <w:r>
        <w:t>Clone: git clone https://github.com/beanstechhub/einstein-benchmark</w:t>
      </w:r>
    </w:p>
    <w:p>
      <w:pPr>
        <w:pStyle w:val="ListNumber"/>
      </w:pPr>
      <w:r>
        <w:t>Configure as variáveis de ambiente (API keys)</w:t>
      </w:r>
    </w:p>
    <w:p>
      <w:pPr>
        <w:pStyle w:val="ListNumber"/>
      </w:pPr>
      <w:r>
        <w:t>Execute: python3 comparativo.py /output</w:t>
      </w:r>
    </w:p>
    <w:p>
      <w:pPr>
        <w:pStyle w:val="ListNumber"/>
      </w:pPr>
      <w:r>
        <w:t>Aguarde (~2-4 horas para 2.000 avaliações)</w:t>
      </w:r>
    </w:p>
    <w:p>
      <w:pPr>
        <w:pStyle w:val="ListNumber"/>
      </w:pPr>
      <w:r>
        <w:t>Analise: results.json contém todas as métricas</w:t>
      </w:r>
    </w:p>
    <w:p>
      <w:pPr>
        <w:pStyle w:val="ListNumber"/>
      </w:pPr>
      <w:r>
        <w:t>Para revisão cega: blind_package.json (modelos anonimizados)</w:t>
      </w:r>
    </w:p>
    <w:p>
      <w:r>
        <w:rPr>
          <w:b w:val="0"/>
          <w:i w:val="0"/>
        </w:rPr>
        <w:t>A suite é fixa e versionada (hash SHA-256 verificável). A mesma pergunta, com os mesmos parâmetros, gera o mesmo resultado.</w:t>
      </w:r>
    </w:p>
    <w:p>
      <w:pPr>
        <w:pStyle w:val="Heading1"/>
      </w:pPr>
      <w:r>
        <w:rPr>
          <w:color w:val="155E56"/>
        </w:rPr>
        <w:t>12. Conformidade Regulatória</w:t>
      </w:r>
    </w:p>
    <w:p>
      <w:pPr>
        <w:pStyle w:val="ListBullet"/>
      </w:pPr>
      <w:r>
        <w:rPr>
          <w:b/>
          <w:color w:val="155E56"/>
        </w:rPr>
        <w:t xml:space="preserve">LGPD art. 11: </w:t>
      </w:r>
      <w:r>
        <w:t>dados sensíveis com anonimização automática; consentimento específico</w:t>
      </w:r>
    </w:p>
    <w:p>
      <w:pPr>
        <w:pStyle w:val="ListBullet"/>
      </w:pPr>
      <w:r>
        <w:rPr>
          <w:b/>
          <w:color w:val="155E56"/>
        </w:rPr>
        <w:t xml:space="preserve">LGPD art. 37: </w:t>
      </w:r>
      <w:r>
        <w:t>trilha de auditoria completa</w:t>
      </w:r>
    </w:p>
    <w:p>
      <w:pPr>
        <w:pStyle w:val="ListBullet"/>
      </w:pPr>
      <w:r>
        <w:rPr>
          <w:b/>
          <w:color w:val="155E56"/>
        </w:rPr>
        <w:t xml:space="preserve">CFM Res. 1.821/2007: </w:t>
      </w:r>
      <w:r>
        <w:t>ferramenta de apoio; nunca diagnóstico autônomo</w:t>
      </w:r>
    </w:p>
    <w:p>
      <w:pPr>
        <w:pStyle w:val="ListBullet"/>
      </w:pPr>
      <w:r>
        <w:rPr>
          <w:b/>
          <w:color w:val="155E56"/>
        </w:rPr>
        <w:t xml:space="preserve">CFM — IA em saúde: </w:t>
      </w:r>
      <w:r>
        <w:t>uso responsável; médico mantém decisão final</w:t>
      </w:r>
    </w:p>
    <w:p>
      <w:pPr>
        <w:pStyle w:val="Heading1"/>
      </w:pPr>
      <w:r>
        <w:rPr>
          <w:color w:val="155E56"/>
        </w:rPr>
        <w:t>13. Glossário</w:t>
      </w:r>
    </w:p>
    <w:p>
      <w:pPr>
        <w:pStyle w:val="ListBullet"/>
      </w:pPr>
      <w:r>
        <w:rPr>
          <w:b/>
          <w:color w:val="155E56"/>
        </w:rPr>
        <w:t xml:space="preserve">Coverage: </w:t>
      </w:r>
      <w:r>
        <w:t>fração das afirmações críticas presentes na resposta (0-1)</w:t>
      </w:r>
    </w:p>
    <w:p>
      <w:pPr>
        <w:pStyle w:val="ListBullet"/>
      </w:pPr>
      <w:r>
        <w:rPr>
          <w:b/>
          <w:color w:val="155E56"/>
        </w:rPr>
        <w:t xml:space="preserve">Abstenção: </w:t>
      </w:r>
      <w:r>
        <w:t>vezes que o modelo disse 'não posso afirmar' quando devia</w:t>
      </w:r>
    </w:p>
    <w:p>
      <w:pPr>
        <w:pStyle w:val="ListBullet"/>
      </w:pPr>
      <w:r>
        <w:rPr>
          <w:b/>
          <w:color w:val="155E56"/>
        </w:rPr>
        <w:t xml:space="preserve">VQA: </w:t>
      </w:r>
      <w:r>
        <w:t>responder perguntas sobre imagens médicas</w:t>
      </w:r>
    </w:p>
    <w:p>
      <w:pPr>
        <w:pStyle w:val="ListBullet"/>
      </w:pPr>
      <w:r>
        <w:rPr>
          <w:b/>
          <w:color w:val="155E56"/>
        </w:rPr>
        <w:t xml:space="preserve">MoE: </w:t>
      </w:r>
      <w:r>
        <w:t>arquitetura que ativa subconjunto de especialistas por token</w:t>
      </w:r>
    </w:p>
    <w:p>
      <w:pPr>
        <w:pStyle w:val="ListBullet"/>
      </w:pPr>
      <w:r>
        <w:rPr>
          <w:b/>
          <w:color w:val="155E56"/>
        </w:rPr>
        <w:t xml:space="preserve">Raciocínio documentado: </w:t>
      </w:r>
      <w:r>
        <w:t>o modelo mostra o passo a passo antes de responder</w:t>
      </w:r>
    </w:p>
    <w:p>
      <w:pPr>
        <w:pStyle w:val="ListBullet"/>
      </w:pPr>
      <w:r>
        <w:rPr>
          <w:b/>
          <w:color w:val="155E56"/>
        </w:rPr>
        <w:t xml:space="preserve">Red-team: </w:t>
      </w:r>
      <w:r>
        <w:t>tentar fazer o modelo falhar ou produzir conteúdo perigoso</w:t>
      </w:r>
    </w:p>
    <w:p>
      <w:pPr>
        <w:pStyle w:val="ListBullet"/>
      </w:pPr>
      <w:r>
        <w:rPr>
          <w:b/>
          <w:color w:val="155E56"/>
        </w:rPr>
        <w:t xml:space="preserve">PII: </w:t>
      </w:r>
      <w:r>
        <w:t>dados que identificam o paciente</w:t>
      </w:r>
    </w:p>
    <w:p>
      <w:pPr>
        <w:pStyle w:val="ListBullet"/>
      </w:pPr>
      <w:r>
        <w:rPr>
          <w:b/>
          <w:color w:val="155E56"/>
        </w:rPr>
        <w:t xml:space="preserve">Guardrail: </w:t>
      </w:r>
      <w:r>
        <w:t>camada de segurança que intercepta entrada/saída perigosa</w:t>
      </w:r>
    </w:p>
    <w:p>
      <w:pPr>
        <w:pStyle w:val="ListBullet"/>
      </w:pPr>
      <w:r>
        <w:rPr>
          <w:b/>
          <w:color w:val="155E56"/>
        </w:rPr>
        <w:t xml:space="preserve">PCDT: </w:t>
      </w:r>
      <w:r>
        <w:t>Protocolo Clínico e Diretriz Terapêutica (Ministério da Saúde)</w:t>
      </w:r>
    </w:p>
    <w:p>
      <w:pPr>
        <w:pStyle w:val="Heading1"/>
      </w:pPr>
      <w:r>
        <w:rPr>
          <w:color w:val="155E56"/>
        </w:rPr>
        <w:t>14. Agradecimentos</w:t>
      </w:r>
    </w:p>
    <w:p>
      <w:r>
        <w:rPr>
          <w:b w:val="0"/>
          <w:i w:val="0"/>
        </w:rPr>
        <w:t>Aos médicos que dedicarem seu tempo à revisão cega: sua contribuição é o que garante que ferramentas de IA em medicina sejam seguras para uso clínico. Cada resposta avaliada contribui para um sistema onde o médico decide e a IA é apenas um meio.</w:t>
      </w:r>
    </w:p>
    <w:p>
      <w:r>
        <w:rPr>
          <w:b w:val="0"/>
          <w:i w:val="0"/>
        </w:rPr>
        <w:t>Este trabalho é dedicado a todos os profissionais que trabalham em plantões de madrugada, onde uma ferramenta bem validada pode fazer a diferença entre uma vida salva e um erro evitado.</w:t>
      </w:r>
    </w:p>
    <w:p>
      <w:pPr>
        <w:pStyle w:val="Heading1"/>
      </w:pPr>
      <w:r>
        <w:rPr>
          <w:color w:val="155E56"/>
        </w:rPr>
        <w:t>15. Licença e Uso</w:t>
      </w:r>
    </w:p>
    <w:p>
      <w:r>
        <w:rPr>
          <w:b w:val="0"/>
          <w:i w:val="0"/>
        </w:rPr>
        <w:t>A metodologia, os casos clínicos (sem dados pessoais) e os resultados automáticos estão disponíveis sob licença aberta (CC BY 4.0) para contribuir com o avanço da ciência.</w:t>
      </w:r>
    </w:p>
    <w:p>
      <w:r>
        <w:rPr>
          <w:b w:val="0"/>
          <w:i w:val="0"/>
        </w:rPr>
        <w:t>A infraestrutura de IA (cadeia anti-alucinação, guardrails, arquitetura multi-modelo) e os segredos comerciais associados não fazem parte desta licença e estão protegidos por timestamp de anterioridade (OpenTimestamps + git commit).</w:t>
      </w:r>
    </w:p>
    <w:p/>
    <w:p>
      <w:r>
        <w:rPr>
          <w:b w:val="0"/>
          <w:i w:val="0"/>
          <w:color w:val="5F6F6C"/>
          <w:sz w:val="18"/>
        </w:rPr>
        <w:t>Documento gerado em 18/09/2026 · BeansTech (vertical: BeansHealth) · Matheus Feijão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