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6.png" ContentType="image/png"/>
  <Override PartName="/word/media/rId30.png" ContentType="image/png"/>
  <Override PartName="/word/media/rId15.png" ContentType="image/png"/>
  <Override PartName="/word/media/rId51.png" ContentType="image/png"/>
  <Override PartName="/word/media/rId56.png" ContentType="image/png"/>
  <Override PartName="/word/media/rId35.png" ContentType="image/png"/>
  <Override PartName="/word/media/rId21.png" ContentType="image/png"/>
  <Override PartName="/word/media/rId151.png" ContentType="image/png"/>
  <Override PartName="/word/media/rId187.png" ContentType="image/png"/>
  <Override PartName="/word/media/rId191.png" ContentType="image/png"/>
  <Override PartName="/word/media/rId195.png" ContentType="image/png"/>
  <Override PartName="/word/media/rId155.png" ContentType="image/png"/>
  <Override PartName="/word/media/rId159.png" ContentType="image/png"/>
  <Override PartName="/word/media/rId163.png" ContentType="image/png"/>
  <Override PartName="/word/media/rId167.png" ContentType="image/png"/>
  <Override PartName="/word/media/rId171.png" ContentType="image/png"/>
  <Override PartName="/word/media/rId175.png" ContentType="image/png"/>
  <Override PartName="/word/media/rId179.png" ContentType="image/png"/>
  <Override PartName="/word/media/rId183.png" ContentType="image/png"/>
  <Override PartName="/word/media/rId70.png" ContentType="image/png"/>
  <Override PartName="/word/media/rId83.png" ContentType="image/png"/>
  <Override PartName="/word/media/rId75.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Winning and Attendance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2026-06-16</w:t>
      </w:r>
    </w:p>
    <w:p>
      <w:pPr>
        <w:pStyle w:val="AbstractTitle"/>
      </w:pPr>
      <w:r>
        <w:t xml:space="preserve">Abstract</w:t>
      </w:r>
    </w:p>
    <w:p>
      <w:pPr>
        <w:pStyle w:val="Abstract"/>
      </w:pPr>
      <w:r>
        <w:t xml:space="preserve">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3"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 Again during the CBA renegotiations in 2025, NBA and WNBA leadership made similar negative claims about the women’s league’s long term viability. While league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breaking down further the underlying components of this trend is necessary both to explain and sustain this growth. For decades, league officials and sports economists have debated the primary drivers of game attendance, identifying game-related and market-related factors impacting fan interest and game attendance. Much of this research, beginning with foundational work in the 1970s, assumes that fans are more likely to attend games when the home team is expected to do well. This relationship is widely tested and supported in men’s professional sports, but women’s leagues and the WNBA in particular are still largely underresearched. 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variable for public interest in the WNBA. In this paper we set out to determine how the underlying causes shaping game attendance work to explain these more recent trends, and specifically whether on-court factors are becoming more important to WNBA game attendance in recent years.</w:t>
      </w:r>
    </w:p>
    <w:bookmarkStart w:id="10" w:name="Xd2e284202717398cdbaebcfbf2b0a1f4c6214f8"/>
    <w:p>
      <w:pPr>
        <w:pStyle w:val="Heading3"/>
      </w:pPr>
      <w:r>
        <w:t xml:space="preserve">1.1 Existing scholarship on team performance and game attendance</w:t>
      </w:r>
    </w:p>
    <w:p>
      <w:pPr>
        <w:pStyle w:val="FirstParagraph"/>
      </w:pPr>
      <w:r>
        <w:t xml:space="preserve">A key line of research in sports economics links fan demand to expectations about game outcomes. Early work such as the uncertainty-of-outcome hypothesis suggests that attendance is higher when game results are less predictable, increasing perceived excitement. In their 2014 paper, Coates et al. use more recent behavioral economics models to suggest that people evaluate gains and losses relative to a reference point and tend to dislike losses more than they like equivalent wins</w:t>
      </w:r>
      <w:r>
        <w:t xml:space="preserve"> </w:t>
      </w:r>
      <w:r>
        <w:t xml:space="preserve">(Coates et al. 2014)</w:t>
      </w:r>
      <w:r>
        <w:t xml:space="preserve">. They argue that applying this idea of loss aversion may better explain why fans choose to go games than the uncertainty of outcome hypothesis. They use MLB live-game attendance data to find attendance patterns consistent with the hypothesis that fans are less likely to attend games in which they expect the home-team to lose</w:t>
      </w:r>
      <w:r>
        <w:t xml:space="preserve"> </w:t>
      </w:r>
      <w:r>
        <w:t xml:space="preserve">(Coates et al. 2014)</w:t>
      </w:r>
      <w:r>
        <w:t xml:space="preserve">. 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br/>
      </w: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w:t>
      </w:r>
      <w:r>
        <w:t xml:space="preserve"> </w:t>
      </w:r>
      <w:r>
        <w:t xml:space="preserve">Woltring et al.</w:t>
      </w:r>
      <w:r>
        <w:t xml:space="preserve"> </w:t>
      </w:r>
      <w:r>
        <w:t xml:space="preserve">2018; Kim and Chang 2023; DeSchriver and Jensen 2002; Paul et al. 2019)</w:t>
      </w:r>
      <w:r>
        <w:t xml:space="preserve">.</w:t>
      </w:r>
    </w:p>
    <w:p>
      <w:pPr>
        <w:pStyle w:val="BodyText"/>
      </w:pPr>
      <w:r>
        <w:t xml:space="preserve">The relationship between attendance and winning percentage has been examined, but such</w:t>
      </w:r>
      <w:r>
        <w:t xml:space="preserve"> </w:t>
      </w:r>
      <w:r>
        <w:t xml:space="preserve">studies often look at winning percentage as causation for attendance.</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 though the study did not establish causation both ways.</w:t>
      </w:r>
      <w:r>
        <w:t xml:space="preserve"> </w:t>
      </w:r>
      <w:r>
        <w:t xml:space="preserve">Lemke et al. (2010)</w:t>
      </w:r>
      <w:r>
        <w:t xml:space="preserve"> </w:t>
      </w:r>
      <w:r>
        <w:t xml:space="preserve">found attendance increases as home team win probability increases. There is evidence that causation may run from attendance to winning percentage, but the bulk of the literature has been researched the other way.</w:t>
      </w:r>
    </w:p>
    <w:p>
      <w:pPr>
        <w:pStyle w:val="BodyText"/>
      </w:pPr>
      <w:r>
        <w:t xml:space="preserve">Finally, situating these revenue models within the broader league structure, sports economists have written extensively about the relationship between winningness and team revenue, particularly about how competitive balance benefits teams across the league in generating revenue. 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 In their study of competitive balance in NCAA basketball, Perline et al. found that the women’s game was significantly less balanced than the men’s game, looking at the standard deviation and the range of winning percentages for teams in the women’s Division I</w:t>
      </w:r>
      <w:r>
        <w:t xml:space="preserve"> </w:t>
      </w:r>
      <w:r>
        <w:t xml:space="preserve">(Perline et al. 2018)</w:t>
      </w:r>
      <w:r>
        <w:t xml:space="preserve">. They hypothesize that the difference in the competitive balance of the men’s and women’s games could be one cause of lower revenue generation and attendance in the women’s game.</w:t>
      </w:r>
    </w:p>
    <w:bookmarkEnd w:id="10"/>
    <w:bookmarkStart w:id="12" w:name="why-is-the-wnba-different"/>
    <w:p>
      <w:pPr>
        <w:pStyle w:val="Heading3"/>
      </w:pPr>
      <w:r>
        <w:t xml:space="preserve">1.2 Why is the WNBA different?</w:t>
      </w:r>
    </w:p>
    <w:p>
      <w:pPr>
        <w:pStyle w:val="FirstParagraph"/>
      </w:pPr>
      <w:r>
        <w:t xml:space="preserve">In their study of attendance determinants in the WNBA, Agha and Berri argue that a major reason why attendance is considerably lower at WNBA games than NBA games is that the women’s league is still in its early years, only beginning play in 1997 compared to the NBA’s 1946. To account for this, they compare attendance in the tenth season of the WNBA (2006) and the NBA (1955/56) (Agha and Berri, 2023, p. 36.) In their respective tenth years, the WNBA average attendance per home game exceeded the NBA’s by more than 2,000 fans per game. This comparison suggests that the current disparity in attendance between the women’s and men’s league should not be interpreted as a lack of demand, but rather a sign of the league’s maturity. Considering the league’s age as a factor in demand for attendance, it is interesting to inquire further into whether patterns of fan behavior change as the league matures. Agha and Berri attempt to establish whether different forces shape demand for attendance in the WNBA and the NBA, finding that team performance was not a statistically significant predictor of game attendance in the WNBA. As noted above, this is contrary to the virtually unanimous finding in the existing scholarship for men’s leagues. However, their study only employed data from 2004 through 2017 and thus can not capture the more recent improvements in attendance shown in figure 1. They also measure a team’s strength using the team’s winning percentage from the previous year which raises issues because fans are more likely to respond to the more recent performance of the team. Thus, while a team’s win percentage in 2016 might have an appreciable impact on the team’s attendance at the beginning of the 2017 season, as the season wears on, this impact should consistently diminish. For this reason, we chose to use a team’s ELO rating as the measure of team strength because the ELO rating updates with each game, thus more accurately reflecting the information that fans have access to in deciding to attend games.</w:t>
      </w:r>
    </w:p>
    <w:p>
      <w:pPr>
        <w:pStyle w:val="BodyText"/>
      </w:pPr>
      <w:r>
        <w:t xml:space="preserve">Despite the issues with Agha and Berri’s study, their observation that between 2004 and 2017 the relationship between team strength and attendance in the WNBA was weak is not incorrect. The disparity between raw attendance numbers and attendance driving factors in the NBA and WNBA cannot be attributed to the age of the leagues alone. Additional important factors include: the WNBA plays during the summer months in order to promote arena use outside of the NBA season; there is less money spent on promotion; reduced media coverage; historical prejudice; arena amenities and age; and ticket prices, among others. 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 Factors like the summer season, reduced media coverage, and the association of game attendance with feminist causes all contribute to the argument that the WNBA functions fundamentally differently to the NBA- at least in terms of attendance drivers. This conception of the WNBA as fundamentally different from the NBA is dangerous both to the league’s reputation and future growth, motivating our more thorough examination of game attendance in the context of the league’s history.</w:t>
      </w:r>
    </w:p>
    <w:p>
      <w:pPr>
        <w:pStyle w:val="BodyText"/>
      </w:pPr>
      <w:r>
        <w:t xml:space="preserve">It is reasonable to anticipate that as women’s sports mature and are perceived increasingly as a normal sports league, rather than a political concession or oddity, they will begin to assert similar fan demand characteristics. In particular, fan demand will become more responsive to team quality. Using game attendance</w:t>
      </w:r>
      <w:r>
        <w:rPr>
          <w:rStyle w:val="FootnoteReference"/>
        </w:rPr>
        <w:footnoteReference w:id="11"/>
      </w:r>
      <w:r>
        <w:t xml:space="preserve"> </w:t>
      </w:r>
      <w:r>
        <w:t xml:space="preserve">and team performance data from 1997 through 2025, we test these hypotheses. In viewing more recent attendance figures for the WNBA in the context of the league’s history, we hoped to determine whether predictors of attendance have shifted over time, due to the WNBA’s relative instability as a young league. Specifically, we find that in recent years the strength of the effect of a game’s uncertainty, the strength of both teams, and the likelihood of a home team win, on game attendance has increased, paralleling documented trends in men’s leagues.</w:t>
      </w:r>
    </w:p>
    <w:bookmarkEnd w:id="12"/>
    <w:bookmarkEnd w:id="13"/>
    <w:bookmarkStart w:id="29" w:name="sec-data"/>
    <w:p>
      <w:pPr>
        <w:pStyle w:val="Heading2"/>
      </w:pPr>
      <w:r>
        <w:t xml:space="preserve">2 Data</w:t>
      </w:r>
    </w:p>
    <w:bookmarkStart w:id="20" w:name="game-logs-and-attendance"/>
    <w:p>
      <w:pPr>
        <w:pStyle w:val="Heading3"/>
      </w:pPr>
      <w:r>
        <w:t xml:space="preserve">2.1 Game logs and attendance</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(Across the Timeline, n.d.)</w:t>
      </w:r>
      <w:r>
        <w:t xml:space="preserve">, an online repository for women’s basketball data. The site collects attendance numbers directly from the league’s records. Attendance data was unavailable for only 152 games, while (due to the COVID-19 pandemic) 2 games (accurately) recorded attendance of 0. Because the arenas WNBA teams play in vary widely in size– the New York Liberty alone have called both the Barclays Center (17,732 seat capacity) and the Westchester County Center (2,300 seat capacity) home in recent years– we contextualize raw attendance numbers by approximating the capacity of each game venue. Because accurate records of arena configurations and capacities were difficult to obtain (particularly for venues not still in use) we approximated the practical capacity of each space by pulling the maximally attended game for each venue. While teams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 The game-level performance data include</w:t>
      </w:r>
      <w:r>
        <w:t xml:space="preserve"> </w:t>
      </w:r>
      <w:r>
        <w:t xml:space="preserve">These data include the final score of the game.</w:t>
      </w:r>
      <w:r>
        <w:t xml:space="preserve"> </w:t>
      </w:r>
      <w:r>
        <w:t xml:space="preserve">We also used the</w:t>
      </w:r>
      <w:r>
        <w:t xml:space="preserve"> </w:t>
      </w:r>
      <w:r>
        <w:rPr>
          <w:b/>
          <w:bCs/>
        </w:rPr>
        <w:t xml:space="preserve">wehoop</w:t>
      </w:r>
      <w:r>
        <w:t xml:space="preserve"> </w:t>
      </w:r>
      <w:r>
        <w:t xml:space="preserve">package to identify whether Caitlin Clark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Caitlin Clark played in the game, are recorded.</w:t>
      </w:r>
    </w:p>
    <w:tbl>
      <w:tblPr>
        <w:tblStyle w:val="Table"/>
        <w:tblW w:type="pct" w:w="5000"/>
        <w:tblLayout w:type="fixed"/>
        <w:tblLook w:firstRow="0" w:lastRow="0" w:firstColumn="0" w:lastColumn="0" w:noHBand="0" w:noVBand="0" w:val="0000"/>
      </w:tblPr>
      <w:tblGrid>
        <w:gridCol w:w="7920"/>
      </w:tblGrid>
      <w:tr>
        <w:tc>
          <w:tcPr/>
          <w:bookmarkStart w:id="14"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Clark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2014-05-21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Allstate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1999-06-17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Compaq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2007-08-07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AT&amp;T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2023-05-26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Pledge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2006-07-01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Staples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2017-08-18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Capital One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2023-09-05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2011-06-28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2000-07-08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Madison Square Garden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2010-05-29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BOK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played in the game.</w:t>
            </w:r>
          </w:p>
          <w:bookmarkEnd w:id="1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continued to be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The two years preceding the pandemic (2018-2019) had notably lower attendance.</w:t>
      </w:r>
      <w:r>
        <w:t xml:space="preserve"> </w:t>
      </w:r>
      <w:r>
        <w:t xml:space="preserve">Since the pandemic, attendance has rebounded, exceeding its initial levels in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p>
    <w:bookmarkStart w:id="19" w:name="cell-fig-boxplots"/>
    <w:tbl>
      <w:tblPr>
        <w:tblStyle w:val="Table"/>
        <w:tblW w:type="pct" w:w="5000"/>
        <w:tblLayout w:type="fixed"/>
        <w:tblLook w:firstRow="0" w:lastRow="0" w:firstColumn="0" w:lastColumn="0" w:noHBand="0" w:noVBand="0" w:val="0000"/>
      </w:tblPr>
      <w:tblGrid>
        <w:gridCol w:w="7920"/>
      </w:tblGrid>
      <w:tr>
        <w:tc>
          <w:tcPr/>
          <w:bookmarkStart w:id="18" w:name="fig-boxplots"/>
          <w:p>
            <w:pPr>
              <w:pStyle w:val="Compact"/>
              <w:jc w:val="center"/>
            </w:pPr>
            <w:r>
              <w:drawing>
                <wp:inline>
                  <wp:extent cx="4620126" cy="3696101"/>
                  <wp:effectExtent b="0" l="0" r="0" t="0"/>
                  <wp:docPr descr="" title="" id="16" name="Picture"/>
                  <a:graphic>
                    <a:graphicData uri="http://schemas.openxmlformats.org/drawingml/2006/picture">
                      <pic:pic>
                        <pic:nvPicPr>
                          <pic:cNvPr descr="index_files/figure-docx/fig-boxplots-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Clark’s games in 2024-2025 are separated by color.</w:t>
            </w:r>
          </w:p>
          <w:bookmarkEnd w:id="1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End w:id="20"/>
    <w:bookmarkStart w:id="26" w:name="sec-elo"/>
    <w:p>
      <w:pPr>
        <w:pStyle w:val="Heading3"/>
      </w:pPr>
      <w:r>
        <w:t xml:space="preserve">2.2 Estimating team strength</w:t>
      </w:r>
    </w:p>
    <w:p>
      <w:pPr>
        <w:pStyle w:val="FirstParagraph"/>
      </w:pPr>
      <w:r>
        <w:t xml:space="preserve">We used the game-level results data to model the strength of each WNBA team as a time series.</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estimated team strength of both teams. This means that beating a team with a higher Elo rating has a greater positive effect than beating a team with a lower Elo rating, reflecting upsets with more nuance than the win-loss record.</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typically centered at 1500. 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 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d>
            <m:dPr>
              <m:begChr m:val="("/>
              <m:sepChr m:val=""/>
              <m:endChr m:val=")"/>
              <m:grow/>
            </m:dPr>
            <m:e>
              <m:r>
                <m:t>I</m:t>
              </m:r>
              <m:r>
                <m:rPr>
                  <m:sty m:val="p"/>
                </m:rPr>
                <m:t>(</m:t>
              </m:r>
              <m:r>
                <m:t>i</m:t>
              </m:r>
              <m:r>
                <m:rPr>
                  <m:nor/>
                  <m:sty m:val="p"/>
                </m:rPr>
                <m:t> beats </m:t>
              </m:r>
              <m:r>
                <m:t>j</m:t>
              </m:r>
              <m:r>
                <m:rPr>
                  <m:sty m:val="p"/>
                </m:rPr>
                <m:t>)</m:t>
              </m:r>
              <m:r>
                <m:rPr>
                  <m:sty m:val="p"/>
                </m:rPr>
                <m:t>−</m:t>
              </m:r>
              <m:r>
                <m:rPr>
                  <m:sty m:val="p"/>
                </m:rPr>
                <m:t>Pr</m:t>
              </m:r>
              <m:r>
                <m:rPr>
                  <m:sty m:val="p"/>
                </m:rPr>
                <m:t>(</m:t>
              </m:r>
              <m:r>
                <m:t>i</m:t>
              </m:r>
              <m:r>
                <m:rPr>
                  <m:nor/>
                  <m:sty m:val="p"/>
                </m:rPr>
                <m:t> beats </m:t>
              </m:r>
              <m:r>
                <m:t>j</m:t>
              </m:r>
              <m:r>
                <m:rPr>
                  <m:nor/>
                  <m:sty m:val="p"/>
                </m:rPr>
                <m:t> at time </m:t>
              </m:r>
              <m:r>
                <m:t>t</m:t>
              </m:r>
              <m:r>
                <m:rPr>
                  <m:sty m:val="p"/>
                </m:rPr>
                <m:t>)</m:t>
              </m:r>
            </m:e>
          </m:d>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r>
        <w:t xml:space="preserve">If team</w:t>
      </w:r>
      <w:r>
        <w:t xml:space="preserve"> </w:t>
      </w:r>
      <m:oMath>
        <m:r>
          <m:t>i</m:t>
        </m:r>
      </m:oMath>
      <w:r>
        <w:t xml:space="preserve"> </w:t>
      </w:r>
      <w:r>
        <w:t xml:space="preserve">had a 78% probability of beating team</w:t>
      </w:r>
      <w:r>
        <w:t xml:space="preserve"> </w:t>
      </w:r>
      <m:oMath>
        <m:r>
          <m:t>j</m:t>
        </m:r>
      </m:oMath>
      <w:r>
        <w:t xml:space="preserve"> </w:t>
      </w:r>
      <w:r>
        <w:t xml:space="preserve">and wins, their rating will improve by</w:t>
      </w:r>
      <w:r>
        <w:t xml:space="preserve"> </w:t>
      </w:r>
      <m:oMath>
        <m:r>
          <m:t>32</m:t>
        </m:r>
        <m:r>
          <m:rPr>
            <m:sty m:val="p"/>
          </m:rPr>
          <m:t>⋅</m:t>
        </m:r>
        <m:r>
          <m:rPr>
            <m:sty m:val="p"/>
          </m:rPr>
          <m:t>(</m:t>
        </m:r>
        <m:r>
          <m:t>1</m:t>
        </m:r>
        <m:r>
          <m:rPr>
            <m:sty m:val="p"/>
          </m:rPr>
          <m:t>−</m:t>
        </m:r>
        <m:r>
          <m:t>0.78</m:t>
        </m:r>
        <m:r>
          <m:rPr>
            <m:sty m:val="p"/>
          </m:rPr>
          <m:t>)</m:t>
        </m:r>
        <m:r>
          <m:rPr>
            <m:sty m:val="p"/>
          </m:rPr>
          <m:t>=</m:t>
        </m:r>
        <m:r>
          <m:t>7.04</m:t>
        </m:r>
      </m:oMath>
      <w:r>
        <w:t xml:space="preserve">, while team</w:t>
      </w:r>
      <w:r>
        <w:t xml:space="preserve"> </w:t>
      </w:r>
      <m:oMath>
        <m:r>
          <m:t>j</m:t>
        </m:r>
      </m:oMath>
      <w:r>
        <w:t xml:space="preserve">’s rating will decrease by the same amount.</w:t>
      </w:r>
    </w:p>
    <w:p>
      <w:pPr>
        <w:pStyle w:val="BodyText"/>
      </w:pPr>
      <w:r>
        <w:t xml:space="preserve">We fit Elo ratings using the</w:t>
      </w:r>
      <w:r>
        <w:t xml:space="preserve"> </w:t>
      </w:r>
      <w:r>
        <w:rPr>
          <w:b/>
          <w:bCs/>
        </w:rPr>
        <w:t xml:space="preserve">elo</w:t>
      </w:r>
      <w:r>
        <w:t xml:space="preserve"> </w:t>
      </w:r>
      <w:r>
        <w:t xml:space="preserve">package for R.</w:t>
      </w:r>
      <w:r>
        <w:t xml:space="preserve"> </w:t>
      </w:r>
      <w:hyperlink w:anchor="fig-elo">
        <w:r>
          <w:rPr>
            <w:rStyle w:val="Hyperlink"/>
          </w:rPr>
          <w:t xml:space="preserve">Figure 2</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25" w:name="cell-fig-elo"/>
    <w:tbl>
      <w:tblPr>
        <w:tblStyle w:val="Table"/>
        <w:tblW w:type="pct" w:w="5000"/>
        <w:tblLayout w:type="fixed"/>
        <w:tblLook w:firstRow="0" w:lastRow="0" w:firstColumn="0" w:lastColumn="0" w:noHBand="0" w:noVBand="0" w:val="0000"/>
      </w:tblPr>
      <w:tblGrid>
        <w:gridCol w:w="7920"/>
      </w:tblGrid>
      <w:tr>
        <w:tc>
          <w:tcPr/>
          <w:bookmarkStart w:id="24" w:name="fig-elo"/>
          <w:p>
            <w:pPr>
              <w:pStyle w:val="Compact"/>
              <w:jc w:val="center"/>
            </w:pPr>
            <w:r>
              <w:drawing>
                <wp:inline>
                  <wp:extent cx="4620126" cy="3696101"/>
                  <wp:effectExtent b="0" l="0" r="0" t="0"/>
                  <wp:docPr descr="" title="" id="22" name="Picture"/>
                  <a:graphic>
                    <a:graphicData uri="http://schemas.openxmlformats.org/drawingml/2006/picture">
                      <pic:pic>
                        <pic:nvPicPr>
                          <pic:cNvPr descr="index_files/figure-docx/fig-elo-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2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5"/>
    <w:bookmarkEnd w:id="26"/>
    <w:bookmarkStart w:id="28" w:name="estimating-home-win-probability"/>
    <w:p>
      <w:pPr>
        <w:pStyle w:val="Heading3"/>
      </w:pPr>
      <w:r>
        <w:t xml:space="preserve">2.3 Estimating home win probability</w:t>
      </w:r>
    </w:p>
    <w:p>
      <w:pPr>
        <w:pStyle w:val="FirstParagraph"/>
      </w:pPr>
      <w:r>
        <w:t xml:space="preserve">The pregame Elo ratings estimated above can then be plugged back into the win probability formula to estimate the home teams’s likelihood of winning.</w:t>
      </w:r>
      <w:r>
        <w:t xml:space="preserve"> </w:t>
      </w:r>
      <w:r>
        <w:t xml:space="preserve">We also added a home court advantage equivalent to 60 points (of Elo rating)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r>
                                <m:t>θ</m:t>
                              </m:r>
                            </m:e>
                            <m:sub>
                              <m:r>
                                <m:t>i</m:t>
                              </m:r>
                            </m:sub>
                          </m:sSub>
                          <m:r>
                            <m:rPr>
                              <m:sty m:val="p"/>
                            </m:rPr>
                            <m:t>(</m:t>
                          </m:r>
                          <m:r>
                            <m:t>t</m:t>
                          </m:r>
                          <m:r>
                            <m:rPr>
                              <m:sty m:val="p"/>
                            </m:rPr>
                            <m:t>)</m:t>
                          </m:r>
                          <m:r>
                            <m:rPr>
                              <m:sty m:val="p"/>
                            </m:rPr>
                            <m:t>+</m:t>
                          </m:r>
                          <m:r>
                            <m:t>60</m:t>
                          </m:r>
                        </m:e>
                      </m:d>
                    </m:num>
                    <m:den>
                      <m:r>
                        <m:t>400</m:t>
                      </m:r>
                    </m:den>
                  </m:f>
                </m:sup>
              </m:sSup>
            </m:den>
          </m:f>
          <m:r>
            <m:t> </m:t>
          </m:r>
          <m:r>
            <m:rPr>
              <m:sty m:val="p"/>
            </m:rPr>
            <m:t>.</m:t>
          </m:r>
        </m:oMath>
      </m:oMathPara>
    </w:p>
    <w:p>
      <w:pPr>
        <w:pStyle w:val="FirstParagraph"/>
      </w:pPr>
      <w:r>
        <w:t xml:space="preserve">We arrived at 60 points by iteratively calibrating the win probabilities to match the observed frequencies by minimizing the Brier score.</w:t>
      </w:r>
      <w:r>
        <w:t xml:space="preserve"> </w:t>
      </w:r>
      <w:r>
        <w:t xml:space="preserve">While the model was slightly less accurate at the extremes, it fit very well in the middle where most of the games occur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slightly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(0.189,0.275]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(0.275,0.361]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(0.361,0.446]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(0.446,0.532]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(0.532,0.618]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(0.618,0.704]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(0.789,0.875]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(0.875,0.962]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bl>
          <w:bookmarkEnd w:id="2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8"/>
    <w:bookmarkEnd w:id="29"/>
    <w:bookmarkStart w:id="67" w:name="methods"/>
    <w:p>
      <w:pPr>
        <w:pStyle w:val="Heading2"/>
      </w:pPr>
      <w:r>
        <w:t xml:space="preserve">3 Methods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developed an alternative response variable- percentage of arena capacity filled (</w:t>
      </w:r>
      <m:oMath>
        <m:r>
          <m:t>γ</m:t>
        </m:r>
      </m:oMath>
      <w:r>
        <w:t xml:space="preserv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40" w:name="response-variables"/>
    <w:p>
      <w:pPr>
        <w:pStyle w:val="Heading3"/>
      </w:pPr>
      <w:r>
        <w:t xml:space="preserve">3.1 Response variables</w:t>
      </w:r>
    </w:p>
    <w:p>
      <w:pPr>
        <w:pStyle w:val="FirstParagraph"/>
      </w:pPr>
      <w:r>
        <w:t xml:space="preserve">In</w:t>
      </w:r>
      <w:r>
        <w:t xml:space="preserve"> </w:t>
      </w:r>
      <w:hyperlink w:anchor="fig-attendance-year">
        <w:r>
          <w:rPr>
            <w:rStyle w:val="Hyperlink"/>
          </w:rPr>
          <w:t xml:space="preserve">Figure 3</w:t>
        </w:r>
      </w:hyperlink>
      <w:r>
        <w:t xml:space="preserve">, we observe the relationship between attendance and estimated home win probability.</w:t>
      </w:r>
      <w:r>
        <w:t xml:space="preserve"> </w:t>
      </w:r>
      <w:r>
        <w:t xml:space="preserve">In most years, the slope appears to be positive.</w:t>
      </w:r>
    </w:p>
    <w:bookmarkStart w:id="34" w:name="cell-fig-attendance-year"/>
    <w:tbl>
      <w:tblPr>
        <w:tblStyle w:val="Table"/>
        <w:tblW w:type="pct" w:w="5000"/>
        <w:tblLayout w:type="fixed"/>
        <w:tblLook w:firstRow="0" w:lastRow="0" w:firstColumn="0" w:lastColumn="0" w:noHBand="0" w:noVBand="0" w:val="0000"/>
      </w:tblPr>
      <w:tblGrid>
        <w:gridCol w:w="7920"/>
      </w:tblGrid>
      <w:tr>
        <w:tc>
          <w:tcPr/>
          <w:bookmarkStart w:id="33" w:name="fig-attendance-year"/>
          <w:p>
            <w:pPr>
              <w:pStyle w:val="Compact"/>
              <w:jc w:val="center"/>
            </w:pPr>
            <w:r>
              <w:drawing>
                <wp:inline>
                  <wp:extent cx="4620126" cy="3696101"/>
                  <wp:effectExtent b="0" l="0" r="0" t="0"/>
                  <wp:docPr descr="" title="" id="31" name="Picture"/>
                  <a:graphic>
                    <a:graphicData uri="http://schemas.openxmlformats.org/drawingml/2006/picture">
                      <pic:pic>
                        <pic:nvPicPr>
                          <pic:cNvPr descr="index_files/figure-docx/fig-attendance-year-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WNBA attendance by season, against estimated home win probability. We note that in most years, the slope of the association appears to be positive.</w:t>
            </w:r>
          </w:p>
          <w:bookmarkEnd w:id="3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4"/>
    <w:p>
      <w:pPr>
        <w:pStyle w:val="BodyText"/>
      </w:pPr>
      <w:r>
        <w:t xml:space="preserve">In</w:t>
      </w:r>
      <w:r>
        <w:t xml:space="preserve"> </w:t>
      </w:r>
      <w:hyperlink w:anchor="fig-capacity-year">
        <w:r>
          <w:rPr>
            <w:rStyle w:val="Hyperlink"/>
          </w:rPr>
          <w:t xml:space="preserve">Figure 4</w:t>
        </w:r>
      </w:hyperlink>
      <w:r>
        <w:t xml:space="preserve">, we note similar trends in the relationship between the percentage of the arena capacity filled and the estimated home win probability.</w:t>
      </w:r>
      <w:r>
        <w:t xml:space="preserve"> </w:t>
      </w:r>
      <w:r>
        <w:t xml:space="preserve">We also note that since arena capacity cannot exceed 1, there are edge effects created by sellouts.</w:t>
      </w:r>
      <w:r>
        <w:t xml:space="preserve"> </w:t>
      </w:r>
      <w:r>
        <w:t xml:space="preserve">Those sellouts are much more frequent in the last two years of data, and many of the sellouts involve Caitlin Clark.</w:t>
      </w:r>
    </w:p>
    <w:bookmarkStart w:id="39" w:name="cell-fig-capacity-year"/>
    <w:tbl>
      <w:tblPr>
        <w:tblStyle w:val="Table"/>
        <w:tblW w:type="pct" w:w="5000"/>
        <w:tblLayout w:type="fixed"/>
        <w:tblLook w:firstRow="0" w:lastRow="0" w:firstColumn="0" w:lastColumn="0" w:noHBand="0" w:noVBand="0" w:val="0000"/>
      </w:tblPr>
      <w:tblGrid>
        <w:gridCol w:w="7920"/>
      </w:tblGrid>
      <w:tr>
        <w:tc>
          <w:tcPr/>
          <w:bookmarkStart w:id="38" w:name="fig-capacity-year"/>
          <w:p>
            <w:pPr>
              <w:pStyle w:val="Compact"/>
              <w:jc w:val="center"/>
            </w:pPr>
            <w:r>
              <w:drawing>
                <wp:inline>
                  <wp:extent cx="4620126" cy="3696101"/>
                  <wp:effectExtent b="0" l="0" r="0" t="0"/>
                  <wp:docPr descr="" title="" id="36" name="Picture"/>
                  <a:graphic>
                    <a:graphicData uri="http://schemas.openxmlformats.org/drawingml/2006/picture">
                      <pic:pic>
                        <pic:nvPicPr>
                          <pic:cNvPr descr="index_files/figure-docx/fig-capacity-year-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percentage of arena capacity filled by season, against estimated home win probability. We note the edge effects caused by sellouts, which occur much more frequently in 2024 and 2025.</w:t>
            </w:r>
          </w:p>
          <w:bookmarkEnd w:id="3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9"/>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bookmarkEnd w:id="40"/>
    <w:bookmarkStart w:id="61"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2.2</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w:t>
      </w:r>
      <w:r>
        <w:t xml:space="preserve"> </w:t>
      </w:r>
      <m:oMath>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oMath>
      <w:r>
        <w:t xml:space="preserve">.</w:t>
      </w:r>
      <w:r>
        <w:t xml:space="preserve"> </w:t>
      </w:r>
      <w:r>
        <w:t xml:space="preserve">The first and third have been rescaled so that they will have means close to 0.</w:t>
      </w:r>
    </w:p>
    <w:p>
      <w:pPr>
        <w:pStyle w:val="Compact"/>
        <w:numPr>
          <w:ilvl w:val="0"/>
          <w:numId w:val="1001"/>
        </w:numPr>
      </w:pPr>
      <w:r>
        <w:t xml:space="preserve">Quality of play: fans may wish to attend a game in person if they expect the quality of play to be high. We model this as the sum of the Elo rating of the two teams (</w:t>
      </w:r>
      <m:oMath>
        <m:sSub>
          <m:e>
            <m:r>
              <m:t>f</m:t>
            </m:r>
          </m:e>
          <m:sub>
            <m:r>
              <m:t>1</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Uncertainty of outcome hypothesis: fans may wish to attend a game for which the outcome is uncertain. We model this as the absolute difference in the two teams’ Elo ratings: (</w:t>
      </w:r>
      <m:oMath>
        <m:sSub>
          <m:e>
            <m:r>
              <m:t>f</m:t>
            </m:r>
          </m:e>
          <m:sub>
            <m:r>
              <m:t>2</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3</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oMath>
      <w:r>
        <w:t xml:space="preserve">)</w:t>
      </w:r>
    </w:p>
    <w:p>
      <w:pPr>
        <w:pStyle w:val="FirstParagraph"/>
      </w:pPr>
      <w:r>
        <w:t xml:space="preserve">The distribution of attendance with respect to</w:t>
      </w:r>
      <w:r>
        <w:t xml:space="preserve"> </w:t>
      </w:r>
      <m:oMath>
        <m:sSub>
          <m:e>
            <m:r>
              <m:t>f</m:t>
            </m:r>
          </m:e>
          <m:sub>
            <m:r>
              <m:t>1</m:t>
            </m:r>
          </m:sub>
        </m:sSub>
      </m:oMath>
      <w:r>
        <w:t xml:space="preserve"> </w:t>
      </w:r>
      <w:r>
        <w:t xml:space="preserve">and</w:t>
      </w:r>
      <w:r>
        <w:t xml:space="preserve"> </w:t>
      </w:r>
      <m:oMath>
        <m:sSub>
          <m:e>
            <m:r>
              <m:t>f</m:t>
            </m:r>
          </m:e>
          <m:sub>
            <m:r>
              <m:t>2</m:t>
            </m:r>
          </m:sub>
        </m:sSub>
      </m:oMath>
      <w:r>
        <w:t xml:space="preserve"> </w:t>
      </w:r>
      <w:r>
        <w:t xml:space="preserve">are shown in</w:t>
      </w:r>
      <w:r>
        <w:t xml:space="preserve"> </w:t>
      </w:r>
      <w:hyperlink w:anchor="fig-attend-f1">
        <w:r>
          <w:rPr>
            <w:rStyle w:val="Hyperlink"/>
          </w:rPr>
          <w:t xml:space="preserve">Figure 5</w:t>
        </w:r>
      </w:hyperlink>
      <w:r>
        <w:t xml:space="preserve"> </w:t>
      </w:r>
      <w:r>
        <w:t xml:space="preserve">and</w:t>
      </w:r>
      <w:r>
        <w:t xml:space="preserve"> </w:t>
      </w:r>
      <w:hyperlink w:anchor="fig-attend-f2">
        <w:r>
          <w:rPr>
            <w:rStyle w:val="Hyperlink"/>
          </w:rPr>
          <w:t xml:space="preserve">Figure 6</w:t>
        </w:r>
      </w:hyperlink>
      <w:r>
        <w:t xml:space="preserve">, respectively, with the corresponding plots for percentage of arena capacity shown in</w:t>
      </w:r>
      <w:r>
        <w:t xml:space="preserve"> </w:t>
      </w:r>
      <w:hyperlink w:anchor="fig-capacity-f1">
        <w:r>
          <w:rPr>
            <w:rStyle w:val="Hyperlink"/>
          </w:rPr>
          <w:t xml:space="preserve">Figure 7</w:t>
        </w:r>
      </w:hyperlink>
      <w:r>
        <w:t xml:space="preserve"> </w:t>
      </w:r>
      <w:r>
        <w:t xml:space="preserve">and</w:t>
      </w:r>
      <w:r>
        <w:t xml:space="preserve"> </w:t>
      </w:r>
      <w:hyperlink w:anchor="fig-capacity-f2">
        <w:r>
          <w:rPr>
            <w:rStyle w:val="Hyperlink"/>
          </w:rPr>
          <w:t xml:space="preserve">Figure 8</w:t>
        </w:r>
      </w:hyperlink>
      <w:r>
        <w:t xml:space="preserve">.</w:t>
      </w:r>
    </w:p>
    <w:bookmarkStart w:id="45" w:name="cell-fig-attend-f1"/>
    <w:tbl>
      <w:tblPr>
        <w:tblStyle w:val="Table"/>
        <w:tblW w:type="pct" w:w="5000"/>
        <w:tblLayout w:type="fixed"/>
        <w:tblLook w:firstRow="0" w:lastRow="0" w:firstColumn="0" w:lastColumn="0" w:noHBand="0" w:noVBand="0" w:val="0000"/>
      </w:tblPr>
      <w:tblGrid>
        <w:gridCol w:w="7920"/>
      </w:tblGrid>
      <w:tr>
        <w:tc>
          <w:tcPr/>
          <w:bookmarkStart w:id="44" w:name="fig-attend-f1"/>
          <w:p>
            <w:pPr>
              <w:pStyle w:val="Compact"/>
              <w:jc w:val="center"/>
            </w:pPr>
            <w:r>
              <w:drawing>
                <wp:inline>
                  <wp:extent cx="4620126" cy="3696101"/>
                  <wp:effectExtent b="0" l="0" r="0" t="0"/>
                  <wp:docPr descr="" title="" id="42" name="Picture"/>
                  <a:graphic>
                    <a:graphicData uri="http://schemas.openxmlformats.org/drawingml/2006/picture">
                      <pic:pic>
                        <pic:nvPicPr>
                          <pic:cNvPr descr="index_files/figure-docx/fig-attend-f1-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asd</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Start w:id="50" w:name="cell-fig-attend-f2"/>
    <w:tbl>
      <w:tblPr>
        <w:tblStyle w:val="Table"/>
        <w:tblW w:type="pct" w:w="5000"/>
        <w:tblLayout w:type="fixed"/>
        <w:tblLook w:firstRow="0" w:lastRow="0" w:firstColumn="0" w:lastColumn="0" w:noHBand="0" w:noVBand="0" w:val="0000"/>
      </w:tblPr>
      <w:tblGrid>
        <w:gridCol w:w="7920"/>
      </w:tblGrid>
      <w:tr>
        <w:tc>
          <w:tcPr/>
          <w:bookmarkStart w:id="49" w:name="fig-attend-f2"/>
          <w:p>
            <w:pPr>
              <w:pStyle w:val="Compact"/>
              <w:jc w:val="center"/>
            </w:pPr>
            <w:r>
              <w:drawing>
                <wp:inline>
                  <wp:extent cx="4620126" cy="3696101"/>
                  <wp:effectExtent b="0" l="0" r="0" t="0"/>
                  <wp:docPr descr="" title="" id="47" name="Picture"/>
                  <a:graphic>
                    <a:graphicData uri="http://schemas.openxmlformats.org/drawingml/2006/picture">
                      <pic:pic>
                        <pic:nvPicPr>
                          <pic:cNvPr descr="index_files/figure-docx/fig-attend-f2-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asd</w:t>
            </w:r>
          </w:p>
          <w:bookmarkEnd w:id="4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0"/>
    <w:bookmarkStart w:id="55" w:name="cell-fig-capacity-f1"/>
    <w:tbl>
      <w:tblPr>
        <w:tblStyle w:val="Table"/>
        <w:tblW w:type="pct" w:w="5000"/>
        <w:tblLayout w:type="fixed"/>
        <w:tblLook w:firstRow="0" w:lastRow="0" w:firstColumn="0" w:lastColumn="0" w:noHBand="0" w:noVBand="0" w:val="0000"/>
      </w:tblPr>
      <w:tblGrid>
        <w:gridCol w:w="7920"/>
      </w:tblGrid>
      <w:tr>
        <w:tc>
          <w:tcPr/>
          <w:bookmarkStart w:id="54" w:name="fig-capacity-f1"/>
          <w:p>
            <w:pPr>
              <w:pStyle w:val="Compact"/>
              <w:jc w:val="center"/>
            </w:pPr>
            <w:r>
              <w:drawing>
                <wp:inline>
                  <wp:extent cx="4620126" cy="3696101"/>
                  <wp:effectExtent b="0" l="0" r="0" t="0"/>
                  <wp:docPr descr="" title="" id="52" name="Picture"/>
                  <a:graphic>
                    <a:graphicData uri="http://schemas.openxmlformats.org/drawingml/2006/picture">
                      <pic:pic>
                        <pic:nvPicPr>
                          <pic:cNvPr descr="index_files/figure-docx/fig-capacity-f1-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asd</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Start w:id="60" w:name="cell-fig-capacity-f2"/>
    <w:tbl>
      <w:tblPr>
        <w:tblStyle w:val="Table"/>
        <w:tblW w:type="pct" w:w="5000"/>
        <w:tblLayout w:type="fixed"/>
        <w:tblLook w:firstRow="0" w:lastRow="0" w:firstColumn="0" w:lastColumn="0" w:noHBand="0" w:noVBand="0" w:val="0000"/>
      </w:tblPr>
      <w:tblGrid>
        <w:gridCol w:w="7920"/>
      </w:tblGrid>
      <w:tr>
        <w:tc>
          <w:tcPr/>
          <w:bookmarkStart w:id="59" w:name="fig-capacity-f2"/>
          <w:p>
            <w:pPr>
              <w:pStyle w:val="Compact"/>
              <w:jc w:val="center"/>
            </w:pPr>
            <w:r>
              <w:drawing>
                <wp:inline>
                  <wp:extent cx="4620126" cy="3696101"/>
                  <wp:effectExtent b="0" l="0" r="0" t="0"/>
                  <wp:docPr descr="" title="" id="57" name="Picture"/>
                  <a:graphic>
                    <a:graphicData uri="http://schemas.openxmlformats.org/drawingml/2006/picture">
                      <pic:pic>
                        <pic:nvPicPr>
                          <pic:cNvPr descr="index_files/figure-docx/fig-capacity-f2-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asd</w:t>
            </w:r>
          </w:p>
          <w:bookmarkEnd w:id="5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End w:id="61"/>
    <w:bookmarkStart w:id="63" w:name="sec-control"/>
    <w:p>
      <w:pPr>
        <w:pStyle w:val="Heading3"/>
      </w:pPr>
      <w:r>
        <w:t xml:space="preserve">3.3 Control variables</w:t>
      </w:r>
    </w:p>
    <w:p>
      <w:pPr>
        <w:pStyle w:val="FirstParagraph"/>
      </w:pPr>
      <w:r>
        <w:t xml:space="preserve">As time-related control variables, we include the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62"/>
      </w:r>
      <w:r>
        <w:t xml:space="preserve">.</w:t>
      </w:r>
      <w:r>
        <w:t xml:space="preserve"> </w:t>
      </w:r>
      <w:r>
        <w:t xml:space="preserve">Finally, we include an indicator based on whether Caitlin Clark played more than 0 minutes in the game (</w:t>
      </w:r>
      <m:oMath>
        <m:r>
          <m:t>χ</m:t>
        </m:r>
      </m:oMath>
      <w:r>
        <w:t xml:space="preserve">).</w:t>
      </w:r>
    </w:p>
    <w:bookmarkEnd w:id="63"/>
    <w:bookmarkStart w:id="64" w:name="interaction"/>
    <w:p>
      <w:pPr>
        <w:pStyle w:val="Heading3"/>
      </w:pPr>
      <w:r>
        <w:t xml:space="preserve">3.4 Interaction</w:t>
      </w:r>
    </w:p>
    <w:p>
      <w:pPr>
        <w:pStyle w:val="FirstParagraph"/>
      </w:pPr>
      <w:r>
        <w:t xml:space="preserve">Testing our primary hypotheses requires analyzing how the relationship between attendance and fan engagement has changed over time.</w:t>
      </w:r>
      <w:r>
        <w:t xml:space="preserve"> </w:t>
      </w:r>
      <w:r>
        <w:t xml:space="preserve">To capture these changes, we include an interaction term between our measures of fan engagement (</w:t>
      </w:r>
      <m:oMath>
        <m:sSub>
          <m:e>
            <m:r>
              <m:t>f</m:t>
            </m:r>
          </m:e>
          <m:sub>
            <m:r>
              <m:t>k</m:t>
            </m:r>
          </m:sub>
        </m:sSub>
      </m:oMath>
      <w:r>
        <w:t xml:space="preserve">) and season (</w:t>
      </w:r>
      <m:oMath>
        <m:sSub>
          <m:e>
            <m:r>
              <m:t>τ</m:t>
            </m:r>
          </m:e>
          <m:sub>
            <m:r>
              <m:t>1</m:t>
            </m:r>
          </m:sub>
        </m:sSub>
      </m:oMath>
      <w:r>
        <w:t xml:space="preserve">). We also considered fitting a period-based model but ultimately decided against this approach. Defining periods by hand would require subjective decisions about the timing of structural breaks and would risk introducing researcher bias into the analysis. Instead, we allow the relationship between attendance and fan engagement to evolve season-by-season.</w:t>
      </w:r>
    </w:p>
    <w:bookmarkEnd w:id="64"/>
    <w:bookmarkStart w:id="65"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r>
        <w:t xml:space="preserve"> </w:t>
      </w:r>
      <w:r>
        <w:t xml:space="preserve"> </w:t>
      </w:r>
      <w:r>
        <w:t xml:space="preserve">where</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and</w:t>
      </w:r>
      <w:r>
        <w:t xml:space="preserve"> </w:t>
      </w:r>
      <m:oMath>
        <m:sSubSup>
          <m:e>
            <m:r>
              <m:t>β</m:t>
            </m:r>
          </m:e>
          <m:sub>
            <m:r>
              <m:t>j</m:t>
            </m:r>
          </m:sub>
          <m:sup>
            <m:r>
              <m:rPr>
                <m:sty m:val="p"/>
              </m:rPr>
              <m:t>(</m:t>
            </m:r>
            <m:r>
              <m:t>k</m:t>
            </m:r>
            <m:r>
              <m:rPr>
                <m:sty m:val="p"/>
              </m:rPr>
              <m:t>)</m:t>
            </m:r>
          </m:sup>
        </m:sSubSup>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6</m:t>
        </m:r>
        <m:r>
          <m:rPr>
            <m:sty m:val="p"/>
          </m:rPr>
          <m:t>,</m:t>
        </m:r>
        <m:r>
          <m:t>7</m:t>
        </m:r>
        <m:r>
          <m:rPr>
            <m:sty m:val="p"/>
          </m:rPr>
          <m:t>,</m:t>
        </m:r>
        <m:r>
          <m:t>8</m:t>
        </m:r>
        <m:r>
          <m:rPr>
            <m:sty m:val="p"/>
          </m:rPr>
          <m:t>}</m:t>
        </m:r>
      </m:oMath>
      <w:r>
        <w:t xml:space="preserve">, while the other</w:t>
      </w:r>
      <w:r>
        <w:t xml:space="preserve"> </w:t>
      </w:r>
      <m:oMath>
        <m:sSubSup>
          <m:e>
            <m:r>
              <m:t>β</m:t>
            </m:r>
          </m:e>
          <m:sub>
            <m:r>
              <m:t>j</m:t>
            </m:r>
          </m:sub>
          <m:sup>
            <m:r>
              <m:rPr>
                <m:sty m:val="p"/>
              </m:rPr>
              <m:t>(</m:t>
            </m:r>
            <m:r>
              <m:t>k</m:t>
            </m:r>
            <m:r>
              <m:rPr>
                <m:sty m:val="p"/>
              </m:rPr>
              <m:t>)</m:t>
            </m:r>
          </m:sup>
        </m:sSubSup>
      </m:oMath>
      <w:r>
        <w:t xml:space="preserve"> </w:t>
      </w:r>
      <w:r>
        <w:t xml:space="preserve">coefficients are vectors of length equal to the number of factor levels in their corresponding categorical explanatory variable.</w:t>
      </w:r>
      <w:r>
        <w:t xml:space="preserve"> </w:t>
      </w:r>
      <w:r>
        <w:t xml:space="preserve">Most notably</w:t>
      </w:r>
      <w:r>
        <w:t xml:space="preserve"> </w:t>
      </w:r>
      <m:oMath>
        <m:sSubSup>
          <m:e>
            <m:r>
              <m:t>β</m:t>
            </m:r>
          </m:e>
          <m:sub>
            <m:r>
              <m:t>2</m:t>
            </m:r>
          </m:sub>
          <m:sup>
            <m:r>
              <m:rPr>
                <m:sty m:val="p"/>
              </m:rPr>
              <m:t>(</m:t>
            </m:r>
            <m:r>
              <m:t>k</m:t>
            </m:r>
            <m:r>
              <m:rPr>
                <m:sty m:val="p"/>
              </m:rPr>
              <m:t>)</m:t>
            </m:r>
          </m:sup>
        </m:sSubSup>
      </m:oMath>
      <w:r>
        <w:t xml:space="preserve"> </w:t>
      </w:r>
      <w:r>
        <w:t xml:space="preserve">and</w:t>
      </w:r>
      <w:r>
        <w:t xml:space="preserve"> </w:t>
      </w:r>
      <m:oMath>
        <m:sSubSup>
          <m:e>
            <m:r>
              <m:t>β</m:t>
            </m:r>
          </m:e>
          <m:sub>
            <m:r>
              <m:t>9</m:t>
            </m:r>
          </m:sub>
          <m:sup>
            <m:r>
              <m:rPr>
                <m:sty m:val="p"/>
              </m:rPr>
              <m:t>(</m:t>
            </m:r>
            <m:r>
              <m:t>k</m:t>
            </m:r>
            <m:r>
              <m:rPr>
                <m:sty m:val="p"/>
              </m:rPr>
              <m:t>)</m:t>
            </m:r>
          </m:sup>
        </m:sSubSup>
      </m:oMath>
      <w:r>
        <w:t xml:space="preserve"> </w:t>
      </w:r>
      <w:r>
        <w:t xml:space="preserve">have 29 values (corresponding to each season after 1997) and</w:t>
      </w:r>
      <w:r>
        <w:t xml:space="preserve"> </w:t>
      </w:r>
      <m:oMath>
        <m:sSubSup>
          <m:e>
            <m:r>
              <m:t>β</m:t>
            </m:r>
          </m:e>
          <m:sub>
            <m:r>
              <m:t>5</m:t>
            </m:r>
          </m:sub>
          <m:sup>
            <m:r>
              <m:rPr>
                <m:sty m:val="p"/>
              </m:rPr>
              <m:t>(</m:t>
            </m:r>
            <m:r>
              <m:t>k</m:t>
            </m:r>
            <m:r>
              <m:rPr>
                <m:sty m:val="p"/>
              </m:rPr>
              <m:t>)</m:t>
            </m:r>
          </m:sup>
        </m:sSubSup>
      </m:oMath>
      <w:r>
        <w:t xml:space="preserve"> </w:t>
      </w:r>
      <w:r>
        <w:t xml:space="preserve">has 19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bookmarkEnd w:id="65"/>
    <w:bookmarkStart w:id="66" w:name="sec-mod-cap"/>
    <w:p>
      <w:pPr>
        <w:pStyle w:val="Heading3"/>
      </w:pPr>
      <w:r>
        <w:t xml:space="preserve">3.6 Model formulation for percentage of arena capacity</w:t>
      </w:r>
    </w:p>
    <w:p>
      <w:pPr>
        <w:pStyle w:val="FirstParagraph"/>
      </w:pPr>
      <w:r>
        <w:t xml:space="preserve">We fit the same set of models with</w:t>
      </w:r>
      <w:r>
        <w:t xml:space="preserve"> </w:t>
      </w:r>
      <m:oMath>
        <m:r>
          <m:t>γ</m:t>
        </m:r>
      </m:oMath>
      <w:r>
        <w:t xml:space="preserve"> </w:t>
      </w:r>
      <w:r>
        <w:t xml:space="preserve">as the response, but because our response variable</w:t>
      </w:r>
      <w:r>
        <w:t xml:space="preserve"> </w:t>
      </w:r>
      <m:oMath>
        <m:r>
          <m:t>γ</m:t>
        </m:r>
      </m:oMath>
      <w:r>
        <w:t xml:space="preserve"> </w:t>
      </w:r>
      <w:r>
        <w:t xml:space="preserve">is constrained between 0 and 1 and has significant mass at 1 exactly, we use the Papke-Wooldridge fractional response model</w:t>
      </w:r>
      <w:r>
        <w:t xml:space="preserve"> </w:t>
      </w:r>
      <w:r>
        <w:t xml:space="preserve">(Papke and Wooldridge 1996)</w:t>
      </w:r>
      <w:r>
        <w:t xml:space="preserve">.</w:t>
      </w:r>
      <w:r>
        <w:t xml:space="preserve"> </w:t>
      </w:r>
      <w:r>
        <w:t xml:space="preserve">This is equivalent to fitting a generalized linear model with a logit link function and applying HC1 sandwich estimators</w:t>
      </w:r>
      <w:r>
        <w:t xml:space="preserve"> </w:t>
      </w:r>
      <w:r>
        <w:t xml:space="preserve">(MacKinnon and White 1985)</w:t>
      </w:r>
      <w:r>
        <w:t xml:space="preserve"> </w:t>
      </w:r>
      <w:r>
        <w:t xml:space="preserve">for the covariance matrix, which we accomplish using the</w:t>
      </w:r>
      <w:r>
        <w:t xml:space="preserve"> </w:t>
      </w:r>
      <w:r>
        <w:rPr>
          <w:b/>
          <w:bCs/>
        </w:rPr>
        <w:t xml:space="preserve">sandwich</w:t>
      </w:r>
      <w:r>
        <w:t xml:space="preserve"> </w:t>
      </w:r>
      <w:r>
        <w:t xml:space="preserve">package in R.</w:t>
      </w:r>
    </w:p>
    <w:p>
      <w:pPr>
        <w:pStyle w:val="BodyText"/>
      </w:pPr>
      <m:oMathPara>
        <m:oMathParaPr>
          <m:jc m:val="center"/>
        </m:oMathParaPr>
        <m:oMath>
          <m:r>
            <m:rPr>
              <m:scr m:val="double-struck"/>
              <m:sty m:val="p"/>
            </m:rPr>
            <m:t>E</m:t>
          </m:r>
          <m:r>
            <m:rPr>
              <m:sty m:val="p"/>
            </m:rPr>
            <m:t>(</m:t>
          </m:r>
          <m:r>
            <m:t>γ</m:t>
          </m:r>
          <m:r>
            <m:rPr>
              <m:sty m:val="p"/>
            </m:rPr>
            <m:t>|</m:t>
          </m:r>
          <m:r>
            <m:rPr>
              <m:sty m:val="b"/>
            </m:rPr>
            <m:t>X</m:t>
          </m:r>
          <m:r>
            <m:rPr>
              <m:sty m:val="p"/>
            </m:rPr>
            <m:t>)</m:t>
          </m:r>
          <m:r>
            <m:rPr>
              <m:sty m:val="p"/>
            </m:rPr>
            <m:t>=</m:t>
          </m:r>
          <m:r>
            <m:t>G</m:t>
          </m:r>
          <m:r>
            <m:rPr>
              <m:sty m:val="p"/>
            </m:rPr>
            <m:t>(</m:t>
          </m:r>
          <m:r>
            <m:rPr>
              <m:sty m:val="b"/>
            </m:rPr>
            <m:t>X</m:t>
          </m:r>
          <m:sSup>
            <m:e>
              <m:r>
                <m:rPr>
                  <m:sty m:val="b"/>
                </m:rPr>
                <m:t>η</m:t>
              </m:r>
            </m:e>
            <m:sup>
              <m:r>
                <m:rPr>
                  <m:sty m:val="p"/>
                </m:rPr>
                <m:t>(</m:t>
              </m:r>
              <m:r>
                <m:t>k</m:t>
              </m:r>
              <m:r>
                <m:rPr>
                  <m:sty m:val="p"/>
                </m:rPr>
                <m:t>)</m:t>
              </m:r>
            </m:sup>
          </m:sSup>
          <m:r>
            <m:rPr>
              <m:sty m:val="p"/>
            </m:rPr>
            <m:t>)</m:t>
          </m:r>
          <m:r>
            <m:t> </m:t>
          </m:r>
          <m:r>
            <m:rPr>
              <m:sty m:val="p"/>
            </m:rPr>
            <m:t>,</m:t>
          </m:r>
        </m:oMath>
      </m:oMathPara>
    </w:p>
    <w:p>
      <w:pPr>
        <w:pStyle w:val="FirstParagraph"/>
      </w:pPr>
      <w:r>
        <w:t xml:space="preserve">where</w:t>
      </w:r>
      <w:r>
        <w:t xml:space="preserve"> </w:t>
      </w:r>
      <m:oMath>
        <m:r>
          <m:t>G</m:t>
        </m:r>
        <m:r>
          <m:rPr>
            <m:sty m:val="p"/>
          </m:rPr>
          <m:t>(</m:t>
        </m:r>
        <m:r>
          <m:t>z</m:t>
        </m:r>
        <m:r>
          <m:rPr>
            <m:sty m:val="p"/>
          </m:rPr>
          <m:t>)</m:t>
        </m:r>
        <m:r>
          <m:rPr>
            <m:sty m:val="p"/>
          </m:rPr>
          <m:t>=</m:t>
        </m:r>
        <m:f>
          <m:fPr>
            <m:type m:val="bar"/>
          </m:fPr>
          <m:num>
            <m:sSup>
              <m:e>
                <m:r>
                  <m:t>e</m:t>
                </m:r>
              </m:e>
              <m:sup>
                <m:r>
                  <m:t>z</m:t>
                </m:r>
              </m:sup>
            </m:sSup>
          </m:num>
          <m:den>
            <m:r>
              <m:t>1</m:t>
            </m:r>
            <m:r>
              <m:rPr>
                <m:sty m:val="p"/>
              </m:rPr>
              <m:t>+</m:t>
            </m:r>
            <m:sSup>
              <m:e>
                <m:r>
                  <m:t>e</m:t>
                </m:r>
              </m:e>
              <m:sup>
                <m:r>
                  <m:t>z</m:t>
                </m:r>
              </m:sup>
            </m:sSup>
          </m:den>
        </m:f>
      </m:oMath>
      <w:r>
        <w:t xml:space="preserve"> </w:t>
      </w:r>
      <w:r>
        <w:t xml:space="preserve">is the (vectorized) logistic function,</w:t>
      </w:r>
      <w:r>
        <w:t xml:space="preserve"> </w:t>
      </w:r>
      <m:oMath>
        <m:r>
          <m:rPr>
            <m:sty m:val="b"/>
          </m:rPr>
          <m:t>X</m:t>
        </m:r>
      </m:oMath>
      <w:r>
        <w:t xml:space="preserve"> </w:t>
      </w:r>
      <w:r>
        <w:t xml:space="preserve">is as above, and</w:t>
      </w:r>
      <w:r>
        <w:t xml:space="preserve"> </w:t>
      </w:r>
      <m:oMath>
        <m:sSup>
          <m:e>
            <m:r>
              <m:rPr>
                <m:sty m:val="b"/>
              </m:rPr>
              <m:t>η</m:t>
            </m:r>
          </m:e>
          <m:sup>
            <m:r>
              <m:rPr>
                <m:sty m:val="b"/>
              </m:rPr>
              <m:t>(</m:t>
            </m:r>
            <m:r>
              <m:rPr>
                <m:sty m:val="b"/>
              </m:rPr>
              <m:t>k</m:t>
            </m:r>
            <m:r>
              <m:rPr>
                <m:sty m:val="b"/>
              </m:rPr>
              <m:t>)</m:t>
            </m:r>
          </m:sup>
        </m:sSup>
      </m:oMath>
      <w:r>
        <w:t xml:space="preserve"> </w:t>
      </w:r>
      <w:r>
        <w:t xml:space="preserve">has the same structure as</w:t>
      </w:r>
      <w:r>
        <w:t xml:space="preserve"> </w:t>
      </w:r>
      <m:oMath>
        <m:sSup>
          <m:e>
            <m:r>
              <m:rPr>
                <m:sty m:val="b"/>
              </m:rPr>
              <m:t>β</m:t>
            </m:r>
          </m:e>
          <m:sup>
            <m:r>
              <m:rPr>
                <m:sty m:val="p"/>
              </m:rPr>
              <m:t>(</m:t>
            </m:r>
            <m:r>
              <m:t>k</m:t>
            </m:r>
            <m:r>
              <m:rPr>
                <m:sty m:val="p"/>
              </m:rPr>
              <m:t>)</m:t>
            </m:r>
          </m:sup>
        </m:sSup>
      </m:oMath>
      <w:r>
        <w:t xml:space="preserve"> </w:t>
      </w:r>
      <w:r>
        <w:t xml:space="preserve">defined above.</w:t>
      </w:r>
    </w:p>
    <w:bookmarkEnd w:id="66"/>
    <w:bookmarkEnd w:id="67"/>
    <w:bookmarkStart w:id="95" w:name="results"/>
    <w:p>
      <w:pPr>
        <w:pStyle w:val="Heading2"/>
      </w:pPr>
      <w:r>
        <w:t xml:space="preserve">4 Results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80" w:name="sec-attend"/>
    <w:p>
      <w:pPr>
        <w:pStyle w:val="Heading3"/>
      </w:pPr>
      <w:r>
        <w:t xml:space="preserve">4.1 Attendance</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3</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
        <w:r>
          <w:rPr>
            <w:rStyle w:val="Hyperlink"/>
          </w:rPr>
          <w:t xml:space="preserve">Table 7</w:t>
        </w:r>
      </w:hyperlink>
      <w:r>
        <w:t xml:space="preserve">).</w:t>
      </w:r>
      <w:r>
        <w:t xml:space="preserve"> </w:t>
      </w:r>
      <w:r>
        <w:t xml:space="preserve">Residual analysis for the attendance models are shown in</w:t>
      </w:r>
      <w:r>
        <w:t xml:space="preserve"> </w:t>
      </w:r>
      <w:hyperlink w:anchor="sec-resid-attend">
        <w:r>
          <w:rPr>
            <w:rStyle w:val="Hyperlink"/>
          </w:rPr>
          <w:t xml:space="preserve">Section 6.2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8" w:name="tbl-coefs"/>
          <w:p>
            <w:pPr>
              <w:jc w:val="center"/>
            </w:pPr>
            <w:pPr>
              <w:jc w:val="left"/>
              <w:spacing w:before="200"/>
              <w:pStyle w:val="ImageCaption"/>
            </w:pPr>
            <w:r>
              <w:t xml:space="preserve">Table 3: Fitted coefficients for scalar terms in models for the natural logarithm of attendance.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9.080</w:t>
                  </w:r>
                </w:p>
              </w:tc>
              <w:tc>
                <w:tcPr/>
                <w:p>
                  <w:pPr>
                    <w:pStyle w:val="Compact"/>
                    <w:jc w:val="right"/>
                    <w:jc w:val="center"/>
                  </w:pPr>
                  <w:r>
                    <w:t xml:space="preserve">0.132</w:t>
                  </w:r>
                </w:p>
              </w:tc>
              <w:tc>
                <w:tcPr/>
                <w:p>
                  <w:pPr>
                    <w:pStyle w:val="Compact"/>
                    <w:jc w:val="right"/>
                    <w:jc w:val="center"/>
                  </w:pPr>
                  <w:r>
                    <w:t xml:space="preserve">68.978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9.011</w:t>
                  </w:r>
                </w:p>
              </w:tc>
              <w:tc>
                <w:tcPr/>
                <w:p>
                  <w:pPr>
                    <w:pStyle w:val="Compact"/>
                    <w:jc w:val="right"/>
                    <w:jc w:val="center"/>
                  </w:pPr>
                  <w:r>
                    <w:t xml:space="preserve">0.146</w:t>
                  </w:r>
                </w:p>
              </w:tc>
              <w:tc>
                <w:tcPr/>
                <w:p>
                  <w:pPr>
                    <w:pStyle w:val="Compact"/>
                    <w:jc w:val="right"/>
                    <w:jc w:val="center"/>
                  </w:pPr>
                  <w:r>
                    <w:t xml:space="preserve">61.867</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9.102</w:t>
                  </w:r>
                </w:p>
              </w:tc>
              <w:tc>
                <w:tcPr/>
                <w:p>
                  <w:pPr>
                    <w:pStyle w:val="Compact"/>
                    <w:jc w:val="right"/>
                    <w:jc w:val="center"/>
                  </w:pPr>
                  <w:r>
                    <w:t xml:space="preserve">0.139</w:t>
                  </w:r>
                </w:p>
              </w:tc>
              <w:tc>
                <w:tcPr/>
                <w:p>
                  <w:pPr>
                    <w:pStyle w:val="Compact"/>
                    <w:jc w:val="right"/>
                    <w:jc w:val="center"/>
                  </w:pPr>
                  <w:r>
                    <w:t xml:space="preserve">65.437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Caitlin Clark</w:t>
                  </w:r>
                </w:p>
              </w:tc>
              <w:tc>
                <w:tcPr/>
                <w:p>
                  <w:pPr>
                    <w:pStyle w:val="Compact"/>
                    <w:jc w:val="right"/>
                    <w:jc w:val="center"/>
                  </w:pPr>
                  <w:r>
                    <w:t xml:space="preserve">0.675</w:t>
                  </w:r>
                </w:p>
              </w:tc>
              <w:tc>
                <w:tcPr/>
                <w:p>
                  <w:pPr>
                    <w:pStyle w:val="Compact"/>
                    <w:jc w:val="right"/>
                    <w:jc w:val="center"/>
                  </w:pPr>
                  <w:r>
                    <w:t xml:space="preserve">0.049</w:t>
                  </w:r>
                </w:p>
              </w:tc>
              <w:tc>
                <w:tcPr/>
                <w:p>
                  <w:pPr>
                    <w:pStyle w:val="Compact"/>
                    <w:jc w:val="right"/>
                    <w:jc w:val="center"/>
                  </w:pPr>
                  <w:r>
                    <w:t xml:space="preserve">13.919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Caitlin Clark</w:t>
                  </w:r>
                </w:p>
              </w:tc>
              <w:tc>
                <w:tcPr/>
                <w:p>
                  <w:pPr>
                    <w:pStyle w:val="Compact"/>
                    <w:jc w:val="right"/>
                    <w:jc w:val="center"/>
                  </w:pPr>
                  <w:r>
                    <w:t xml:space="preserve">0.691</w:t>
                  </w:r>
                </w:p>
              </w:tc>
              <w:tc>
                <w:tcPr/>
                <w:p>
                  <w:pPr>
                    <w:pStyle w:val="Compact"/>
                    <w:jc w:val="right"/>
                    <w:jc w:val="center"/>
                  </w:pPr>
                  <w:r>
                    <w:t xml:space="preserve">0.050</w:t>
                  </w:r>
                </w:p>
              </w:tc>
              <w:tc>
                <w:tcPr/>
                <w:p>
                  <w:pPr>
                    <w:pStyle w:val="Compact"/>
                    <w:jc w:val="right"/>
                    <w:jc w:val="center"/>
                  </w:pPr>
                  <w:r>
                    <w:t xml:space="preserve">13.776</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Caitlin Clark</w:t>
                  </w:r>
                </w:p>
              </w:tc>
              <w:tc>
                <w:tcPr/>
                <w:p>
                  <w:pPr>
                    <w:pStyle w:val="Compact"/>
                    <w:jc w:val="right"/>
                    <w:jc w:val="center"/>
                  </w:pPr>
                  <w:r>
                    <w:t xml:space="preserve">0.675</w:t>
                  </w:r>
                </w:p>
              </w:tc>
              <w:tc>
                <w:tcPr/>
                <w:p>
                  <w:pPr>
                    <w:pStyle w:val="Compact"/>
                    <w:jc w:val="right"/>
                    <w:jc w:val="center"/>
                  </w:pPr>
                  <w:r>
                    <w:t xml:space="preserve">0.049</w:t>
                  </w:r>
                </w:p>
              </w:tc>
              <w:tc>
                <w:tcPr/>
                <w:p>
                  <w:pPr>
                    <w:pStyle w:val="Compact"/>
                    <w:jc w:val="right"/>
                    <w:jc w:val="center"/>
                  </w:pPr>
                  <w:r>
                    <w:t xml:space="preserve">13.860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I(Loss Aversion)</w:t>
                  </w:r>
                </w:p>
              </w:tc>
              <w:tc>
                <w:tcPr/>
                <w:p>
                  <w:pPr>
                    <w:pStyle w:val="Compact"/>
                    <w:jc w:val="right"/>
                    <w:jc w:val="center"/>
                  </w:pPr>
                  <w:r>
                    <w:t xml:space="preserve">0.242</w:t>
                  </w:r>
                </w:p>
              </w:tc>
              <w:tc>
                <w:tcPr/>
                <w:p>
                  <w:pPr>
                    <w:pStyle w:val="Compact"/>
                    <w:jc w:val="right"/>
                    <w:jc w:val="center"/>
                  </w:pPr>
                  <w:r>
                    <w:t xml:space="preserve">0.352</w:t>
                  </w:r>
                </w:p>
              </w:tc>
              <w:tc>
                <w:tcPr/>
                <w:p>
                  <w:pPr>
                    <w:pStyle w:val="Compact"/>
                    <w:jc w:val="right"/>
                    <w:jc w:val="center"/>
                  </w:pPr>
                  <w:r>
                    <w:t xml:space="preserve">0.688</w:t>
                  </w:r>
                </w:p>
              </w:tc>
              <w:tc>
                <w:tcPr/>
                <w:p>
                  <w:pPr>
                    <w:pStyle w:val="Compact"/>
                    <w:jc w:val="right"/>
                    <w:jc w:val="center"/>
                  </w:pPr>
                  <w:r>
                    <w:t xml:space="preserve">0.491</w:t>
                  </w:r>
                </w:p>
              </w:tc>
            </w:tr>
            <w:tr>
              <w:tc>
                <w:tcPr/>
                <w:p>
                  <w:pPr>
                    <w:pStyle w:val="Compact"/>
                    <w:jc w:val="left"/>
                    <w:jc w:val="center"/>
                  </w:pPr>
                  <w:r>
                    <w:t xml:space="preserve">f1</w:t>
                  </w:r>
                </w:p>
              </w:tc>
              <w:tc>
                <w:tcPr/>
                <w:p>
                  <w:pPr>
                    <w:pStyle w:val="Compact"/>
                    <w:jc w:val="left"/>
                    <w:jc w:val="center"/>
                  </w:pPr>
                  <w:r>
                    <w:t xml:space="preserve">I(Quality Of Play)</w:t>
                  </w:r>
                </w:p>
              </w:tc>
              <w:tc>
                <w:tcPr/>
                <w:p>
                  <w:pPr>
                    <w:pStyle w:val="Compact"/>
                    <w:jc w:val="right"/>
                    <w:jc w:val="center"/>
                  </w:pPr>
                  <w:r>
                    <w:t xml:space="preserve">0.002</w:t>
                  </w:r>
                </w:p>
              </w:tc>
              <w:tc>
                <w:tcPr/>
                <w:p>
                  <w:pPr>
                    <w:pStyle w:val="Compact"/>
                    <w:jc w:val="right"/>
                    <w:jc w:val="center"/>
                  </w:pPr>
                  <w:r>
                    <w:t xml:space="preserve">0.001</w:t>
                  </w:r>
                </w:p>
              </w:tc>
              <w:tc>
                <w:tcPr/>
                <w:p>
                  <w:pPr>
                    <w:pStyle w:val="Compact"/>
                    <w:jc w:val="right"/>
                    <w:jc w:val="center"/>
                  </w:pPr>
                  <w:r>
                    <w:t xml:space="preserve">2.777</w:t>
                  </w:r>
                </w:p>
              </w:tc>
              <w:tc>
                <w:tcPr/>
                <w:p>
                  <w:pPr>
                    <w:pStyle w:val="Compact"/>
                    <w:jc w:val="right"/>
                    <w:jc w:val="center"/>
                  </w:pPr>
                  <w:r>
                    <w:t xml:space="preserve">0.006</w:t>
                  </w:r>
                </w:p>
              </w:tc>
            </w:tr>
            <w:tr>
              <w:tc>
                <w:tcPr/>
                <w:p>
                  <w:pPr>
                    <w:pStyle w:val="Compact"/>
                    <w:jc w:val="left"/>
                    <w:jc w:val="center"/>
                  </w:pPr>
                  <w:r>
                    <w:t xml:space="preserve">f2</w:t>
                  </w:r>
                </w:p>
              </w:tc>
              <w:tc>
                <w:tcPr/>
                <w:p>
                  <w:pPr>
                    <w:pStyle w:val="Compact"/>
                    <w:jc w:val="left"/>
                    <w:jc w:val="center"/>
                  </w:pPr>
                  <w:r>
                    <w:t xml:space="preserve">I(Uncertain Outcome)</w:t>
                  </w:r>
                </w:p>
              </w:tc>
              <w:tc>
                <w:tcPr/>
                <w:p>
                  <w:pPr>
                    <w:pStyle w:val="Compact"/>
                    <w:jc w:val="right"/>
                    <w:jc w:val="center"/>
                  </w:pPr>
                  <w:r>
                    <w:t xml:space="preserve">0.000</w:t>
                  </w:r>
                </w:p>
              </w:tc>
              <w:tc>
                <w:tcPr/>
                <w:p>
                  <w:pPr>
                    <w:pStyle w:val="Compact"/>
                    <w:jc w:val="right"/>
                    <w:jc w:val="center"/>
                  </w:pPr>
                  <w:r>
                    <w:t xml:space="preserve">0.001</w:t>
                  </w:r>
                </w:p>
              </w:tc>
              <w:tc>
                <w:tcPr/>
                <w:p>
                  <w:pPr>
                    <w:pStyle w:val="Compact"/>
                    <w:jc w:val="right"/>
                    <w:jc w:val="center"/>
                  </w:pPr>
                  <w:r>
                    <w:t xml:space="preserve">-0.430</w:t>
                  </w:r>
                </w:p>
              </w:tc>
              <w:tc>
                <w:tcPr/>
                <w:p>
                  <w:pPr>
                    <w:pStyle w:val="Compact"/>
                    <w:jc w:val="right"/>
                    <w:jc w:val="center"/>
                  </w:pPr>
                  <w:r>
                    <w:t xml:space="preserve">0.667</w:t>
                  </w:r>
                </w:p>
              </w:tc>
            </w:tr>
            <w:tr>
              <w:tc>
                <w:tcPr/>
                <w:p>
                  <w:pPr>
                    <w:pStyle w:val="Compact"/>
                    <w:jc w:val="left"/>
                    <w:jc w:val="center"/>
                  </w:pPr>
                  <w:r>
                    <w:t xml:space="preserve">f1</w:t>
                  </w:r>
                </w:p>
              </w:tc>
              <w:tc>
                <w:tcPr/>
                <w:p>
                  <w:pPr>
                    <w:pStyle w:val="Compact"/>
                    <w:jc w:val="left"/>
                    <w:jc w:val="center"/>
                  </w:pPr>
                  <w:r>
                    <w:t xml:space="preserve">Median Income</w:t>
                  </w:r>
                </w:p>
              </w:tc>
              <w:tc>
                <w:tcPr/>
                <w:p>
                  <w:pPr>
                    <w:pStyle w:val="Compact"/>
                    <w:jc w:val="right"/>
                    <w:jc w:val="center"/>
                  </w:pPr>
                  <w:r>
                    <w:t xml:space="preserve">-0.007</w:t>
                  </w:r>
                </w:p>
              </w:tc>
              <w:tc>
                <w:tcPr/>
                <w:p>
                  <w:pPr>
                    <w:pStyle w:val="Compact"/>
                    <w:jc w:val="right"/>
                    <w:jc w:val="center"/>
                  </w:pPr>
                  <w:r>
                    <w:t xml:space="preserve">0.002</w:t>
                  </w:r>
                </w:p>
              </w:tc>
              <w:tc>
                <w:tcPr/>
                <w:p>
                  <w:pPr>
                    <w:pStyle w:val="Compact"/>
                    <w:jc w:val="right"/>
                    <w:jc w:val="center"/>
                  </w:pPr>
                  <w:r>
                    <w:t xml:space="preserve">-3.686</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 Income</w:t>
                  </w:r>
                </w:p>
              </w:tc>
              <w:tc>
                <w:tcPr/>
                <w:p>
                  <w:pPr>
                    <w:pStyle w:val="Compact"/>
                    <w:jc w:val="right"/>
                    <w:jc w:val="center"/>
                  </w:pPr>
                  <w:r>
                    <w:t xml:space="preserve">-0.006</w:t>
                  </w:r>
                </w:p>
              </w:tc>
              <w:tc>
                <w:tcPr/>
                <w:p>
                  <w:pPr>
                    <w:pStyle w:val="Compact"/>
                    <w:jc w:val="right"/>
                    <w:jc w:val="center"/>
                  </w:pPr>
                  <w:r>
                    <w:t xml:space="preserve">0.002</w:t>
                  </w:r>
                </w:p>
              </w:tc>
              <w:tc>
                <w:tcPr/>
                <w:p>
                  <w:pPr>
                    <w:pStyle w:val="Compact"/>
                    <w:jc w:val="right"/>
                    <w:jc w:val="center"/>
                  </w:pPr>
                  <w:r>
                    <w:t xml:space="preserve">-2.930</w:t>
                  </w:r>
                </w:p>
              </w:tc>
              <w:tc>
                <w:tcPr/>
                <w:p>
                  <w:pPr>
                    <w:pStyle w:val="Compact"/>
                    <w:jc w:val="right"/>
                    <w:jc w:val="center"/>
                  </w:pPr>
                  <w:r>
                    <w:t xml:space="preserve">0.003</w:t>
                  </w:r>
                </w:p>
              </w:tc>
            </w:tr>
            <w:tr>
              <w:tc>
                <w:tcPr/>
                <w:p>
                  <w:pPr>
                    <w:pStyle w:val="Compact"/>
                    <w:jc w:val="left"/>
                    <w:jc w:val="center"/>
                  </w:pPr>
                  <w:r>
                    <w:t xml:space="preserve">f3</w:t>
                  </w:r>
                </w:p>
              </w:tc>
              <w:tc>
                <w:tcPr/>
                <w:p>
                  <w:pPr>
                    <w:pStyle w:val="Compact"/>
                    <w:jc w:val="left"/>
                    <w:jc w:val="center"/>
                  </w:pPr>
                  <w:r>
                    <w:t xml:space="preserve">Median Income</w:t>
                  </w:r>
                </w:p>
              </w:tc>
              <w:tc>
                <w:tcPr/>
                <w:p>
                  <w:pPr>
                    <w:pStyle w:val="Compact"/>
                    <w:jc w:val="right"/>
                    <w:jc w:val="center"/>
                  </w:pPr>
                  <w:r>
                    <w:t xml:space="preserve">-0.008</w:t>
                  </w:r>
                </w:p>
              </w:tc>
              <w:tc>
                <w:tcPr/>
                <w:p>
                  <w:pPr>
                    <w:pStyle w:val="Compact"/>
                    <w:jc w:val="right"/>
                    <w:jc w:val="center"/>
                  </w:pPr>
                  <w:r>
                    <w:t xml:space="preserve">0.002</w:t>
                  </w:r>
                </w:p>
              </w:tc>
              <w:tc>
                <w:tcPr/>
                <w:p>
                  <w:pPr>
                    <w:pStyle w:val="Compact"/>
                    <w:jc w:val="right"/>
                    <w:jc w:val="center"/>
                  </w:pPr>
                  <w:r>
                    <w:t xml:space="preserve">-4.098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 Pop</w:t>
                  </w:r>
                </w:p>
              </w:tc>
              <w:tc>
                <w:tcPr/>
                <w:p>
                  <w:pPr>
                    <w:pStyle w:val="Compact"/>
                    <w:jc w:val="right"/>
                    <w:jc w:val="center"/>
                  </w:pPr>
                  <w:r>
                    <w:t xml:space="preserve">0.015</w:t>
                  </w:r>
                </w:p>
              </w:tc>
              <w:tc>
                <w:tcPr/>
                <w:p>
                  <w:pPr>
                    <w:pStyle w:val="Compact"/>
                    <w:jc w:val="right"/>
                    <w:jc w:val="center"/>
                  </w:pPr>
                  <w:r>
                    <w:t xml:space="preserve">0.007</w:t>
                  </w:r>
                </w:p>
              </w:tc>
              <w:tc>
                <w:tcPr/>
                <w:p>
                  <w:pPr>
                    <w:pStyle w:val="Compact"/>
                    <w:jc w:val="right"/>
                    <w:jc w:val="center"/>
                  </w:pPr>
                  <w:r>
                    <w:t xml:space="preserve">2.040</w:t>
                  </w:r>
                </w:p>
              </w:tc>
              <w:tc>
                <w:tcPr/>
                <w:p>
                  <w:pPr>
                    <w:pStyle w:val="Compact"/>
                    <w:jc w:val="right"/>
                    <w:jc w:val="center"/>
                  </w:pPr>
                  <w:r>
                    <w:t xml:space="preserve">0.041</w:t>
                  </w:r>
                </w:p>
              </w:tc>
            </w:tr>
            <w:tr>
              <w:tc>
                <w:tcPr/>
                <w:p>
                  <w:pPr>
                    <w:pStyle w:val="Compact"/>
                    <w:jc w:val="left"/>
                    <w:jc w:val="center"/>
                  </w:pPr>
                  <w:r>
                    <w:t xml:space="preserve">f2</w:t>
                  </w:r>
                </w:p>
              </w:tc>
              <w:tc>
                <w:tcPr/>
                <w:p>
                  <w:pPr>
                    <w:pStyle w:val="Compact"/>
                    <w:jc w:val="left"/>
                    <w:jc w:val="center"/>
                  </w:pPr>
                  <w:r>
                    <w:t xml:space="preserve">Median Pop</w:t>
                  </w:r>
                </w:p>
              </w:tc>
              <w:tc>
                <w:tcPr/>
                <w:p>
                  <w:pPr>
                    <w:pStyle w:val="Compact"/>
                    <w:jc w:val="right"/>
                    <w:jc w:val="center"/>
                  </w:pPr>
                  <w:r>
                    <w:t xml:space="preserve">0.013</w:t>
                  </w:r>
                </w:p>
              </w:tc>
              <w:tc>
                <w:tcPr/>
                <w:p>
                  <w:pPr>
                    <w:pStyle w:val="Compact"/>
                    <w:jc w:val="right"/>
                    <w:jc w:val="center"/>
                  </w:pPr>
                  <w:r>
                    <w:t xml:space="preserve">0.007</w:t>
                  </w:r>
                </w:p>
              </w:tc>
              <w:tc>
                <w:tcPr/>
                <w:p>
                  <w:pPr>
                    <w:pStyle w:val="Compact"/>
                    <w:jc w:val="right"/>
                    <w:jc w:val="center"/>
                  </w:pPr>
                  <w:r>
                    <w:t xml:space="preserve">1.772</w:t>
                  </w:r>
                </w:p>
              </w:tc>
              <w:tc>
                <w:tcPr/>
                <w:p>
                  <w:pPr>
                    <w:pStyle w:val="Compact"/>
                    <w:jc w:val="right"/>
                    <w:jc w:val="center"/>
                  </w:pPr>
                  <w:r>
                    <w:t xml:space="preserve">0.076</w:t>
                  </w:r>
                </w:p>
              </w:tc>
            </w:tr>
            <w:tr>
              <w:tc>
                <w:tcPr/>
                <w:p>
                  <w:pPr>
                    <w:pStyle w:val="Compact"/>
                    <w:jc w:val="left"/>
                    <w:jc w:val="center"/>
                  </w:pPr>
                  <w:r>
                    <w:t xml:space="preserve">f3</w:t>
                  </w:r>
                </w:p>
              </w:tc>
              <w:tc>
                <w:tcPr/>
                <w:p>
                  <w:pPr>
                    <w:pStyle w:val="Compact"/>
                    <w:jc w:val="left"/>
                    <w:jc w:val="center"/>
                  </w:pPr>
                  <w:r>
                    <w:t xml:space="preserve">Median Pop</w:t>
                  </w:r>
                </w:p>
              </w:tc>
              <w:tc>
                <w:tcPr/>
                <w:p>
                  <w:pPr>
                    <w:pStyle w:val="Compact"/>
                    <w:jc w:val="right"/>
                    <w:jc w:val="center"/>
                  </w:pPr>
                  <w:r>
                    <w:t xml:space="preserve">0.015</w:t>
                  </w:r>
                </w:p>
              </w:tc>
              <w:tc>
                <w:tcPr/>
                <w:p>
                  <w:pPr>
                    <w:pStyle w:val="Compact"/>
                    <w:jc w:val="right"/>
                    <w:jc w:val="center"/>
                  </w:pPr>
                  <w:r>
                    <w:t xml:space="preserve">0.007</w:t>
                  </w:r>
                </w:p>
              </w:tc>
              <w:tc>
                <w:tcPr/>
                <w:p>
                  <w:pPr>
                    <w:pStyle w:val="Compact"/>
                    <w:jc w:val="right"/>
                    <w:jc w:val="center"/>
                  </w:pPr>
                  <w:r>
                    <w:t xml:space="preserve">2.080</w:t>
                  </w:r>
                </w:p>
              </w:tc>
              <w:tc>
                <w:tcPr/>
                <w:p>
                  <w:pPr>
                    <w:pStyle w:val="Compact"/>
                    <w:jc w:val="right"/>
                    <w:jc w:val="center"/>
                  </w:pPr>
                  <w:r>
                    <w:t xml:space="preserve">0.038</w:t>
                  </w:r>
                </w:p>
              </w:tc>
            </w:tr>
          </w:tbl>
          <w:bookmarkEnd w:id="6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Consider first the strong evidence for the Caitlin Clark effect.</w:t>
      </w:r>
      <w:r>
        <w:t xml:space="preserve"> </w:t>
      </w:r>
      <w:r>
        <w:t xml:space="preserve">Even for the smallest coefficient in</w:t>
      </w:r>
      <w:r>
        <w:t xml:space="preserve"> </w:t>
      </w:r>
      <w:hyperlink w:anchor="tbl-coefs">
        <w:r>
          <w:rPr>
            <w:rStyle w:val="Hyperlink"/>
          </w:rPr>
          <w:t xml:space="preserve">Table 3</w:t>
        </w:r>
      </w:hyperlink>
      <w:r>
        <w:t xml:space="preserve">, the expected attendance nearly doubles (i.e., is multiplied by</w:t>
      </w:r>
      <w:r>
        <w:t xml:space="preserve"> </w:t>
      </w:r>
      <m:oMath>
        <m:r>
          <m:rPr>
            <m:sty m:val="p"/>
          </m:rPr>
          <m:t>exp</m:t>
        </m:r>
        <m:r>
          <m:rPr>
            <m:sty m:val="p"/>
          </m:rPr>
          <m:t>(</m:t>
        </m:r>
        <m:r>
          <m:t>0.653</m:t>
        </m:r>
        <m:r>
          <m:rPr>
            <m:sty m:val="p"/>
          </m:rPr>
          <m:t>)</m:t>
        </m:r>
      </m:oMath>
      <w:r>
        <w:t xml:space="preserve"> </w:t>
      </w:r>
      <w:r>
        <w:t xml:space="preserve">= 1.96)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p>
    <w:p>
      <w:pPr>
        <w:pStyle w:val="BodyText"/>
      </w:pPr>
      <w:r>
        <w:t xml:space="preserve">Conversely, the evidence for the quality of play (</w:t>
      </w:r>
      <m:oMath>
        <m:sSub>
          <m:e>
            <m:r>
              <m:t>f</m:t>
            </m:r>
          </m:e>
          <m:sub>
            <m:r>
              <m:t>1</m:t>
            </m:r>
          </m:sub>
        </m:sSub>
      </m:oMath>
      <w:r>
        <w:t xml:space="preserve">) and uncertainty of outcome (</w:t>
      </w:r>
      <m:oMath>
        <m:sSub>
          <m:e>
            <m:r>
              <m:t>f</m:t>
            </m:r>
          </m:e>
          <m:sub>
            <m:r>
              <m:t>2</m:t>
            </m:r>
          </m:sub>
        </m:sSub>
      </m:oMath>
      <w:r>
        <w:t xml:space="preserve">) hypotheses is weak, with those coefficients barely moving the needle.</w:t>
      </w:r>
      <w:r>
        <w:t xml:space="preserve"> </w:t>
      </w:r>
      <w:r>
        <w:t xml:space="preserve">For the loss aversion hypothesis, a 10 percentage point increase in the probability of the home team winning is associated with a modest 4.31% increase in the expected attendance, after controlling for our other factors.</w:t>
      </w:r>
    </w:p>
    <w:p>
      <w:pPr>
        <w:pStyle w:val="BodyText"/>
      </w:pPr>
      <w:hyperlink w:anchor="tbl-glance">
        <w:r>
          <w:rPr>
            <w:rStyle w:val="Hyperlink"/>
          </w:rPr>
          <w:t xml:space="preserve">Table 4</w:t>
        </w:r>
      </w:hyperlink>
      <w:r>
        <w:t xml:space="preserve"> </w:t>
      </w:r>
      <w:r>
        <w:t xml:space="preserve">characterizes the model fits.</w:t>
      </w:r>
      <w:r>
        <w:t xml:space="preserve"> </w:t>
      </w:r>
      <w:r>
        <w:t xml:space="preserve">We can see that while all models achieve a similar fit, models</w:t>
      </w:r>
      <w:r>
        <w:t xml:space="preserve"> </w:t>
      </w:r>
      <m:oMath>
        <m:sSub>
          <m:e>
            <m:r>
              <m:t>f</m:t>
            </m:r>
          </m:e>
          <m:sub>
            <m:r>
              <m:t>1</m:t>
            </m:r>
          </m:sub>
        </m:sSub>
      </m:oMath>
      <w:r>
        <w:t xml:space="preserve"> </w:t>
      </w:r>
      <w:r>
        <w:t xml:space="preserve">(corresponding to the quality of play hypothesis) and</w:t>
      </w:r>
      <w:r>
        <w:t xml:space="preserve"> </w:t>
      </w:r>
      <m:oMath>
        <m:sSub>
          <m:e>
            <m:r>
              <m:t>f</m:t>
            </m:r>
          </m:e>
          <m:sub>
            <m:r>
              <m:t>3</m:t>
            </m:r>
          </m:sub>
        </m:sSub>
      </m:oMath>
      <w:r>
        <w:t xml:space="preserve"> </w:t>
      </w:r>
      <w:r>
        <w:t xml:space="preserve">(corresponding to the home win probability) are slightly superior by most metrics.</w:t>
      </w:r>
    </w:p>
    <w:tbl>
      <w:tblPr>
        <w:tblStyle w:val="Table"/>
        <w:tblW w:type="pct" w:w="5000"/>
        <w:tblLayout w:type="fixed"/>
        <w:tblLook w:firstRow="0" w:lastRow="0" w:firstColumn="0" w:lastColumn="0" w:noHBand="0" w:noVBand="0" w:val="0000"/>
      </w:tblPr>
      <w:tblGrid>
        <w:gridCol w:w="7920"/>
      </w:tblGrid>
      <w:tr>
        <w:tc>
          <w:tcPr/>
          <w:bookmarkStart w:id="69" w:name="tbl-glance"/>
          <w:p>
            <w:pPr>
              <w:jc w:val="center"/>
            </w:pPr>
            <w:pPr>
              <w:jc w:val="left"/>
              <w:spacing w:before="200"/>
              <w:pStyle w:val="ImageCaption"/>
            </w:pPr>
            <w:r>
              <w:t xml:space="preserve">Table 4: Comparison of models.</w:t>
            </w:r>
          </w:p>
          <w:tbl>
            <w:tblPr>
              <w:tblStyle w:val="Table"/>
              <w:tblW w:type="pct" w:w="5000"/>
              <w:tblLayout w:type="fixed"/>
              <w:tblLook w:firstRow="1" w:lastRow="0" w:firstColumn="0" w:lastColumn="0" w:noHBand="0" w:noVBand="0" w:val="0020"/>
            </w:tblPr>
            <w:tblGrid>
              <w:gridCol w:w="428"/>
              <w:gridCol w:w="713"/>
              <w:gridCol w:w="998"/>
              <w:gridCol w:w="428"/>
              <w:gridCol w:w="713"/>
              <w:gridCol w:w="570"/>
              <w:gridCol w:w="214"/>
              <w:gridCol w:w="713"/>
              <w:gridCol w:w="642"/>
              <w:gridCol w:w="642"/>
              <w:gridCol w:w="642"/>
              <w:gridCol w:w="856"/>
              <w:gridCol w:w="356"/>
            </w:tblGrid>
            <w:tr>
              <w:trPr>
                <w:tblHeader w:val="on"/>
              </w:trPr>
              <w:tc>
                <w:tcPr/>
                <w:p>
                  <w:pPr>
                    <w:pStyle w:val="Compact"/>
                    <w:jc w:val="left"/>
                    <w:jc w:val="center"/>
                  </w:pPr>
                  <w:r>
                    <w:t xml:space="preserve">model</w:t>
                  </w:r>
                </w:p>
              </w:tc>
              <w:tc>
                <w:tcPr/>
                <w:p>
                  <w:pPr>
                    <w:pStyle w:val="Compact"/>
                    <w:jc w:val="right"/>
                    <w:jc w:val="center"/>
                  </w:pPr>
                  <w:r>
                    <w:t xml:space="preserve">r.squared</w:t>
                  </w:r>
                </w:p>
              </w:tc>
              <w:tc>
                <w:tcPr/>
                <w:p>
                  <w:pPr>
                    <w:pStyle w:val="Compact"/>
                    <w:jc w:val="right"/>
                    <w:jc w:val="center"/>
                  </w:pPr>
                  <w:r>
                    <w:t xml:space="preserve">adj.r.squared</w:t>
                  </w:r>
                </w:p>
              </w:tc>
              <w:tc>
                <w:tcPr/>
                <w:p>
                  <w:pPr>
                    <w:pStyle w:val="Compact"/>
                    <w:jc w:val="right"/>
                    <w:jc w:val="center"/>
                  </w:pPr>
                  <w:r>
                    <w:t xml:space="preserve">sigma</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df</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0.420</w:t>
                  </w:r>
                </w:p>
              </w:tc>
              <w:tc>
                <w:tcPr/>
                <w:p>
                  <w:pPr>
                    <w:pStyle w:val="Compact"/>
                    <w:jc w:val="right"/>
                    <w:jc w:val="center"/>
                  </w:pPr>
                  <w:r>
                    <w:t xml:space="preserve">0.411</w:t>
                  </w:r>
                </w:p>
              </w:tc>
              <w:tc>
                <w:tcPr/>
                <w:p>
                  <w:pPr>
                    <w:pStyle w:val="Compact"/>
                    <w:jc w:val="right"/>
                    <w:jc w:val="center"/>
                  </w:pPr>
                  <w:r>
                    <w:t xml:space="preserve">0.322</w:t>
                  </w:r>
                </w:p>
              </w:tc>
              <w:tc>
                <w:tcPr/>
                <w:p>
                  <w:pPr>
                    <w:pStyle w:val="Compact"/>
                    <w:jc w:val="right"/>
                    <w:jc w:val="center"/>
                  </w:pPr>
                  <w:r>
                    <w:t xml:space="preserve">46.193</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-1411.098</w:t>
                  </w:r>
                </w:p>
              </w:tc>
              <w:tc>
                <w:tcPr/>
                <w:p>
                  <w:pPr>
                    <w:pStyle w:val="Compact"/>
                    <w:jc w:val="right"/>
                    <w:jc w:val="center"/>
                  </w:pPr>
                  <w:r>
                    <w:t xml:space="preserve">2982.197</w:t>
                  </w:r>
                </w:p>
              </w:tc>
              <w:tc>
                <w:tcPr/>
                <w:p>
                  <w:pPr>
                    <w:pStyle w:val="Compact"/>
                    <w:jc w:val="right"/>
                    <w:jc w:val="center"/>
                  </w:pPr>
                  <w:r>
                    <w:t xml:space="preserve">3504.574</w:t>
                  </w:r>
                </w:p>
              </w:tc>
              <w:tc>
                <w:tcPr/>
                <w:p>
                  <w:pPr>
                    <w:pStyle w:val="Compact"/>
                    <w:jc w:val="right"/>
                    <w:jc w:val="center"/>
                  </w:pPr>
                  <w:r>
                    <w:t xml:space="preserve">517.626</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0.387</w:t>
                  </w:r>
                </w:p>
              </w:tc>
              <w:tc>
                <w:tcPr/>
                <w:p>
                  <w:pPr>
                    <w:pStyle w:val="Compact"/>
                    <w:jc w:val="right"/>
                    <w:jc w:val="center"/>
                  </w:pPr>
                  <w:r>
                    <w:t xml:space="preserve">0.378</w:t>
                  </w:r>
                </w:p>
              </w:tc>
              <w:tc>
                <w:tcPr/>
                <w:p>
                  <w:pPr>
                    <w:pStyle w:val="Compact"/>
                    <w:jc w:val="right"/>
                    <w:jc w:val="center"/>
                  </w:pPr>
                  <w:r>
                    <w:t xml:space="preserve">0.331</w:t>
                  </w:r>
                </w:p>
              </w:tc>
              <w:tc>
                <w:tcPr/>
                <w:p>
                  <w:pPr>
                    <w:pStyle w:val="Compact"/>
                    <w:jc w:val="right"/>
                    <w:jc w:val="center"/>
                  </w:pPr>
                  <w:r>
                    <w:t xml:space="preserve">40.370</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-1548.665</w:t>
                  </w:r>
                </w:p>
              </w:tc>
              <w:tc>
                <w:tcPr/>
                <w:p>
                  <w:pPr>
                    <w:pStyle w:val="Compact"/>
                    <w:jc w:val="right"/>
                    <w:jc w:val="center"/>
                  </w:pPr>
                  <w:r>
                    <w:t xml:space="preserve">3257.331</w:t>
                  </w:r>
                </w:p>
              </w:tc>
              <w:tc>
                <w:tcPr/>
                <w:p>
                  <w:pPr>
                    <w:pStyle w:val="Compact"/>
                    <w:jc w:val="right"/>
                    <w:jc w:val="center"/>
                  </w:pPr>
                  <w:r>
                    <w:t xml:space="preserve">3779.708</w:t>
                  </w:r>
                </w:p>
              </w:tc>
              <w:tc>
                <w:tcPr/>
                <w:p>
                  <w:pPr>
                    <w:pStyle w:val="Compact"/>
                    <w:jc w:val="right"/>
                    <w:jc w:val="center"/>
                  </w:pPr>
                  <w:r>
                    <w:t xml:space="preserve">546.533</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0.415</w:t>
                  </w:r>
                </w:p>
              </w:tc>
              <w:tc>
                <w:tcPr/>
                <w:p>
                  <w:pPr>
                    <w:pStyle w:val="Compact"/>
                    <w:jc w:val="right"/>
                    <w:jc w:val="center"/>
                  </w:pPr>
                  <w:r>
                    <w:t xml:space="preserve">0.406</w:t>
                  </w:r>
                </w:p>
              </w:tc>
              <w:tc>
                <w:tcPr/>
                <w:p>
                  <w:pPr>
                    <w:pStyle w:val="Compact"/>
                    <w:jc w:val="right"/>
                    <w:jc w:val="center"/>
                  </w:pPr>
                  <w:r>
                    <w:t xml:space="preserve">0.323</w:t>
                  </w:r>
                </w:p>
              </w:tc>
              <w:tc>
                <w:tcPr/>
                <w:p>
                  <w:pPr>
                    <w:pStyle w:val="Compact"/>
                    <w:jc w:val="right"/>
                    <w:jc w:val="center"/>
                  </w:pPr>
                  <w:r>
                    <w:t xml:space="preserve">45.365</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-1430.227</w:t>
                  </w:r>
                </w:p>
              </w:tc>
              <w:tc>
                <w:tcPr/>
                <w:p>
                  <w:pPr>
                    <w:pStyle w:val="Compact"/>
                    <w:jc w:val="right"/>
                    <w:jc w:val="center"/>
                  </w:pPr>
                  <w:r>
                    <w:t xml:space="preserve">3020.454</w:t>
                  </w:r>
                </w:p>
              </w:tc>
              <w:tc>
                <w:tcPr/>
                <w:p>
                  <w:pPr>
                    <w:pStyle w:val="Compact"/>
                    <w:jc w:val="right"/>
                    <w:jc w:val="center"/>
                  </w:pPr>
                  <w:r>
                    <w:t xml:space="preserve">3542.831</w:t>
                  </w:r>
                </w:p>
              </w:tc>
              <w:tc>
                <w:tcPr/>
                <w:p>
                  <w:pPr>
                    <w:pStyle w:val="Compact"/>
                    <w:jc w:val="right"/>
                    <w:jc w:val="center"/>
                  </w:pPr>
                  <w:r>
                    <w:t xml:space="preserve">521.552</w:t>
                  </w:r>
                </w:p>
              </w:tc>
              <w:tc>
                <w:tcPr/>
                <w:p>
                  <w:pPr>
                    <w:pStyle w:val="Compact"/>
                    <w:jc w:val="right"/>
                    <w:jc w:val="center"/>
                  </w:pPr>
                  <w:r>
                    <w:t xml:space="preserve">4984</w:t>
                  </w:r>
                </w:p>
              </w:tc>
              <w:tc>
                <w:tcPr/>
                <w:p>
                  <w:pPr>
                    <w:pStyle w:val="Compact"/>
                    <w:jc w:val="right"/>
                    <w:jc w:val="center"/>
                  </w:pPr>
                  <w:r>
                    <w:t xml:space="preserve">5063</w:t>
                  </w:r>
                </w:p>
              </w:tc>
            </w:tr>
          </w:tbl>
          <w:bookmarkEnd w:id="6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
        <w:r>
          <w:rPr>
            <w:rStyle w:val="Hyperlink"/>
          </w:rPr>
          <w:t xml:space="preserve">Figure 9</w:t>
        </w:r>
      </w:hyperlink>
      <w:r>
        <w:t xml:space="preserve"> </w:t>
      </w:r>
      <w:r>
        <w:t xml:space="preserve">shows that after controlling for the Caitlin Clark effect, expected attendance is only just returning its 1997 baseline in the most recent season.</w:t>
      </w:r>
      <w:r>
        <w:t xml:space="preserve"> </w:t>
      </w:r>
      <w:r>
        <w:t xml:space="preserve">This is a mixed blessing.</w:t>
      </w:r>
      <w:r>
        <w:t xml:space="preserve"> </w:t>
      </w:r>
      <w:r>
        <w:t xml:space="preserve">On the one hand, even after controlling for Clark, league expected attendance has fully recovered from the COVID-19 pandemic and the malaise of the early 2000s and 2010s.</w:t>
      </w:r>
      <w:r>
        <w:t xml:space="preserve"> </w:t>
      </w:r>
      <w:r>
        <w:t xml:space="preserve">On the other hand, it seems unlikely that the league would have achieved record high attendance without Clark.</w:t>
      </w:r>
    </w:p>
    <w:bookmarkStart w:id="74" w:name="cell-fig-season-coefs"/>
    <w:tbl>
      <w:tblPr>
        <w:tblStyle w:val="Table"/>
        <w:tblW w:type="pct" w:w="5000"/>
        <w:tblLayout w:type="fixed"/>
        <w:tblLook w:firstRow="0" w:lastRow="0" w:firstColumn="0" w:lastColumn="0" w:noHBand="0" w:noVBand="0" w:val="0000"/>
      </w:tblPr>
      <w:tblGrid>
        <w:gridCol w:w="7920"/>
      </w:tblGrid>
      <w:tr>
        <w:tc>
          <w:tcPr/>
          <w:bookmarkStart w:id="73" w:name="fig-season-coefs"/>
          <w:p>
            <w:pPr>
              <w:pStyle w:val="Compact"/>
              <w:jc w:val="center"/>
            </w:pPr>
            <w:r>
              <w:drawing>
                <wp:inline>
                  <wp:extent cx="4620126" cy="3696101"/>
                  <wp:effectExtent b="0" l="0" r="0" t="0"/>
                  <wp:docPr descr="" title="" id="71" name="Picture"/>
                  <a:graphic>
                    <a:graphicData uri="http://schemas.openxmlformats.org/drawingml/2006/picture">
                      <pic:pic>
                        <pic:nvPicPr>
                          <pic:cNvPr descr="index_files/figure-docx/fig-season-coefs-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Estimated season-level fixed effects for natural logarithm of attendance models.</w:t>
            </w:r>
          </w:p>
          <w:bookmarkEnd w:id="7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4"/>
    <w:p>
      <w:pPr>
        <w:pStyle w:val="BodyText"/>
      </w:pPr>
      <w:hyperlink w:anchor="fig-season-slopes">
        <w:r>
          <w:rPr>
            <w:rStyle w:val="Hyperlink"/>
          </w:rPr>
          <w:t xml:space="preserve">Figure 10</w:t>
        </w:r>
      </w:hyperlink>
      <w:r>
        <w:t xml:space="preserve"> </w:t>
      </w:r>
      <w:r>
        <w:t xml:space="preserve">shows a general increase in the slope of the interaction terms in all three models in recent years.</w:t>
      </w:r>
      <w:r>
        <w:t xml:space="preserve"> </w:t>
      </w:r>
      <w:r>
        <w:t xml:space="preserve">For all three models, these change in slope coefficients were decidedly negative until around 2015.</w:t>
      </w:r>
      <w:r>
        <w:t xml:space="preserve"> </w:t>
      </w:r>
      <w:r>
        <w:t xml:space="preserve">This suggests that the relationship between attendance and fan engagement was more moderate during those years.</w:t>
      </w:r>
      <w:r>
        <w:t xml:space="preserve"> </w:t>
      </w:r>
      <w:r>
        <w:t xml:space="preserve">(Note that for all three models, the main effect of the fan engagement term in</w:t>
      </w:r>
      <w:r>
        <w:t xml:space="preserve"> </w:t>
      </w:r>
      <w:hyperlink w:anchor="tbl-coefs">
        <w:r>
          <w:rPr>
            <w:rStyle w:val="Hyperlink"/>
          </w:rPr>
          <w:t xml:space="preserve">Table 3</w:t>
        </w:r>
      </w:hyperlink>
      <w:r>
        <w:t xml:space="preserve"> </w:t>
      </w:r>
      <w:r>
        <w:t xml:space="preserve">is positive.)</w:t>
      </w:r>
      <w:r>
        <w:t xml:space="preserve"> </w:t>
      </w:r>
      <w:r>
        <w:t xml:space="preserve">While the change in slope associated with model</w:t>
      </w:r>
      <w:r>
        <w:t xml:space="preserve"> </w:t>
      </w:r>
      <m:oMath>
        <m:sSub>
          <m:e>
            <m:r>
              <m:t>f</m:t>
            </m:r>
          </m:e>
          <m:sub>
            <m:r>
              <m:t>1</m:t>
            </m:r>
          </m:sub>
        </m:sSub>
      </m:oMath>
      <w:r>
        <w:t xml:space="preserve"> </w:t>
      </w:r>
      <w:r>
        <w:t xml:space="preserve">is still negative, it is closer to zero than it has been in the past.</w:t>
      </w:r>
      <w:r>
        <w:t xml:space="preserve"> </w:t>
      </w:r>
      <w:r>
        <w:t xml:space="preserve">The changes in slope associated with models</w:t>
      </w:r>
      <w:r>
        <w:t xml:space="preserve"> </w:t>
      </w:r>
      <m:oMath>
        <m:sSub>
          <m:e>
            <m:r>
              <m:t>f</m:t>
            </m:r>
          </m:e>
          <m:sub>
            <m:r>
              <m:t>2</m:t>
            </m:r>
          </m:sub>
        </m:sSub>
      </m:oMath>
      <w:r>
        <w:t xml:space="preserve"> </w:t>
      </w:r>
      <w:r>
        <w:t xml:space="preserve">and</w:t>
      </w:r>
      <w:r>
        <w:t xml:space="preserve"> </w:t>
      </w:r>
      <m:oMath>
        <m:sSub>
          <m:e>
            <m:r>
              <m:t>f</m:t>
            </m:r>
          </m:e>
          <m:sub>
            <m:r>
              <m:t>3</m:t>
            </m:r>
          </m:sub>
        </m:sSub>
      </m:oMath>
      <w:r>
        <w:t xml:space="preserve"> </w:t>
      </w:r>
      <w:r>
        <w:t xml:space="preserve">are now positive, although it is difficult to assess the long-term trend due to the pandemic being only a few years past.</w:t>
      </w:r>
    </w:p>
    <w:bookmarkStart w:id="79" w:name="cell-fig-season-slopes"/>
    <w:tbl>
      <w:tblPr>
        <w:tblStyle w:val="Table"/>
        <w:tblW w:type="pct" w:w="5000"/>
        <w:tblLayout w:type="fixed"/>
        <w:tblLook w:firstRow="0" w:lastRow="0" w:firstColumn="0" w:lastColumn="0" w:noHBand="0" w:noVBand="0" w:val="0000"/>
      </w:tblPr>
      <w:tblGrid>
        <w:gridCol w:w="7920"/>
      </w:tblGrid>
      <w:tr>
        <w:tc>
          <w:tcPr/>
          <w:bookmarkStart w:id="78" w:name="fig-season-slopes"/>
          <w:p>
            <w:pPr>
              <w:pStyle w:val="Compact"/>
              <w:jc w:val="center"/>
            </w:pPr>
            <w:r>
              <w:drawing>
                <wp:inline>
                  <wp:extent cx="4620126" cy="3696101"/>
                  <wp:effectExtent b="0" l="0" r="0" t="0"/>
                  <wp:docPr descr="" title="" id="76" name="Picture"/>
                  <a:graphic>
                    <a:graphicData uri="http://schemas.openxmlformats.org/drawingml/2006/picture">
                      <pic:pic>
                        <pic:nvPicPr>
                          <pic:cNvPr descr="index_files/figure-docx/fig-season-slopes-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Estimated season-level changes in slopes for natural logarithm of attendance models.</w:t>
            </w:r>
          </w:p>
          <w:bookmarkEnd w:id="7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9"/>
    <w:bookmarkEnd w:id="80"/>
    <w:bookmarkStart w:id="93" w:name="percentage-of-arena-capacity"/>
    <w:p>
      <w:pPr>
        <w:pStyle w:val="Heading3"/>
      </w:pPr>
      <w:r>
        <w:t xml:space="preserve">4.2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coefs2">
        <w:r>
          <w:rPr>
            <w:rStyle w:val="Hyperlink"/>
          </w:rPr>
          <w:t xml:space="preserve">Table 5</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81" w:name="tbl-coefs2"/>
          <w:p>
            <w:pPr>
              <w:jc w:val="center"/>
            </w:pPr>
            <w:pPr>
              <w:jc w:val="left"/>
              <w:spacing w:before="200"/>
              <w:pStyle w:val="ImageCaption"/>
            </w:pPr>
            <w:r>
              <w:t xml:space="preserve">Table 5: Table of coefficients from percentage of arena capacity models.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0.187</w:t>
                  </w:r>
                </w:p>
              </w:tc>
              <w:tc>
                <w:tcPr/>
                <w:p>
                  <w:pPr>
                    <w:pStyle w:val="Compact"/>
                    <w:jc w:val="right"/>
                    <w:jc w:val="center"/>
                  </w:pPr>
                  <w:r>
                    <w:t xml:space="preserve">0.300</w:t>
                  </w:r>
                </w:p>
              </w:tc>
              <w:tc>
                <w:tcPr/>
                <w:p>
                  <w:pPr>
                    <w:pStyle w:val="Compact"/>
                    <w:jc w:val="right"/>
                    <w:jc w:val="center"/>
                  </w:pPr>
                  <w:r>
                    <w:t xml:space="preserve">0.624</w:t>
                  </w:r>
                </w:p>
              </w:tc>
              <w:tc>
                <w:tcPr/>
                <w:p>
                  <w:pPr>
                    <w:pStyle w:val="Compact"/>
                    <w:jc w:val="right"/>
                    <w:jc w:val="center"/>
                  </w:pPr>
                  <w:r>
                    <w:t xml:space="preserve">0.533</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0.386</w:t>
                  </w:r>
                </w:p>
              </w:tc>
              <w:tc>
                <w:tcPr/>
                <w:p>
                  <w:pPr>
                    <w:pStyle w:val="Compact"/>
                    <w:jc w:val="right"/>
                    <w:jc w:val="center"/>
                  </w:pPr>
                  <w:r>
                    <w:t xml:space="preserve">0.335</w:t>
                  </w:r>
                </w:p>
              </w:tc>
              <w:tc>
                <w:tcPr/>
                <w:p>
                  <w:pPr>
                    <w:pStyle w:val="Compact"/>
                    <w:jc w:val="right"/>
                    <w:jc w:val="center"/>
                  </w:pPr>
                  <w:r>
                    <w:t xml:space="preserve">1.155</w:t>
                  </w:r>
                </w:p>
              </w:tc>
              <w:tc>
                <w:tcPr/>
                <w:p>
                  <w:pPr>
                    <w:pStyle w:val="Compact"/>
                    <w:jc w:val="right"/>
                    <w:jc w:val="center"/>
                  </w:pPr>
                  <w:r>
                    <w:t xml:space="preserve">0.248</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0.047</w:t>
                  </w:r>
                </w:p>
              </w:tc>
              <w:tc>
                <w:tcPr/>
                <w:p>
                  <w:pPr>
                    <w:pStyle w:val="Compact"/>
                    <w:jc w:val="right"/>
                    <w:jc w:val="center"/>
                  </w:pPr>
                  <w:r>
                    <w:t xml:space="preserve">0.329</w:t>
                  </w:r>
                </w:p>
              </w:tc>
              <w:tc>
                <w:tcPr/>
                <w:p>
                  <w:pPr>
                    <w:pStyle w:val="Compact"/>
                    <w:jc w:val="right"/>
                    <w:jc w:val="center"/>
                  </w:pPr>
                  <w:r>
                    <w:t xml:space="preserve">0.144</w:t>
                  </w:r>
                </w:p>
              </w:tc>
              <w:tc>
                <w:tcPr/>
                <w:p>
                  <w:pPr>
                    <w:pStyle w:val="Compact"/>
                    <w:jc w:val="right"/>
                    <w:jc w:val="center"/>
                  </w:pPr>
                  <w:r>
                    <w:t xml:space="preserve">0.886</w:t>
                  </w:r>
                </w:p>
              </w:tc>
            </w:tr>
            <w:tr>
              <w:tc>
                <w:tcPr/>
                <w:p>
                  <w:pPr>
                    <w:pStyle w:val="Compact"/>
                    <w:jc w:val="left"/>
                    <w:jc w:val="center"/>
                  </w:pPr>
                  <w:r>
                    <w:t xml:space="preserve">f1</w:t>
                  </w:r>
                </w:p>
              </w:tc>
              <w:tc>
                <w:tcPr/>
                <w:p>
                  <w:pPr>
                    <w:pStyle w:val="Compact"/>
                    <w:jc w:val="left"/>
                    <w:jc w:val="center"/>
                  </w:pPr>
                  <w:r>
                    <w:t xml:space="preserve">Caitlin Clark</w:t>
                  </w:r>
                </w:p>
              </w:tc>
              <w:tc>
                <w:tcPr/>
                <w:p>
                  <w:pPr>
                    <w:pStyle w:val="Compact"/>
                    <w:jc w:val="right"/>
                    <w:jc w:val="center"/>
                  </w:pPr>
                  <w:r>
                    <w:t xml:space="preserve">2.891</w:t>
                  </w:r>
                </w:p>
              </w:tc>
              <w:tc>
                <w:tcPr/>
                <w:p>
                  <w:pPr>
                    <w:pStyle w:val="Compact"/>
                    <w:jc w:val="right"/>
                    <w:jc w:val="center"/>
                  </w:pPr>
                  <w:r>
                    <w:t xml:space="preserve">0.261</w:t>
                  </w:r>
                </w:p>
              </w:tc>
              <w:tc>
                <w:tcPr/>
                <w:p>
                  <w:pPr>
                    <w:pStyle w:val="Compact"/>
                    <w:jc w:val="right"/>
                    <w:jc w:val="center"/>
                  </w:pPr>
                  <w:r>
                    <w:t xml:space="preserve">11.097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Caitlin Clark</w:t>
                  </w:r>
                </w:p>
              </w:tc>
              <w:tc>
                <w:tcPr/>
                <w:p>
                  <w:pPr>
                    <w:pStyle w:val="Compact"/>
                    <w:jc w:val="right"/>
                    <w:jc w:val="center"/>
                  </w:pPr>
                  <w:r>
                    <w:t xml:space="preserve">2.888</w:t>
                  </w:r>
                </w:p>
              </w:tc>
              <w:tc>
                <w:tcPr/>
                <w:p>
                  <w:pPr>
                    <w:pStyle w:val="Compact"/>
                    <w:jc w:val="right"/>
                    <w:jc w:val="center"/>
                  </w:pPr>
                  <w:r>
                    <w:t xml:space="preserve">0.261</w:t>
                  </w:r>
                </w:p>
              </w:tc>
              <w:tc>
                <w:tcPr/>
                <w:p>
                  <w:pPr>
                    <w:pStyle w:val="Compact"/>
                    <w:jc w:val="right"/>
                    <w:jc w:val="center"/>
                  </w:pPr>
                  <w:r>
                    <w:t xml:space="preserve">11.072</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Caitlin Clark</w:t>
                  </w:r>
                </w:p>
              </w:tc>
              <w:tc>
                <w:tcPr/>
                <w:p>
                  <w:pPr>
                    <w:pStyle w:val="Compact"/>
                    <w:jc w:val="right"/>
                    <w:jc w:val="center"/>
                  </w:pPr>
                  <w:r>
                    <w:t xml:space="preserve">2.900</w:t>
                  </w:r>
                </w:p>
              </w:tc>
              <w:tc>
                <w:tcPr/>
                <w:p>
                  <w:pPr>
                    <w:pStyle w:val="Compact"/>
                    <w:jc w:val="right"/>
                    <w:jc w:val="center"/>
                  </w:pPr>
                  <w:r>
                    <w:t xml:space="preserve">0.261</w:t>
                  </w:r>
                </w:p>
              </w:tc>
              <w:tc>
                <w:tcPr/>
                <w:p>
                  <w:pPr>
                    <w:pStyle w:val="Compact"/>
                    <w:jc w:val="right"/>
                    <w:jc w:val="center"/>
                  </w:pPr>
                  <w:r>
                    <w:t xml:space="preserve">11.104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I(Loss Aversion)</w:t>
                  </w:r>
                </w:p>
              </w:tc>
              <w:tc>
                <w:tcPr/>
                <w:p>
                  <w:pPr>
                    <w:pStyle w:val="Compact"/>
                    <w:jc w:val="right"/>
                    <w:jc w:val="center"/>
                  </w:pPr>
                  <w:r>
                    <w:t xml:space="preserve">1.750</w:t>
                  </w:r>
                </w:p>
              </w:tc>
              <w:tc>
                <w:tcPr/>
                <w:p>
                  <w:pPr>
                    <w:pStyle w:val="Compact"/>
                    <w:jc w:val="right"/>
                    <w:jc w:val="center"/>
                  </w:pPr>
                  <w:r>
                    <w:t xml:space="preserve">0.842</w:t>
                  </w:r>
                </w:p>
              </w:tc>
              <w:tc>
                <w:tcPr/>
                <w:p>
                  <w:pPr>
                    <w:pStyle w:val="Compact"/>
                    <w:jc w:val="right"/>
                    <w:jc w:val="center"/>
                  </w:pPr>
                  <w:r>
                    <w:t xml:space="preserve">2.078</w:t>
                  </w:r>
                </w:p>
              </w:tc>
              <w:tc>
                <w:tcPr/>
                <w:p>
                  <w:pPr>
                    <w:pStyle w:val="Compact"/>
                    <w:jc w:val="right"/>
                    <w:jc w:val="center"/>
                  </w:pPr>
                  <w:r>
                    <w:t xml:space="preserve">0.038</w:t>
                  </w:r>
                </w:p>
              </w:tc>
            </w:tr>
            <w:tr>
              <w:tc>
                <w:tcPr/>
                <w:p>
                  <w:pPr>
                    <w:pStyle w:val="Compact"/>
                    <w:jc w:val="left"/>
                    <w:jc w:val="center"/>
                  </w:pPr>
                  <w:r>
                    <w:t xml:space="preserve">f1</w:t>
                  </w:r>
                </w:p>
              </w:tc>
              <w:tc>
                <w:tcPr/>
                <w:p>
                  <w:pPr>
                    <w:pStyle w:val="Compact"/>
                    <w:jc w:val="left"/>
                    <w:jc w:val="center"/>
                  </w:pPr>
                  <w:r>
                    <w:t xml:space="preserve">I(Quality Of Play)</w:t>
                  </w:r>
                </w:p>
              </w:tc>
              <w:tc>
                <w:tcPr/>
                <w:p>
                  <w:pPr>
                    <w:pStyle w:val="Compact"/>
                    <w:jc w:val="right"/>
                    <w:jc w:val="center"/>
                  </w:pPr>
                  <w:r>
                    <w:t xml:space="preserve">0.005</w:t>
                  </w:r>
                </w:p>
              </w:tc>
              <w:tc>
                <w:tcPr/>
                <w:p>
                  <w:pPr>
                    <w:pStyle w:val="Compact"/>
                    <w:jc w:val="right"/>
                    <w:jc w:val="center"/>
                  </w:pPr>
                  <w:r>
                    <w:t xml:space="preserve">0.001</w:t>
                  </w:r>
                </w:p>
              </w:tc>
              <w:tc>
                <w:tcPr/>
                <w:p>
                  <w:pPr>
                    <w:pStyle w:val="Compact"/>
                    <w:jc w:val="right"/>
                    <w:jc w:val="center"/>
                  </w:pPr>
                  <w:r>
                    <w:t xml:space="preserve">3.629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I(Uncertain Outcome)</w:t>
                  </w:r>
                </w:p>
              </w:tc>
              <w:tc>
                <w:tcPr/>
                <w:p>
                  <w:pPr>
                    <w:pStyle w:val="Compact"/>
                    <w:jc w:val="right"/>
                    <w:jc w:val="center"/>
                  </w:pPr>
                  <w:r>
                    <w:t xml:space="preserve">-0.005</w:t>
                  </w:r>
                </w:p>
              </w:tc>
              <w:tc>
                <w:tcPr/>
                <w:p>
                  <w:pPr>
                    <w:pStyle w:val="Compact"/>
                    <w:jc w:val="right"/>
                    <w:jc w:val="center"/>
                  </w:pPr>
                  <w:r>
                    <w:t xml:space="preserve">0.002</w:t>
                  </w:r>
                </w:p>
              </w:tc>
              <w:tc>
                <w:tcPr/>
                <w:p>
                  <w:pPr>
                    <w:pStyle w:val="Compact"/>
                    <w:jc w:val="right"/>
                    <w:jc w:val="center"/>
                  </w:pPr>
                  <w:r>
                    <w:t xml:space="preserve">-3.189</w:t>
                  </w:r>
                </w:p>
              </w:tc>
              <w:tc>
                <w:tcPr/>
                <w:p>
                  <w:pPr>
                    <w:pStyle w:val="Compact"/>
                    <w:jc w:val="right"/>
                    <w:jc w:val="center"/>
                  </w:pPr>
                  <w:r>
                    <w:t xml:space="preserve">0.001</w:t>
                  </w:r>
                </w:p>
              </w:tc>
            </w:tr>
            <w:tr>
              <w:tc>
                <w:tcPr/>
                <w:p>
                  <w:pPr>
                    <w:pStyle w:val="Compact"/>
                    <w:jc w:val="left"/>
                    <w:jc w:val="center"/>
                  </w:pPr>
                  <w:r>
                    <w:t xml:space="preserve">f1</w:t>
                  </w:r>
                </w:p>
              </w:tc>
              <w:tc>
                <w:tcPr/>
                <w:p>
                  <w:pPr>
                    <w:pStyle w:val="Compact"/>
                    <w:jc w:val="left"/>
                    <w:jc w:val="center"/>
                  </w:pPr>
                  <w:r>
                    <w:t xml:space="preserve">Median Income</w:t>
                  </w:r>
                </w:p>
              </w:tc>
              <w:tc>
                <w:tcPr/>
                <w:p>
                  <w:pPr>
                    <w:pStyle w:val="Compact"/>
                    <w:jc w:val="right"/>
                    <w:jc w:val="center"/>
                  </w:pPr>
                  <w:r>
                    <w:t xml:space="preserve">0.017</w:t>
                  </w:r>
                </w:p>
              </w:tc>
              <w:tc>
                <w:tcPr/>
                <w:p>
                  <w:pPr>
                    <w:pStyle w:val="Compact"/>
                    <w:jc w:val="right"/>
                    <w:jc w:val="center"/>
                  </w:pPr>
                  <w:r>
                    <w:t xml:space="preserve">0.005</w:t>
                  </w:r>
                </w:p>
              </w:tc>
              <w:tc>
                <w:tcPr/>
                <w:p>
                  <w:pPr>
                    <w:pStyle w:val="Compact"/>
                    <w:jc w:val="right"/>
                    <w:jc w:val="center"/>
                  </w:pPr>
                  <w:r>
                    <w:t xml:space="preserve">3.788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 Income</w:t>
                  </w:r>
                </w:p>
              </w:tc>
              <w:tc>
                <w:tcPr/>
                <w:p>
                  <w:pPr>
                    <w:pStyle w:val="Compact"/>
                    <w:jc w:val="right"/>
                    <w:jc w:val="center"/>
                  </w:pPr>
                  <w:r>
                    <w:t xml:space="preserve">0.020</w:t>
                  </w:r>
                </w:p>
              </w:tc>
              <w:tc>
                <w:tcPr/>
                <w:p>
                  <w:pPr>
                    <w:pStyle w:val="Compact"/>
                    <w:jc w:val="right"/>
                    <w:jc w:val="center"/>
                  </w:pPr>
                  <w:r>
                    <w:t xml:space="preserve">0.005</w:t>
                  </w:r>
                </w:p>
              </w:tc>
              <w:tc>
                <w:tcPr/>
                <w:p>
                  <w:pPr>
                    <w:pStyle w:val="Compact"/>
                    <w:jc w:val="right"/>
                    <w:jc w:val="center"/>
                  </w:pPr>
                  <w:r>
                    <w:t xml:space="preserve">4.262</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Median Income</w:t>
                  </w:r>
                </w:p>
              </w:tc>
              <w:tc>
                <w:tcPr/>
                <w:p>
                  <w:pPr>
                    <w:pStyle w:val="Compact"/>
                    <w:jc w:val="right"/>
                    <w:jc w:val="center"/>
                  </w:pPr>
                  <w:r>
                    <w:t xml:space="preserve">0.017</w:t>
                  </w:r>
                </w:p>
              </w:tc>
              <w:tc>
                <w:tcPr/>
                <w:p>
                  <w:pPr>
                    <w:pStyle w:val="Compact"/>
                    <w:jc w:val="right"/>
                    <w:jc w:val="center"/>
                  </w:pPr>
                  <w:r>
                    <w:t xml:space="preserve">0.005</w:t>
                  </w:r>
                </w:p>
              </w:tc>
              <w:tc>
                <w:tcPr/>
                <w:p>
                  <w:pPr>
                    <w:pStyle w:val="Compact"/>
                    <w:jc w:val="right"/>
                    <w:jc w:val="center"/>
                  </w:pPr>
                  <w:r>
                    <w:t xml:space="preserve">3.574</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 Pop</w:t>
                  </w:r>
                </w:p>
              </w:tc>
              <w:tc>
                <w:tcPr/>
                <w:p>
                  <w:pPr>
                    <w:pStyle w:val="Compact"/>
                    <w:jc w:val="right"/>
                    <w:jc w:val="center"/>
                  </w:pPr>
                  <w:r>
                    <w:t xml:space="preserve">-0.095</w:t>
                  </w:r>
                </w:p>
              </w:tc>
              <w:tc>
                <w:tcPr/>
                <w:p>
                  <w:pPr>
                    <w:pStyle w:val="Compact"/>
                    <w:jc w:val="right"/>
                    <w:jc w:val="center"/>
                  </w:pPr>
                  <w:r>
                    <w:t xml:space="preserve">0.015</w:t>
                  </w:r>
                </w:p>
              </w:tc>
              <w:tc>
                <w:tcPr/>
                <w:p>
                  <w:pPr>
                    <w:pStyle w:val="Compact"/>
                    <w:jc w:val="right"/>
                    <w:jc w:val="center"/>
                  </w:pPr>
                  <w:r>
                    <w:t xml:space="preserve">-6.479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 Pop</w:t>
                  </w:r>
                </w:p>
              </w:tc>
              <w:tc>
                <w:tcPr/>
                <w:p>
                  <w:pPr>
                    <w:pStyle w:val="Compact"/>
                    <w:jc w:val="right"/>
                    <w:jc w:val="center"/>
                  </w:pPr>
                  <w:r>
                    <w:t xml:space="preserve">-0.088</w:t>
                  </w:r>
                </w:p>
              </w:tc>
              <w:tc>
                <w:tcPr/>
                <w:p>
                  <w:pPr>
                    <w:pStyle w:val="Compact"/>
                    <w:jc w:val="right"/>
                    <w:jc w:val="center"/>
                  </w:pPr>
                  <w:r>
                    <w:t xml:space="preserve">0.014</w:t>
                  </w:r>
                </w:p>
              </w:tc>
              <w:tc>
                <w:tcPr/>
                <w:p>
                  <w:pPr>
                    <w:pStyle w:val="Compact"/>
                    <w:jc w:val="right"/>
                    <w:jc w:val="center"/>
                  </w:pPr>
                  <w:r>
                    <w:t xml:space="preserve">-6.056</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Median Pop</w:t>
                  </w:r>
                </w:p>
              </w:tc>
              <w:tc>
                <w:tcPr/>
                <w:p>
                  <w:pPr>
                    <w:pStyle w:val="Compact"/>
                    <w:jc w:val="right"/>
                    <w:jc w:val="center"/>
                  </w:pPr>
                  <w:r>
                    <w:t xml:space="preserve">-0.099</w:t>
                  </w:r>
                </w:p>
              </w:tc>
              <w:tc>
                <w:tcPr/>
                <w:p>
                  <w:pPr>
                    <w:pStyle w:val="Compact"/>
                    <w:jc w:val="right"/>
                    <w:jc w:val="center"/>
                  </w:pPr>
                  <w:r>
                    <w:t xml:space="preserve">0.015</w:t>
                  </w:r>
                </w:p>
              </w:tc>
              <w:tc>
                <w:tcPr/>
                <w:p>
                  <w:pPr>
                    <w:pStyle w:val="Compact"/>
                    <w:jc w:val="right"/>
                    <w:jc w:val="center"/>
                  </w:pPr>
                  <w:r>
                    <w:t xml:space="preserve">-6.558</w:t>
                  </w:r>
                </w:p>
              </w:tc>
              <w:tc>
                <w:tcPr/>
                <w:p>
                  <w:pPr>
                    <w:pStyle w:val="Compact"/>
                    <w:jc w:val="right"/>
                    <w:jc w:val="center"/>
                  </w:pPr>
                  <w:r>
                    <w:t xml:space="preserve">0.000</w:t>
                  </w:r>
                </w:p>
              </w:tc>
            </w:tr>
          </w:tbl>
          <w:bookmarkEnd w:id="8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2">
        <w:r>
          <w:rPr>
            <w:rStyle w:val="Hyperlink"/>
          </w:rPr>
          <w:t xml:space="preserve">Table 6</w:t>
        </w:r>
      </w:hyperlink>
      <w:r>
        <w:t xml:space="preserve"> </w:t>
      </w:r>
      <w:r>
        <w:t xml:space="preserve">shows the model fit metrics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82" w:name="tbl-glance2"/>
          <w:p>
            <w:pPr>
              <w:jc w:val="center"/>
            </w:pPr>
            <w:pPr>
              <w:jc w:val="left"/>
              <w:spacing w:before="200"/>
              <w:pStyle w:val="ImageCaption"/>
            </w:pPr>
            <w:r>
              <w:t xml:space="preserve">Table 6: Comparison of percentage of arena capacity models.</w:t>
            </w:r>
          </w:p>
          <w:tbl>
            <w:tblPr>
              <w:tblStyle w:val="Table"/>
              <w:tblW w:type="pct" w:w="5000"/>
              <w:tblLayout w:type="fixed"/>
              <w:tblLook w:firstRow="1" w:lastRow="0" w:firstColumn="0" w:lastColumn="0" w:noHBand="0" w:noVBand="0" w:val="0020"/>
            </w:tblPr>
            <w:tblGrid>
              <w:gridCol w:w="579"/>
              <w:gridCol w:w="1352"/>
              <w:gridCol w:w="772"/>
              <w:gridCol w:w="965"/>
              <w:gridCol w:w="869"/>
              <w:gridCol w:w="869"/>
              <w:gridCol w:w="869"/>
              <w:gridCol w:w="1159"/>
              <w:gridCol w:w="482"/>
            </w:tblGrid>
            <w:tr>
              <w:trPr>
                <w:tblHeader w:val="on"/>
              </w:trPr>
              <w:tc>
                <w:tcPr/>
                <w:p>
                  <w:pPr>
                    <w:pStyle w:val="Compact"/>
                    <w:jc w:val="left"/>
                    <w:jc w:val="center"/>
                  </w:pPr>
                  <w:r>
                    <w:t xml:space="preserve">model</w:t>
                  </w:r>
                </w:p>
              </w:tc>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-2997.876</w:t>
                  </w:r>
                </w:p>
              </w:tc>
              <w:tc>
                <w:tcPr/>
                <w:p>
                  <w:pPr>
                    <w:pStyle w:val="Compact"/>
                    <w:jc w:val="right"/>
                    <w:jc w:val="center"/>
                  </w:pPr>
                  <w:r>
                    <w:t xml:space="preserve">6153.752</w:t>
                  </w:r>
                </w:p>
              </w:tc>
              <w:tc>
                <w:tcPr/>
                <w:p>
                  <w:pPr>
                    <w:pStyle w:val="Compact"/>
                    <w:jc w:val="right"/>
                    <w:jc w:val="center"/>
                  </w:pPr>
                  <w:r>
                    <w:t xml:space="preserve">6669.600</w:t>
                  </w:r>
                </w:p>
              </w:tc>
              <w:tc>
                <w:tcPr/>
                <w:p>
                  <w:pPr>
                    <w:pStyle w:val="Compact"/>
                    <w:jc w:val="right"/>
                    <w:jc w:val="center"/>
                  </w:pPr>
                  <w:r>
                    <w:t xml:space="preserve">570.6003</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-3017.679</w:t>
                  </w:r>
                </w:p>
              </w:tc>
              <w:tc>
                <w:tcPr/>
                <w:p>
                  <w:pPr>
                    <w:pStyle w:val="Compact"/>
                    <w:jc w:val="right"/>
                    <w:jc w:val="center"/>
                  </w:pPr>
                  <w:r>
                    <w:t xml:space="preserve">6193.357</w:t>
                  </w:r>
                </w:p>
              </w:tc>
              <w:tc>
                <w:tcPr/>
                <w:p>
                  <w:pPr>
                    <w:pStyle w:val="Compact"/>
                    <w:jc w:val="right"/>
                    <w:jc w:val="center"/>
                  </w:pPr>
                  <w:r>
                    <w:t xml:space="preserve">6709.205</w:t>
                  </w:r>
                </w:p>
              </w:tc>
              <w:tc>
                <w:tcPr/>
                <w:p>
                  <w:pPr>
                    <w:pStyle w:val="Compact"/>
                    <w:jc w:val="right"/>
                    <w:jc w:val="center"/>
                  </w:pPr>
                  <w:r>
                    <w:t xml:space="preserve">583.2877</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-3001.311</w:t>
                  </w:r>
                </w:p>
              </w:tc>
              <w:tc>
                <w:tcPr/>
                <w:p>
                  <w:pPr>
                    <w:pStyle w:val="Compact"/>
                    <w:jc w:val="right"/>
                    <w:jc w:val="center"/>
                  </w:pPr>
                  <w:r>
                    <w:t xml:space="preserve">6160.622</w:t>
                  </w:r>
                </w:p>
              </w:tc>
              <w:tc>
                <w:tcPr/>
                <w:p>
                  <w:pPr>
                    <w:pStyle w:val="Compact"/>
                    <w:jc w:val="right"/>
                    <w:jc w:val="center"/>
                  </w:pPr>
                  <w:r>
                    <w:t xml:space="preserve">6676.470</w:t>
                  </w:r>
                </w:p>
              </w:tc>
              <w:tc>
                <w:tcPr/>
                <w:p>
                  <w:pPr>
                    <w:pStyle w:val="Compact"/>
                    <w:jc w:val="right"/>
                    <w:jc w:val="center"/>
                  </w:pPr>
                  <w:r>
                    <w:t xml:space="preserve">574.0105</w:t>
                  </w:r>
                </w:p>
              </w:tc>
              <w:tc>
                <w:tcPr/>
                <w:p>
                  <w:pPr>
                    <w:pStyle w:val="Compact"/>
                    <w:jc w:val="right"/>
                    <w:jc w:val="center"/>
                  </w:pPr>
                  <w:r>
                    <w:t xml:space="preserve">4984</w:t>
                  </w:r>
                </w:p>
              </w:tc>
              <w:tc>
                <w:tcPr/>
                <w:p>
                  <w:pPr>
                    <w:pStyle w:val="Compact"/>
                    <w:jc w:val="right"/>
                    <w:jc w:val="center"/>
                  </w:pPr>
                  <w:r>
                    <w:t xml:space="preserve">5063</w:t>
                  </w:r>
                </w:p>
              </w:tc>
            </w:tr>
          </w:tbl>
          <w:bookmarkEnd w:id="8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2">
        <w:r>
          <w:rPr>
            <w:rStyle w:val="Hyperlink"/>
          </w:rPr>
          <w:t xml:space="preserve">Table 8</w:t>
        </w:r>
      </w:hyperlink>
      <w:r>
        <w:t xml:space="preserve"> </w:t>
      </w:r>
      <w:r>
        <w:t xml:space="preserve">shows the analysis of variance for the percentage of arena capacity models.</w:t>
      </w:r>
    </w:p>
    <w:p>
      <w:pPr>
        <w:pStyle w:val="BodyText"/>
      </w:pPr>
      <w:hyperlink w:anchor="fig-season-coefs2">
        <w:r>
          <w:rPr>
            <w:rStyle w:val="Hyperlink"/>
          </w:rPr>
          <w:t xml:space="preserve">Figure 11</w:t>
        </w:r>
      </w:hyperlink>
      <w:r>
        <w:t xml:space="preserve"> </w:t>
      </w:r>
      <w:r>
        <w:t xml:space="preserve">displays the estimated effects of our fan engagement measures on attendance relative to the 1997 reference season. Similar to the overall attendance trends, these effects generally remained below their 1997 levels for much of the league’s history and only returned to comparable levels recently. In the most recent years of measurement, however, we see the league exceeding previously record-holding levels.</w:t>
      </w:r>
    </w:p>
    <w:bookmarkStart w:id="87" w:name="cell-fig-season-coefs2"/>
    <w:tbl>
      <w:tblPr>
        <w:tblStyle w:val="Table"/>
        <w:tblW w:type="pct" w:w="5000"/>
        <w:tblLayout w:type="fixed"/>
        <w:tblLook w:firstRow="0" w:lastRow="0" w:firstColumn="0" w:lastColumn="0" w:noHBand="0" w:noVBand="0" w:val="0000"/>
      </w:tblPr>
      <w:tblGrid>
        <w:gridCol w:w="7920"/>
      </w:tblGrid>
      <w:tr>
        <w:tc>
          <w:tcPr/>
          <w:bookmarkStart w:id="86" w:name="fig-season-coefs2"/>
          <w:p>
            <w:pPr>
              <w:pStyle w:val="Compact"/>
              <w:jc w:val="center"/>
            </w:pPr>
            <w:r>
              <w:drawing>
                <wp:inline>
                  <wp:extent cx="4620126" cy="3696101"/>
                  <wp:effectExtent b="0" l="0" r="0" t="0"/>
                  <wp:docPr descr="" title="" id="84" name="Picture"/>
                  <a:graphic>
                    <a:graphicData uri="http://schemas.openxmlformats.org/drawingml/2006/picture">
                      <pic:pic>
                        <pic:nvPicPr>
                          <pic:cNvPr descr="index_files/figure-docx/fig-season-coefs2-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Estimated season-level fixed effects for percentage of arena capacity models.</w:t>
            </w:r>
          </w:p>
          <w:bookmarkEnd w:id="8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7"/>
    <w:p>
      <w:pPr>
        <w:pStyle w:val="BodyText"/>
      </w:pPr>
      <w:hyperlink w:anchor="fig-season-slopes2">
        <w:r>
          <w:rPr>
            <w:rStyle w:val="Hyperlink"/>
          </w:rPr>
          <w:t xml:space="preserve">Figure 12</w:t>
        </w:r>
      </w:hyperlink>
      <w:r>
        <w:t xml:space="preserve"> </w:t>
      </w:r>
      <w:r>
        <w:t xml:space="preserve">shows that…??</w:t>
      </w:r>
    </w:p>
    <w:bookmarkStart w:id="92" w:name="cell-fig-season-slopes2"/>
    <w:tbl>
      <w:tblPr>
        <w:tblStyle w:val="Table"/>
        <w:tblW w:type="pct" w:w="5000"/>
        <w:tblLayout w:type="fixed"/>
        <w:tblLook w:firstRow="0" w:lastRow="0" w:firstColumn="0" w:lastColumn="0" w:noHBand="0" w:noVBand="0" w:val="0000"/>
      </w:tblPr>
      <w:tblGrid>
        <w:gridCol w:w="7920"/>
      </w:tblGrid>
      <w:tr>
        <w:tc>
          <w:tcPr/>
          <w:bookmarkStart w:id="91" w:name="fig-season-slopes2"/>
          <w:p>
            <w:pPr>
              <w:pStyle w:val="Compact"/>
              <w:jc w:val="center"/>
            </w:pPr>
            <w:r>
              <w:drawing>
                <wp:inline>
                  <wp:extent cx="4620126" cy="3696101"/>
                  <wp:effectExtent b="0" l="0" r="0" t="0"/>
                  <wp:docPr descr="" title="" id="89" name="Picture"/>
                  <a:graphic>
                    <a:graphicData uri="http://schemas.openxmlformats.org/drawingml/2006/picture">
                      <pic:pic>
                        <pic:nvPicPr>
                          <pic:cNvPr descr="index_files/figure-docx/fig-season-slopes2-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season-level changes in slopes for percentage of arena capacity models.</w:t>
            </w:r>
          </w:p>
          <w:bookmarkEnd w:id="9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2"/>
    <w:bookmarkEnd w:id="93"/>
    <w:bookmarkStart w:id="94" w:name="fan-engagement-and-attendance-over-time"/>
    <w:p>
      <w:pPr>
        <w:pStyle w:val="Heading3"/>
      </w:pPr>
      <w:r>
        <w:t xml:space="preserve">4.3 Fan engagement and attendance over time</w:t>
      </w:r>
    </w:p>
    <w:bookmarkEnd w:id="94"/>
    <w:bookmarkEnd w:id="95"/>
    <w:bookmarkStart w:id="99" w:name="conclusion"/>
    <w:p>
      <w:pPr>
        <w:pStyle w:val="Heading2"/>
      </w:pPr>
      <w:r>
        <w:t xml:space="preserve">5 Conclusion</w:t>
      </w:r>
    </w:p>
    <w:bookmarkStart w:id="96" w:name="limitations"/>
    <w:p>
      <w:pPr>
        <w:pStyle w:val="Heading3"/>
      </w:pPr>
      <w:r>
        <w:t xml:space="preserve">5.1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bookmarkEnd w:id="96"/>
    <w:bookmarkStart w:id="97" w:name="future-work"/>
    <w:p>
      <w:pPr>
        <w:pStyle w:val="Heading3"/>
      </w:pPr>
      <w:r>
        <w:t xml:space="preserve">5.2 Future work</w:t>
      </w:r>
    </w:p>
    <w:bookmarkEnd w:id="97"/>
    <w:bookmarkStart w:id="98" w:name="discussion"/>
    <w:p>
      <w:pPr>
        <w:pStyle w:val="Heading3"/>
      </w:pPr>
      <w:r>
        <w:t xml:space="preserve">5.3 Discussion</w:t>
      </w:r>
    </w:p>
    <w:bookmarkEnd w:id="98"/>
    <w:bookmarkEnd w:id="99"/>
    <w:bookmarkStart w:id="147" w:name="references"/>
    <w:p>
      <w:pPr>
        <w:pStyle w:val="Heading2"/>
      </w:pPr>
      <w:r>
        <w:t xml:space="preserve">References</w:t>
      </w:r>
    </w:p>
    <w:bookmarkStart w:id="146" w:name="refs"/>
    <w:bookmarkStart w:id="101" w:name="ref-AcrossTheTimeline_WNBA_Attendance"/>
    <w:p>
      <w:pPr>
        <w:pStyle w:val="Bibliography"/>
      </w:pPr>
      <w:r>
        <w:t xml:space="preserve">Across the Timeline. n.d.</w:t>
      </w:r>
      <w:r>
        <w:t xml:space="preserve"> </w:t>
      </w:r>
      <w:r>
        <w:rPr>
          <w:i/>
          <w:iCs/>
        </w:rPr>
        <w:t xml:space="preserve">WNBA Attendance — Across the Timeline</w:t>
      </w:r>
      <w:r>
        <w:t xml:space="preserve">. Across the Timeline;</w:t>
      </w:r>
      <w:r>
        <w:t xml:space="preserve"> </w:t>
      </w:r>
      <w:hyperlink r:id="rId100">
        <w:r>
          <w:rPr>
            <w:rStyle w:val="Hyperlink"/>
          </w:rPr>
          <w:t xml:space="preserve">https://www.acrossthetimeline.com/wnba/attendance.html</w:t>
        </w:r>
      </w:hyperlink>
      <w:r>
        <w:t xml:space="preserve">.</w:t>
      </w:r>
      <w:r>
        <w:t xml:space="preserve"> </w:t>
      </w:r>
      <w:hyperlink r:id="rId100">
        <w:r>
          <w:rPr>
            <w:rStyle w:val="Hyperlink"/>
          </w:rPr>
          <w:t xml:space="preserve">https://www.acrossthetimeline.com/wnba/attendance.html</w:t>
        </w:r>
      </w:hyperlink>
      <w:r>
        <w:t xml:space="preserve">.</w:t>
      </w:r>
    </w:p>
    <w:bookmarkEnd w:id="101"/>
    <w:bookmarkStart w:id="103"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102">
        <w:r>
          <w:rPr>
            <w:rStyle w:val="Hyperlink"/>
          </w:rPr>
          <w:t xml:space="preserve">https://doi.org/10.1111/ecin.12061</w:t>
        </w:r>
      </w:hyperlink>
      <w:r>
        <w:t xml:space="preserve">.</w:t>
      </w:r>
    </w:p>
    <w:bookmarkEnd w:id="103"/>
    <w:bookmarkStart w:id="105"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104">
        <w:r>
          <w:rPr>
            <w:rStyle w:val="Hyperlink"/>
          </w:rPr>
          <w:t xml:space="preserve">https://doi.org/10.1177/155862350800300105</w:t>
        </w:r>
      </w:hyperlink>
      <w:r>
        <w:t xml:space="preserve">.</w:t>
      </w:r>
    </w:p>
    <w:bookmarkEnd w:id="105"/>
    <w:bookmarkStart w:id="107"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106">
        <w:r>
          <w:rPr>
            <w:rStyle w:val="Hyperlink"/>
          </w:rPr>
          <w:t xml:space="preserve">https://doi.org/10.1177/1527002508327387</w:t>
        </w:r>
      </w:hyperlink>
      <w:r>
        <w:t xml:space="preserve">.</w:t>
      </w:r>
    </w:p>
    <w:bookmarkEnd w:id="107"/>
    <w:bookmarkStart w:id="109"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108">
        <w:r>
          <w:rPr>
            <w:rStyle w:val="Hyperlink"/>
          </w:rPr>
          <w:t xml:space="preserve">https://doi.org/10.1123/jsm.2019-0404</w:t>
        </w:r>
      </w:hyperlink>
      <w:r>
        <w:t xml:space="preserve">.</w:t>
      </w:r>
    </w:p>
    <w:bookmarkEnd w:id="109"/>
    <w:bookmarkStart w:id="111"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110">
        <w:r>
          <w:rPr>
            <w:rStyle w:val="Hyperlink"/>
          </w:rPr>
          <w:t xml:space="preserve">https://doi.org/10.1123/jsm.16.4.311</w:t>
        </w:r>
      </w:hyperlink>
      <w:r>
        <w:t xml:space="preserve">.</w:t>
      </w:r>
    </w:p>
    <w:bookmarkEnd w:id="111"/>
    <w:bookmarkStart w:id="112"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12"/>
    <w:bookmarkStart w:id="114"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13">
        <w:r>
          <w:rPr>
            <w:rStyle w:val="Hyperlink"/>
          </w:rPr>
          <w:t xml:space="preserve">https://polecom.org/index.php/polecom/article/view/119</w:t>
        </w:r>
      </w:hyperlink>
      <w:r>
        <w:t xml:space="preserve">.</w:t>
      </w:r>
    </w:p>
    <w:bookmarkEnd w:id="114"/>
    <w:bookmarkStart w:id="116"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15">
        <w:r>
          <w:rPr>
            <w:rStyle w:val="Hyperlink"/>
          </w:rPr>
          <w:t xml:space="preserve">https://doi.org/10.32614/cran.package.wehoop</w:t>
        </w:r>
      </w:hyperlink>
      <w:r>
        <w:t xml:space="preserve">.</w:t>
      </w:r>
    </w:p>
    <w:bookmarkEnd w:id="116"/>
    <w:bookmarkStart w:id="118"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17">
        <w:r>
          <w:rPr>
            <w:rStyle w:val="Hyperlink"/>
          </w:rPr>
          <w:t xml:space="preserve">https://doi.org/10.1080/17430437.2017.1346620</w:t>
        </w:r>
      </w:hyperlink>
      <w:r>
        <w:t xml:space="preserve">.</w:t>
      </w:r>
    </w:p>
    <w:bookmarkEnd w:id="118"/>
    <w:bookmarkStart w:id="120"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19">
        <w:r>
          <w:rPr>
            <w:rStyle w:val="Hyperlink"/>
          </w:rPr>
          <w:t xml:space="preserve">https://doi.org/10.1002/mde.1308</w:t>
        </w:r>
      </w:hyperlink>
      <w:r>
        <w:t xml:space="preserve">.</w:t>
      </w:r>
    </w:p>
    <w:bookmarkEnd w:id="120"/>
    <w:bookmarkStart w:id="122"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21">
        <w:r>
          <w:rPr>
            <w:rStyle w:val="Hyperlink"/>
          </w:rPr>
          <w:t xml:space="preserve">https://doi.org/10.53728/2765-6500.1616</w:t>
        </w:r>
      </w:hyperlink>
      <w:r>
        <w:t xml:space="preserve">.</w:t>
      </w:r>
    </w:p>
    <w:bookmarkEnd w:id="122"/>
    <w:bookmarkStart w:id="124"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23">
        <w:r>
          <w:rPr>
            <w:rStyle w:val="Hyperlink"/>
          </w:rPr>
          <w:t xml:space="preserve">https://doi.org/10.1177/1527002509337212</w:t>
        </w:r>
      </w:hyperlink>
      <w:r>
        <w:t xml:space="preserve">.</w:t>
      </w:r>
    </w:p>
    <w:bookmarkEnd w:id="124"/>
    <w:bookmarkStart w:id="126"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25">
        <w:r>
          <w:rPr>
            <w:rStyle w:val="Hyperlink"/>
          </w:rPr>
          <w:t xml:space="preserve">https://doi.org/10.1080/14660970.2022.2037218</w:t>
        </w:r>
      </w:hyperlink>
      <w:r>
        <w:t xml:space="preserve">.</w:t>
      </w:r>
    </w:p>
    <w:bookmarkEnd w:id="126"/>
    <w:bookmarkStart w:id="128" w:name="ref-mackinnon1985some"/>
    <w:p>
      <w:pPr>
        <w:pStyle w:val="Bibliography"/>
      </w:pPr>
      <w:r>
        <w:t xml:space="preserve">MacKinnon, James G, and Halbert White. 1985.</w:t>
      </w:r>
      <w:r>
        <w:t xml:space="preserve"> </w:t>
      </w:r>
      <w:r>
        <w:t xml:space="preserve">“Some Heteroskedasticity-Consistent Covariance Matrix Estimators with Improved Finite Sample Properties.”</w:t>
      </w:r>
      <w:r>
        <w:t xml:space="preserve"> </w:t>
      </w:r>
      <w:r>
        <w:rPr>
          <w:i/>
          <w:iCs/>
        </w:rPr>
        <w:t xml:space="preserve">Journal of Econometrics</w:t>
      </w:r>
      <w:r>
        <w:t xml:space="preserve"> </w:t>
      </w:r>
      <w:r>
        <w:t xml:space="preserve">29 (3): 305–25.</w:t>
      </w:r>
      <w:r>
        <w:t xml:space="preserve"> </w:t>
      </w:r>
      <w:hyperlink r:id="rId127">
        <w:r>
          <w:rPr>
            <w:rStyle w:val="Hyperlink"/>
          </w:rPr>
          <w:t xml:space="preserve">https://doi.org/10.1016/0304-4076(85)90158-7</w:t>
        </w:r>
      </w:hyperlink>
      <w:r>
        <w:t xml:space="preserve">.</w:t>
      </w:r>
    </w:p>
    <w:bookmarkEnd w:id="128"/>
    <w:bookmarkStart w:id="130"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29">
        <w:r>
          <w:rPr>
            <w:rStyle w:val="Hyperlink"/>
          </w:rPr>
          <w:t xml:space="preserve">https://www.jstor.org/stable/1924766</w:t>
        </w:r>
      </w:hyperlink>
      <w:r>
        <w:t xml:space="preserve">.</w:t>
      </w:r>
    </w:p>
    <w:bookmarkEnd w:id="130"/>
    <w:bookmarkStart w:id="131" w:name="ref-noll1974attendance"/>
    <w:p>
      <w:pPr>
        <w:pStyle w:val="Bibliography"/>
      </w:pPr>
      <w:r>
        <w:t xml:space="preserve">Noll, Roger G. 1974.</w:t>
      </w:r>
      <w:r>
        <w:t xml:space="preserve"> </w:t>
      </w:r>
      <w:r>
        <w:rPr>
          <w:i/>
          <w:iCs/>
        </w:rPr>
        <w:t xml:space="preserve">Attendance and Price Setting</w:t>
      </w:r>
      <w:r>
        <w:t xml:space="preserve">. The Brookings Institution.</w:t>
      </w:r>
    </w:p>
    <w:bookmarkEnd w:id="131"/>
    <w:bookmarkStart w:id="133"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32">
        <w:r>
          <w:rPr>
            <w:rStyle w:val="Hyperlink"/>
          </w:rPr>
          <w:t xml:space="preserve">https://doi.org/10.1002/(SICI)1099-1255(199611)11:6&lt;619::AID-JAE418&gt;3.0.CO;2-1</w:t>
        </w:r>
      </w:hyperlink>
      <w:r>
        <w:t xml:space="preserve">.</w:t>
      </w:r>
    </w:p>
    <w:bookmarkEnd w:id="133"/>
    <w:bookmarkStart w:id="135"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34">
        <w:r>
          <w:rPr>
            <w:rStyle w:val="Hyperlink"/>
          </w:rPr>
          <w:t xml:space="preserve">https://doi.org/10.3390/ijfs7010012</w:t>
        </w:r>
      </w:hyperlink>
      <w:r>
        <w:t xml:space="preserve">.</w:t>
      </w:r>
    </w:p>
    <w:bookmarkEnd w:id="135"/>
    <w:bookmarkStart w:id="136"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36"/>
    <w:bookmarkStart w:id="138"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t xml:space="preserve">In</w:t>
      </w:r>
      <w:r>
        <w:t xml:space="preserve"> </w:t>
      </w:r>
      <w:r>
        <w:rPr>
          <w:i/>
          <w:iCs/>
        </w:rPr>
        <w:t xml:space="preserve">The American Statistician</w:t>
      </w:r>
      <w:r>
        <w:t xml:space="preserve">, No. 2, vol. 70. Taylor &amp; Francis.</w:t>
      </w:r>
      <w:r>
        <w:t xml:space="preserve"> </w:t>
      </w:r>
      <w:hyperlink r:id="rId137">
        <w:r>
          <w:rPr>
            <w:rStyle w:val="Hyperlink"/>
          </w:rPr>
          <w:t xml:space="preserve">https://doi.org/10.1080/00031305.2016.1154108</w:t>
        </w:r>
      </w:hyperlink>
      <w:r>
        <w:t xml:space="preserve">.</w:t>
      </w:r>
    </w:p>
    <w:bookmarkEnd w:id="138"/>
    <w:bookmarkStart w:id="140"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t xml:space="preserve">In</w:t>
      </w:r>
      <w:r>
        <w:t xml:space="preserve"> </w:t>
      </w:r>
      <w:r>
        <w:rPr>
          <w:i/>
          <w:iCs/>
        </w:rPr>
        <w:t xml:space="preserve">The American Statistician</w:t>
      </w:r>
      <w:r>
        <w:t xml:space="preserve">, No. sup1, vol. 73. Taylor &amp; Francis.</w:t>
      </w:r>
      <w:r>
        <w:t xml:space="preserve"> </w:t>
      </w:r>
      <w:hyperlink r:id="rId139">
        <w:r>
          <w:rPr>
            <w:rStyle w:val="Hyperlink"/>
          </w:rPr>
          <w:t xml:space="preserve">https://doi.org/10.1080/00031305.2019.1583913</w:t>
        </w:r>
      </w:hyperlink>
      <w:r>
        <w:t xml:space="preserve">.</w:t>
      </w:r>
    </w:p>
    <w:bookmarkEnd w:id="140"/>
    <w:bookmarkStart w:id="142"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41">
        <w:r>
          <w:rPr>
            <w:rStyle w:val="Hyperlink"/>
          </w:rPr>
          <w:t xml:space="preserve">https://accessecon.com/pubs/eb/2003/volume1/eb-03a10003a.pdf</w:t>
        </w:r>
      </w:hyperlink>
      <w:r>
        <w:t xml:space="preserve">.</w:t>
      </w:r>
    </w:p>
    <w:bookmarkEnd w:id="142"/>
    <w:bookmarkStart w:id="144" w:name="ref-wnba2024recordseason"/>
    <w:p>
      <w:pPr>
        <w:pStyle w:val="Bibliography"/>
      </w:pPr>
      <w:r>
        <w:t xml:space="preserve">WNBA. 2024.</w:t>
      </w:r>
      <w:r>
        <w:t xml:space="preserve"> </w:t>
      </w:r>
      <w:r>
        <w:t xml:space="preserve">“WNBA Delivers Record‑setting 2024 Season.”</w:t>
      </w:r>
      <w:r>
        <w:t xml:space="preserve"> </w:t>
      </w:r>
      <w:hyperlink r:id="rId143">
        <w:r>
          <w:rPr>
            <w:rStyle w:val="Hyperlink"/>
          </w:rPr>
          <w:t xml:space="preserve">https://www.wnba.com/news/wnba-delivers-record-setting-2024-season</w:t>
        </w:r>
      </w:hyperlink>
      <w:r>
        <w:t xml:space="preserve">.</w:t>
      </w:r>
    </w:p>
    <w:bookmarkEnd w:id="144"/>
    <w:bookmarkStart w:id="145" w:name="ref-woltring2018attendance"/>
    <w:p>
      <w:pPr>
        <w:pStyle w:val="Bibliography"/>
      </w:pPr>
      <w:r>
        <w:t xml:space="preserve">Woltring, Mitchell T et al.</w:t>
      </w:r>
      <w:r>
        <w:t xml:space="preserve"> 2018.</w:t>
      </w:r>
      <w:r>
        <w:t xml:space="preserve"> </w:t>
      </w:r>
      <w:r>
        <w:t xml:space="preserve">“Attendance Still Matters in MLB: The Relationship with Winning Percentage.”</w:t>
      </w:r>
      <w:r>
        <w:t xml:space="preserve"> </w:t>
      </w:r>
      <w:r>
        <w:rPr>
          <w:i/>
          <w:iCs/>
        </w:rPr>
        <w:t xml:space="preserve">The Sport Journal</w:t>
      </w:r>
      <w:r>
        <w:t xml:space="preserve">.</w:t>
      </w:r>
    </w:p>
    <w:bookmarkEnd w:id="145"/>
    <w:bookmarkEnd w:id="146"/>
    <w:bookmarkEnd w:id="147"/>
    <w:bookmarkStart w:id="201" w:name="appendix"/>
    <w:p>
      <w:pPr>
        <w:pStyle w:val="Heading2"/>
      </w:pPr>
      <w:r>
        <w:t xml:space="preserve">6 Appendix</w:t>
      </w:r>
    </w:p>
    <w:bookmarkStart w:id="150" w:name="anova-tables"/>
    <w:p>
      <w:pPr>
        <w:pStyle w:val="Heading3"/>
      </w:pPr>
      <w:r>
        <w:t xml:space="preserve">6.1 ANOVA tables</w:t>
      </w:r>
    </w:p>
    <w:tbl>
      <w:tblPr>
        <w:tblStyle w:val="Table"/>
        <w:tblW w:type="pct" w:w="5000"/>
        <w:tblLayout w:type="fixed"/>
        <w:tblLook w:firstRow="0" w:lastRow="0" w:firstColumn="0" w:lastColumn="0" w:noHBand="0" w:noVBand="0" w:val="0000"/>
      </w:tblPr>
      <w:tblGrid>
        <w:gridCol w:w="7920"/>
      </w:tblGrid>
      <w:tr>
        <w:tc>
          <w:tcPr/>
          <w:bookmarkStart w:id="148" w:name="tbl-anova"/>
          <w:p>
            <w:pPr>
              <w:jc w:val="center"/>
            </w:pPr>
            <w:pPr>
              <w:jc w:val="left"/>
              <w:spacing w:before="200"/>
              <w:pStyle w:val="ImageCaption"/>
            </w:pPr>
            <w:r>
              <w:t xml:space="preserve">Table 7: Analysis of variance for terms in models for the natural logarithm of attendance.</w:t>
            </w:r>
          </w:p>
          <w:tbl>
            <w:tblPr>
              <w:tblStyle w:val="Table"/>
              <w:tblW w:type="pct" w:w="5000"/>
              <w:tblLayout w:type="fixed"/>
              <w:tblLook w:firstRow="1" w:lastRow="0" w:firstColumn="0" w:lastColumn="0" w:noHBand="0" w:noVBand="0" w:val="0020"/>
            </w:tblPr>
            <w:tblGrid>
              <w:gridCol w:w="586"/>
              <w:gridCol w:w="3813"/>
              <w:gridCol w:w="293"/>
              <w:gridCol w:w="782"/>
              <w:gridCol w:w="684"/>
              <w:gridCol w:w="977"/>
              <w:gridCol w:w="782"/>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f3</w:t>
                  </w:r>
                </w:p>
              </w:tc>
              <w:tc>
                <w:tcPr/>
                <w:p>
                  <w:pPr>
                    <w:pStyle w:val="Compact"/>
                    <w:jc w:val="left"/>
                    <w:jc w:val="center"/>
                  </w:pPr>
                  <w:r>
                    <w:t xml:space="preserve">I(loss_aversion)</w:t>
                  </w:r>
                </w:p>
              </w:tc>
              <w:tc>
                <w:tcPr/>
                <w:p>
                  <w:pPr>
                    <w:pStyle w:val="Compact"/>
                    <w:jc w:val="right"/>
                    <w:jc w:val="center"/>
                  </w:pPr>
                  <w:r>
                    <w:t xml:space="preserve">1</w:t>
                  </w:r>
                </w:p>
              </w:tc>
              <w:tc>
                <w:tcPr/>
                <w:p>
                  <w:pPr>
                    <w:pStyle w:val="Compact"/>
                    <w:jc w:val="right"/>
                    <w:jc w:val="center"/>
                  </w:pPr>
                  <w:r>
                    <w:t xml:space="preserve">21.221</w:t>
                  </w:r>
                </w:p>
              </w:tc>
              <w:tc>
                <w:tcPr/>
                <w:p>
                  <w:pPr>
                    <w:pStyle w:val="Compact"/>
                    <w:jc w:val="right"/>
                    <w:jc w:val="center"/>
                  </w:pPr>
                  <w:r>
                    <w:t xml:space="preserve">21.221</w:t>
                  </w:r>
                </w:p>
              </w:tc>
              <w:tc>
                <w:tcPr/>
                <w:p>
                  <w:pPr>
                    <w:pStyle w:val="Compact"/>
                    <w:jc w:val="right"/>
                    <w:jc w:val="center"/>
                  </w:pPr>
                  <w:r>
                    <w:t xml:space="preserve">202.786</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I(quality_of_play)</w:t>
                  </w:r>
                </w:p>
              </w:tc>
              <w:tc>
                <w:tcPr/>
                <w:p>
                  <w:pPr>
                    <w:pStyle w:val="Compact"/>
                    <w:jc w:val="right"/>
                    <w:jc w:val="center"/>
                  </w:pPr>
                  <w:r>
                    <w:t xml:space="preserve">1</w:t>
                  </w:r>
                </w:p>
              </w:tc>
              <w:tc>
                <w:tcPr/>
                <w:p>
                  <w:pPr>
                    <w:pStyle w:val="Compact"/>
                    <w:jc w:val="right"/>
                    <w:jc w:val="center"/>
                  </w:pPr>
                  <w:r>
                    <w:t xml:space="preserve">23.178</w:t>
                  </w:r>
                </w:p>
              </w:tc>
              <w:tc>
                <w:tcPr/>
                <w:p>
                  <w:pPr>
                    <w:pStyle w:val="Compact"/>
                    <w:jc w:val="right"/>
                    <w:jc w:val="center"/>
                  </w:pPr>
                  <w:r>
                    <w:t xml:space="preserve">23.178</w:t>
                  </w:r>
                </w:p>
              </w:tc>
              <w:tc>
                <w:tcPr/>
                <w:p>
                  <w:pPr>
                    <w:pStyle w:val="Compact"/>
                    <w:jc w:val="right"/>
                    <w:jc w:val="center"/>
                  </w:pPr>
                  <w:r>
                    <w:t xml:space="preserve">223.169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I(uncertain_outcome)</w:t>
                  </w:r>
                </w:p>
              </w:tc>
              <w:tc>
                <w:tcPr/>
                <w:p>
                  <w:pPr>
                    <w:pStyle w:val="Compact"/>
                    <w:jc w:val="right"/>
                    <w:jc w:val="center"/>
                  </w:pPr>
                  <w:r>
                    <w:t xml:space="preserve">1</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0.027</w:t>
                  </w:r>
                </w:p>
              </w:tc>
              <w:tc>
                <w:tcPr/>
                <w:p>
                  <w:pPr>
                    <w:pStyle w:val="Compact"/>
                    <w:jc w:val="right"/>
                    <w:jc w:val="center"/>
                  </w:pPr>
                  <w:r>
                    <w:t xml:space="preserve">0.868</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20.615</w:t>
                  </w:r>
                </w:p>
              </w:tc>
              <w:tc>
                <w:tcPr/>
                <w:p>
                  <w:pPr>
                    <w:pStyle w:val="Compact"/>
                    <w:jc w:val="right"/>
                    <w:jc w:val="center"/>
                  </w:pPr>
                  <w:r>
                    <w:t xml:space="preserve">20.615</w:t>
                  </w:r>
                </w:p>
              </w:tc>
              <w:tc>
                <w:tcPr/>
                <w:p>
                  <w:pPr>
                    <w:pStyle w:val="Compact"/>
                    <w:jc w:val="right"/>
                    <w:jc w:val="center"/>
                  </w:pPr>
                  <w:r>
                    <w:t xml:space="preserve">198.497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20.969</w:t>
                  </w:r>
                </w:p>
              </w:tc>
              <w:tc>
                <w:tcPr/>
                <w:p>
                  <w:pPr>
                    <w:pStyle w:val="Compact"/>
                    <w:jc w:val="right"/>
                    <w:jc w:val="center"/>
                  </w:pPr>
                  <w:r>
                    <w:t xml:space="preserve">20.969</w:t>
                  </w:r>
                </w:p>
              </w:tc>
              <w:tc>
                <w:tcPr/>
                <w:p>
                  <w:pPr>
                    <w:pStyle w:val="Compact"/>
                    <w:jc w:val="right"/>
                    <w:jc w:val="center"/>
                  </w:pPr>
                  <w:r>
                    <w:t xml:space="preserve">191.220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20.597</w:t>
                  </w:r>
                </w:p>
              </w:tc>
              <w:tc>
                <w:tcPr/>
                <w:p>
                  <w:pPr>
                    <w:pStyle w:val="Compact"/>
                    <w:jc w:val="right"/>
                    <w:jc w:val="center"/>
                  </w:pPr>
                  <w:r>
                    <w:t xml:space="preserve">20.597</w:t>
                  </w:r>
                </w:p>
              </w:tc>
              <w:tc>
                <w:tcPr/>
                <w:p>
                  <w:pPr>
                    <w:pStyle w:val="Compact"/>
                    <w:jc w:val="right"/>
                    <w:jc w:val="center"/>
                  </w:pPr>
                  <w:r>
                    <w:t xml:space="preserve">196.831</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1.850</w:t>
                  </w:r>
                </w:p>
              </w:tc>
              <w:tc>
                <w:tcPr/>
                <w:p>
                  <w:pPr>
                    <w:pStyle w:val="Compact"/>
                    <w:jc w:val="right"/>
                    <w:jc w:val="center"/>
                  </w:pPr>
                  <w:r>
                    <w:t xml:space="preserve">1.850</w:t>
                  </w:r>
                </w:p>
              </w:tc>
              <w:tc>
                <w:tcPr/>
                <w:p>
                  <w:pPr>
                    <w:pStyle w:val="Compact"/>
                    <w:jc w:val="right"/>
                    <w:jc w:val="center"/>
                  </w:pPr>
                  <w:r>
                    <w:t xml:space="preserve">17.813</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0.920</w:t>
                  </w:r>
                </w:p>
              </w:tc>
              <w:tc>
                <w:tcPr/>
                <w:p>
                  <w:pPr>
                    <w:pStyle w:val="Compact"/>
                    <w:jc w:val="right"/>
                    <w:jc w:val="center"/>
                  </w:pPr>
                  <w:r>
                    <w:t xml:space="preserve">0.920</w:t>
                  </w:r>
                </w:p>
              </w:tc>
              <w:tc>
                <w:tcPr/>
                <w:p>
                  <w:pPr>
                    <w:pStyle w:val="Compact"/>
                    <w:jc w:val="right"/>
                    <w:jc w:val="center"/>
                  </w:pPr>
                  <w:r>
                    <w:t xml:space="preserve">8.391</w:t>
                  </w:r>
                </w:p>
              </w:tc>
              <w:tc>
                <w:tcPr/>
                <w:p>
                  <w:pPr>
                    <w:pStyle w:val="Compact"/>
                    <w:jc w:val="right"/>
                    <w:jc w:val="center"/>
                  </w:pPr>
                  <w:r>
                    <w:t xml:space="preserve">0.004</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1.376</w:t>
                  </w:r>
                </w:p>
              </w:tc>
              <w:tc>
                <w:tcPr/>
                <w:p>
                  <w:pPr>
                    <w:pStyle w:val="Compact"/>
                    <w:jc w:val="right"/>
                    <w:jc w:val="center"/>
                  </w:pPr>
                  <w:r>
                    <w:t xml:space="preserve">1.376</w:t>
                  </w:r>
                </w:p>
              </w:tc>
              <w:tc>
                <w:tcPr/>
                <w:p>
                  <w:pPr>
                    <w:pStyle w:val="Compact"/>
                    <w:jc w:val="right"/>
                    <w:jc w:val="center"/>
                  </w:pPr>
                  <w:r>
                    <w:t xml:space="preserve">13.151</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0.241</w:t>
                  </w:r>
                </w:p>
              </w:tc>
              <w:tc>
                <w:tcPr/>
                <w:p>
                  <w:pPr>
                    <w:pStyle w:val="Compact"/>
                    <w:jc w:val="right"/>
                    <w:jc w:val="center"/>
                  </w:pPr>
                  <w:r>
                    <w:t xml:space="preserve">0.241</w:t>
                  </w:r>
                </w:p>
              </w:tc>
              <w:tc>
                <w:tcPr/>
                <w:p>
                  <w:pPr>
                    <w:pStyle w:val="Compact"/>
                    <w:jc w:val="right"/>
                    <w:jc w:val="center"/>
                  </w:pPr>
                  <w:r>
                    <w:t xml:space="preserve">2.318</w:t>
                  </w:r>
                </w:p>
              </w:tc>
              <w:tc>
                <w:tcPr/>
                <w:p>
                  <w:pPr>
                    <w:pStyle w:val="Compact"/>
                    <w:jc w:val="right"/>
                    <w:jc w:val="center"/>
                  </w:pPr>
                  <w:r>
                    <w:t xml:space="preserve">0.128</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0.283</w:t>
                  </w:r>
                </w:p>
              </w:tc>
              <w:tc>
                <w:tcPr/>
                <w:p>
                  <w:pPr>
                    <w:pStyle w:val="Compact"/>
                    <w:jc w:val="right"/>
                    <w:jc w:val="center"/>
                  </w:pPr>
                  <w:r>
                    <w:t xml:space="preserve">0.283</w:t>
                  </w:r>
                </w:p>
              </w:tc>
              <w:tc>
                <w:tcPr/>
                <w:p>
                  <w:pPr>
                    <w:pStyle w:val="Compact"/>
                    <w:jc w:val="right"/>
                    <w:jc w:val="center"/>
                  </w:pPr>
                  <w:r>
                    <w:t xml:space="preserve">2.578</w:t>
                  </w:r>
                </w:p>
              </w:tc>
              <w:tc>
                <w:tcPr/>
                <w:p>
                  <w:pPr>
                    <w:pStyle w:val="Compact"/>
                    <w:jc w:val="right"/>
                    <w:jc w:val="center"/>
                  </w:pPr>
                  <w:r>
                    <w:t xml:space="preserve">0.108</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0.157</w:t>
                  </w:r>
                </w:p>
              </w:tc>
              <w:tc>
                <w:tcPr/>
                <w:p>
                  <w:pPr>
                    <w:pStyle w:val="Compact"/>
                    <w:jc w:val="right"/>
                    <w:jc w:val="center"/>
                  </w:pPr>
                  <w:r>
                    <w:t xml:space="preserve">0.157</w:t>
                  </w:r>
                </w:p>
              </w:tc>
              <w:tc>
                <w:tcPr/>
                <w:p>
                  <w:pPr>
                    <w:pStyle w:val="Compact"/>
                    <w:jc w:val="right"/>
                    <w:jc w:val="center"/>
                  </w:pPr>
                  <w:r>
                    <w:t xml:space="preserve">1.503</w:t>
                  </w:r>
                </w:p>
              </w:tc>
              <w:tc>
                <w:tcPr/>
                <w:p>
                  <w:pPr>
                    <w:pStyle w:val="Compact"/>
                    <w:jc w:val="right"/>
                    <w:jc w:val="center"/>
                  </w:pPr>
                  <w:r>
                    <w:t xml:space="preserve">0.220</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12.435</w:t>
                  </w:r>
                </w:p>
              </w:tc>
              <w:tc>
                <w:tcPr/>
                <w:p>
                  <w:pPr>
                    <w:pStyle w:val="Compact"/>
                    <w:jc w:val="right"/>
                    <w:jc w:val="center"/>
                  </w:pPr>
                  <w:r>
                    <w:t xml:space="preserve">3.109</w:t>
                  </w:r>
                </w:p>
              </w:tc>
              <w:tc>
                <w:tcPr/>
                <w:p>
                  <w:pPr>
                    <w:pStyle w:val="Compact"/>
                    <w:jc w:val="right"/>
                    <w:jc w:val="center"/>
                  </w:pPr>
                  <w:r>
                    <w:t xml:space="preserve">29.933</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12.455</w:t>
                  </w:r>
                </w:p>
              </w:tc>
              <w:tc>
                <w:tcPr/>
                <w:p>
                  <w:pPr>
                    <w:pStyle w:val="Compact"/>
                    <w:jc w:val="right"/>
                    <w:jc w:val="center"/>
                  </w:pPr>
                  <w:r>
                    <w:t xml:space="preserve">3.114</w:t>
                  </w:r>
                </w:p>
              </w:tc>
              <w:tc>
                <w:tcPr/>
                <w:p>
                  <w:pPr>
                    <w:pStyle w:val="Compact"/>
                    <w:jc w:val="right"/>
                    <w:jc w:val="center"/>
                  </w:pPr>
                  <w:r>
                    <w:t xml:space="preserve">28.396</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12.271</w:t>
                  </w:r>
                </w:p>
              </w:tc>
              <w:tc>
                <w:tcPr/>
                <w:p>
                  <w:pPr>
                    <w:pStyle w:val="Compact"/>
                    <w:jc w:val="right"/>
                    <w:jc w:val="center"/>
                  </w:pPr>
                  <w:r>
                    <w:t xml:space="preserve">3.068</w:t>
                  </w:r>
                </w:p>
              </w:tc>
              <w:tc>
                <w:tcPr/>
                <w:p>
                  <w:pPr>
                    <w:pStyle w:val="Compact"/>
                    <w:jc w:val="right"/>
                    <w:jc w:val="center"/>
                  </w:pPr>
                  <w:r>
                    <w:t xml:space="preserve">29.316</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14.756</w:t>
                  </w:r>
                </w:p>
              </w:tc>
              <w:tc>
                <w:tcPr/>
                <w:p>
                  <w:pPr>
                    <w:pStyle w:val="Compact"/>
                    <w:jc w:val="right"/>
                    <w:jc w:val="center"/>
                  </w:pPr>
                  <w:r>
                    <w:t xml:space="preserve">2.459</w:t>
                  </w:r>
                </w:p>
              </w:tc>
              <w:tc>
                <w:tcPr/>
                <w:p>
                  <w:pPr>
                    <w:pStyle w:val="Compact"/>
                    <w:jc w:val="right"/>
                    <w:jc w:val="center"/>
                  </w:pPr>
                  <w:r>
                    <w:t xml:space="preserve">23.680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14.385</w:t>
                  </w:r>
                </w:p>
              </w:tc>
              <w:tc>
                <w:tcPr/>
                <w:p>
                  <w:pPr>
                    <w:pStyle w:val="Compact"/>
                    <w:jc w:val="right"/>
                    <w:jc w:val="center"/>
                  </w:pPr>
                  <w:r>
                    <w:t xml:space="preserve">2.397</w:t>
                  </w:r>
                </w:p>
              </w:tc>
              <w:tc>
                <w:tcPr/>
                <w:p>
                  <w:pPr>
                    <w:pStyle w:val="Compact"/>
                    <w:jc w:val="right"/>
                    <w:jc w:val="center"/>
                  </w:pPr>
                  <w:r>
                    <w:t xml:space="preserve">21.863</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14.401</w:t>
                  </w:r>
                </w:p>
              </w:tc>
              <w:tc>
                <w:tcPr/>
                <w:p>
                  <w:pPr>
                    <w:pStyle w:val="Compact"/>
                    <w:jc w:val="right"/>
                    <w:jc w:val="center"/>
                  </w:pPr>
                  <w:r>
                    <w:t xml:space="preserve">2.400</w:t>
                  </w:r>
                </w:p>
              </w:tc>
              <w:tc>
                <w:tcPr/>
                <w:p>
                  <w:pPr>
                    <w:pStyle w:val="Compact"/>
                    <w:jc w:val="right"/>
                    <w:jc w:val="center"/>
                  </w:pPr>
                  <w:r>
                    <w:t xml:space="preserve">22.937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127.280</w:t>
                  </w:r>
                </w:p>
              </w:tc>
              <w:tc>
                <w:tcPr/>
                <w:p>
                  <w:pPr>
                    <w:pStyle w:val="Compact"/>
                    <w:jc w:val="right"/>
                    <w:jc w:val="center"/>
                  </w:pPr>
                  <w:r>
                    <w:t xml:space="preserve">10.607</w:t>
                  </w:r>
                </w:p>
              </w:tc>
              <w:tc>
                <w:tcPr/>
                <w:p>
                  <w:pPr>
                    <w:pStyle w:val="Compact"/>
                    <w:jc w:val="right"/>
                    <w:jc w:val="center"/>
                  </w:pPr>
                  <w:r>
                    <w:t xml:space="preserve">102.127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139.826</w:t>
                  </w:r>
                </w:p>
              </w:tc>
              <w:tc>
                <w:tcPr/>
                <w:p>
                  <w:pPr>
                    <w:pStyle w:val="Compact"/>
                    <w:jc w:val="right"/>
                    <w:jc w:val="center"/>
                  </w:pPr>
                  <w:r>
                    <w:t xml:space="preserve">11.652</w:t>
                  </w:r>
                </w:p>
              </w:tc>
              <w:tc>
                <w:tcPr/>
                <w:p>
                  <w:pPr>
                    <w:pStyle w:val="Compact"/>
                    <w:jc w:val="right"/>
                    <w:jc w:val="center"/>
                  </w:pPr>
                  <w:r>
                    <w:t xml:space="preserve">106.260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129.368</w:t>
                  </w:r>
                </w:p>
              </w:tc>
              <w:tc>
                <w:tcPr/>
                <w:p>
                  <w:pPr>
                    <w:pStyle w:val="Compact"/>
                    <w:jc w:val="right"/>
                    <w:jc w:val="center"/>
                  </w:pPr>
                  <w:r>
                    <w:t xml:space="preserve">10.781</w:t>
                  </w:r>
                </w:p>
              </w:tc>
              <w:tc>
                <w:tcPr/>
                <w:p>
                  <w:pPr>
                    <w:pStyle w:val="Compact"/>
                    <w:jc w:val="right"/>
                    <w:jc w:val="center"/>
                  </w:pPr>
                  <w:r>
                    <w:t xml:space="preserve">103.021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I(loss_aversion):factor(season_id)</w:t>
                  </w:r>
                </w:p>
              </w:tc>
              <w:tc>
                <w:tcPr/>
                <w:p>
                  <w:pPr>
                    <w:pStyle w:val="Compact"/>
                    <w:jc w:val="right"/>
                    <w:jc w:val="center"/>
                  </w:pPr>
                  <w:r>
                    <w:t xml:space="preserve">26</w:t>
                  </w:r>
                </w:p>
              </w:tc>
              <w:tc>
                <w:tcPr/>
                <w:p>
                  <w:pPr>
                    <w:pStyle w:val="Compact"/>
                    <w:jc w:val="right"/>
                    <w:jc w:val="center"/>
                  </w:pPr>
                  <w:r>
                    <w:t xml:space="preserve">20.432</w:t>
                  </w:r>
                </w:p>
              </w:tc>
              <w:tc>
                <w:tcPr/>
                <w:p>
                  <w:pPr>
                    <w:pStyle w:val="Compact"/>
                    <w:jc w:val="right"/>
                    <w:jc w:val="center"/>
                  </w:pPr>
                  <w:r>
                    <w:t xml:space="preserve">0.786</w:t>
                  </w:r>
                </w:p>
              </w:tc>
              <w:tc>
                <w:tcPr/>
                <w:p>
                  <w:pPr>
                    <w:pStyle w:val="Compact"/>
                    <w:jc w:val="right"/>
                    <w:jc w:val="center"/>
                  </w:pPr>
                  <w:r>
                    <w:t xml:space="preserve">7.510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I(quality_of_play):factor(season_id)</w:t>
                  </w:r>
                </w:p>
              </w:tc>
              <w:tc>
                <w:tcPr/>
                <w:p>
                  <w:pPr>
                    <w:pStyle w:val="Compact"/>
                    <w:jc w:val="right"/>
                    <w:jc w:val="center"/>
                  </w:pPr>
                  <w:r>
                    <w:t xml:space="preserve">26</w:t>
                  </w:r>
                </w:p>
              </w:tc>
              <w:tc>
                <w:tcPr/>
                <w:p>
                  <w:pPr>
                    <w:pStyle w:val="Compact"/>
                    <w:jc w:val="right"/>
                    <w:jc w:val="center"/>
                  </w:pPr>
                  <w:r>
                    <w:t xml:space="preserve">17.752</w:t>
                  </w:r>
                </w:p>
              </w:tc>
              <w:tc>
                <w:tcPr/>
                <w:p>
                  <w:pPr>
                    <w:pStyle w:val="Compact"/>
                    <w:jc w:val="right"/>
                    <w:jc w:val="center"/>
                  </w:pPr>
                  <w:r>
                    <w:t xml:space="preserve">0.683</w:t>
                  </w:r>
                </w:p>
              </w:tc>
              <w:tc>
                <w:tcPr/>
                <w:p>
                  <w:pPr>
                    <w:pStyle w:val="Compact"/>
                    <w:jc w:val="right"/>
                    <w:jc w:val="center"/>
                  </w:pPr>
                  <w:r>
                    <w:t xml:space="preserve">6.574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I(uncertain_outcome):factor(season_id)</w:t>
                  </w:r>
                </w:p>
              </w:tc>
              <w:tc>
                <w:tcPr/>
                <w:p>
                  <w:pPr>
                    <w:pStyle w:val="Compact"/>
                    <w:jc w:val="right"/>
                    <w:jc w:val="center"/>
                  </w:pPr>
                  <w:r>
                    <w:t xml:space="preserve">26</w:t>
                  </w:r>
                </w:p>
              </w:tc>
              <w:tc>
                <w:tcPr/>
                <w:p>
                  <w:pPr>
                    <w:pStyle w:val="Compact"/>
                    <w:jc w:val="right"/>
                    <w:jc w:val="center"/>
                  </w:pPr>
                  <w:r>
                    <w:t xml:space="preserve">8.443</w:t>
                  </w:r>
                </w:p>
              </w:tc>
              <w:tc>
                <w:tcPr/>
                <w:p>
                  <w:pPr>
                    <w:pStyle w:val="Compact"/>
                    <w:jc w:val="right"/>
                    <w:jc w:val="center"/>
                  </w:pPr>
                  <w:r>
                    <w:t xml:space="preserve">0.325</w:t>
                  </w:r>
                </w:p>
              </w:tc>
              <w:tc>
                <w:tcPr/>
                <w:p>
                  <w:pPr>
                    <w:pStyle w:val="Compact"/>
                    <w:jc w:val="right"/>
                    <w:jc w:val="center"/>
                  </w:pPr>
                  <w:r>
                    <w:t xml:space="preserve">2.961</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156.100</w:t>
                  </w:r>
                </w:p>
              </w:tc>
              <w:tc>
                <w:tcPr/>
                <w:p>
                  <w:pPr>
                    <w:pStyle w:val="Compact"/>
                    <w:jc w:val="right"/>
                    <w:jc w:val="center"/>
                  </w:pPr>
                  <w:r>
                    <w:t xml:space="preserve">6.004</w:t>
                  </w:r>
                </w:p>
              </w:tc>
              <w:tc>
                <w:tcPr/>
                <w:p>
                  <w:pPr>
                    <w:pStyle w:val="Compact"/>
                    <w:jc w:val="right"/>
                    <w:jc w:val="center"/>
                  </w:pPr>
                  <w:r>
                    <w:t xml:space="preserve">57.808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148.017</w:t>
                  </w:r>
                </w:p>
              </w:tc>
              <w:tc>
                <w:tcPr/>
                <w:p>
                  <w:pPr>
                    <w:pStyle w:val="Compact"/>
                    <w:jc w:val="right"/>
                    <w:jc w:val="center"/>
                  </w:pPr>
                  <w:r>
                    <w:t xml:space="preserve">5.693</w:t>
                  </w:r>
                </w:p>
              </w:tc>
              <w:tc>
                <w:tcPr/>
                <w:p>
                  <w:pPr>
                    <w:pStyle w:val="Compact"/>
                    <w:jc w:val="right"/>
                    <w:jc w:val="center"/>
                  </w:pPr>
                  <w:r>
                    <w:t xml:space="preserve">51.916</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150.457</w:t>
                  </w:r>
                </w:p>
              </w:tc>
              <w:tc>
                <w:tcPr/>
                <w:p>
                  <w:pPr>
                    <w:pStyle w:val="Compact"/>
                    <w:jc w:val="right"/>
                    <w:jc w:val="center"/>
                  </w:pPr>
                  <w:r>
                    <w:t xml:space="preserve">5.787</w:t>
                  </w:r>
                </w:p>
              </w:tc>
              <w:tc>
                <w:tcPr/>
                <w:p>
                  <w:pPr>
                    <w:pStyle w:val="Compact"/>
                    <w:jc w:val="right"/>
                    <w:jc w:val="center"/>
                  </w:pPr>
                  <w:r>
                    <w:t xml:space="preserve">55.299</w:t>
                  </w:r>
                </w:p>
              </w:tc>
              <w:tc>
                <w:tcPr/>
                <w:p>
                  <w:pPr>
                    <w:pStyle w:val="Compact"/>
                    <w:jc w:val="right"/>
                    <w:jc w:val="center"/>
                  </w:pPr>
                  <w:r>
                    <w:t xml:space="preserve">0.000</w:t>
                  </w:r>
                </w:p>
              </w:tc>
            </w:tr>
          </w:tbl>
          <w:bookmarkEnd w:id="14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9" w:name="tbl-anova2"/>
          <w:p>
            <w:pPr>
              <w:jc w:val="center"/>
            </w:pPr>
            <w:pPr>
              <w:jc w:val="left"/>
              <w:spacing w:before="200"/>
              <w:pStyle w:val="ImageCaption"/>
            </w:pPr>
            <w:r>
              <w:t xml:space="preserve">Table 8: Analysis of variance for terms in models for percentage of arena capacity.</w:t>
            </w:r>
          </w:p>
          <w:tbl>
            <w:tblPr>
              <w:tblStyle w:val="Table"/>
              <w:tblW w:type="pct" w:w="5000"/>
              <w:tblLayout w:type="fixed"/>
              <w:tblLook w:firstRow="1" w:lastRow="0" w:firstColumn="0" w:lastColumn="0" w:noHBand="0" w:noVBand="0" w:val="0020"/>
            </w:tblPr>
            <w:tblGrid>
              <w:gridCol w:w="500"/>
              <w:gridCol w:w="3251"/>
              <w:gridCol w:w="250"/>
              <w:gridCol w:w="750"/>
              <w:gridCol w:w="1000"/>
              <w:gridCol w:w="1500"/>
              <w:gridCol w:w="666"/>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f3</w:t>
                  </w:r>
                </w:p>
              </w:tc>
              <w:tc>
                <w:tcPr/>
                <w:p>
                  <w:pPr>
                    <w:pStyle w:val="Compact"/>
                    <w:jc w:val="left"/>
                    <w:jc w:val="center"/>
                  </w:pPr>
                  <w:r>
                    <w:t xml:space="preserve">I(loss_aversion)</w:t>
                  </w:r>
                </w:p>
              </w:tc>
              <w:tc>
                <w:tcPr/>
                <w:p>
                  <w:pPr>
                    <w:pStyle w:val="Compact"/>
                    <w:jc w:val="right"/>
                    <w:jc w:val="center"/>
                  </w:pPr>
                  <w:r>
                    <w:t xml:space="preserve">1</w:t>
                  </w:r>
                </w:p>
              </w:tc>
              <w:tc>
                <w:tcPr/>
                <w:p>
                  <w:pPr>
                    <w:pStyle w:val="Compact"/>
                    <w:jc w:val="right"/>
                    <w:jc w:val="center"/>
                  </w:pPr>
                  <w:r>
                    <w:t xml:space="preserve">2.754</w:t>
                  </w:r>
                </w:p>
              </w:tc>
              <w:tc>
                <w:tcPr/>
                <w:p>
                  <w:pPr>
                    <w:pStyle w:val="Compact"/>
                    <w:jc w:val="right"/>
                    <w:jc w:val="center"/>
                  </w:pPr>
                  <w:r>
                    <w:t xml:space="preserve">5061</w:t>
                  </w:r>
                </w:p>
              </w:tc>
              <w:tc>
                <w:tcPr/>
                <w:p>
                  <w:pPr>
                    <w:pStyle w:val="Compact"/>
                    <w:jc w:val="right"/>
                    <w:jc w:val="center"/>
                  </w:pPr>
                  <w:r>
                    <w:t xml:space="preserve">913.912</w:t>
                  </w:r>
                </w:p>
              </w:tc>
              <w:tc>
                <w:tcPr/>
                <w:p>
                  <w:pPr>
                    <w:pStyle w:val="Compact"/>
                    <w:jc w:val="right"/>
                    <w:jc w:val="center"/>
                  </w:pPr>
                  <w:r>
                    <w:t xml:space="preserve">0.097</w:t>
                  </w:r>
                </w:p>
              </w:tc>
            </w:tr>
            <w:tr>
              <w:tc>
                <w:tcPr/>
                <w:p>
                  <w:pPr>
                    <w:pStyle w:val="Compact"/>
                    <w:jc w:val="left"/>
                    <w:jc w:val="center"/>
                  </w:pPr>
                  <w:r>
                    <w:t xml:space="preserve">f1</w:t>
                  </w:r>
                </w:p>
              </w:tc>
              <w:tc>
                <w:tcPr/>
                <w:p>
                  <w:pPr>
                    <w:pStyle w:val="Compact"/>
                    <w:jc w:val="left"/>
                    <w:jc w:val="center"/>
                  </w:pPr>
                  <w:r>
                    <w:t xml:space="preserve">I(quality_of_play)</w:t>
                  </w:r>
                </w:p>
              </w:tc>
              <w:tc>
                <w:tcPr/>
                <w:p>
                  <w:pPr>
                    <w:pStyle w:val="Compact"/>
                    <w:jc w:val="right"/>
                    <w:jc w:val="center"/>
                  </w:pPr>
                  <w:r>
                    <w:t xml:space="preserve">1</w:t>
                  </w:r>
                </w:p>
              </w:tc>
              <w:tc>
                <w:tcPr/>
                <w:p>
                  <w:pPr>
                    <w:pStyle w:val="Compact"/>
                    <w:jc w:val="right"/>
                    <w:jc w:val="center"/>
                  </w:pPr>
                  <w:r>
                    <w:t xml:space="preserve">13.447</w:t>
                  </w:r>
                </w:p>
              </w:tc>
              <w:tc>
                <w:tcPr/>
                <w:p>
                  <w:pPr>
                    <w:pStyle w:val="Compact"/>
                    <w:jc w:val="right"/>
                    <w:jc w:val="center"/>
                  </w:pPr>
                  <w:r>
                    <w:t xml:space="preserve">5061</w:t>
                  </w:r>
                </w:p>
              </w:tc>
              <w:tc>
                <w:tcPr/>
                <w:p>
                  <w:pPr>
                    <w:pStyle w:val="Compact"/>
                    <w:jc w:val="right"/>
                    <w:jc w:val="center"/>
                  </w:pPr>
                  <w:r>
                    <w:t xml:space="preserve">903.220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I(uncertain_outcome)</w:t>
                  </w:r>
                </w:p>
              </w:tc>
              <w:tc>
                <w:tcPr/>
                <w:p>
                  <w:pPr>
                    <w:pStyle w:val="Compact"/>
                    <w:jc w:val="right"/>
                    <w:jc w:val="center"/>
                  </w:pPr>
                  <w:r>
                    <w:t xml:space="preserve">1</w:t>
                  </w:r>
                </w:p>
              </w:tc>
              <w:tc>
                <w:tcPr/>
                <w:p>
                  <w:pPr>
                    <w:pStyle w:val="Compact"/>
                    <w:jc w:val="right"/>
                    <w:jc w:val="center"/>
                  </w:pPr>
                  <w:r>
                    <w:t xml:space="preserve">0.022</w:t>
                  </w:r>
                </w:p>
              </w:tc>
              <w:tc>
                <w:tcPr/>
                <w:p>
                  <w:pPr>
                    <w:pStyle w:val="Compact"/>
                    <w:jc w:val="right"/>
                    <w:jc w:val="center"/>
                  </w:pPr>
                  <w:r>
                    <w:t xml:space="preserve">5061</w:t>
                  </w:r>
                </w:p>
              </w:tc>
              <w:tc>
                <w:tcPr/>
                <w:p>
                  <w:pPr>
                    <w:pStyle w:val="Compact"/>
                    <w:jc w:val="right"/>
                    <w:jc w:val="center"/>
                  </w:pPr>
                  <w:r>
                    <w:t xml:space="preserve">916.644</w:t>
                  </w:r>
                </w:p>
              </w:tc>
              <w:tc>
                <w:tcPr/>
                <w:p>
                  <w:pPr>
                    <w:pStyle w:val="Compact"/>
                    <w:jc w:val="right"/>
                    <w:jc w:val="center"/>
                  </w:pPr>
                  <w:r>
                    <w:t xml:space="preserve">0.882</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22.602</w:t>
                  </w:r>
                </w:p>
              </w:tc>
              <w:tc>
                <w:tcPr/>
                <w:p>
                  <w:pPr>
                    <w:pStyle w:val="Compact"/>
                    <w:jc w:val="right"/>
                    <w:jc w:val="center"/>
                  </w:pPr>
                  <w:r>
                    <w:t xml:space="preserve">5010</w:t>
                  </w:r>
                </w:p>
              </w:tc>
              <w:tc>
                <w:tcPr/>
                <w:p>
                  <w:pPr>
                    <w:pStyle w:val="Compact"/>
                    <w:jc w:val="right"/>
                    <w:jc w:val="center"/>
                  </w:pPr>
                  <w:r>
                    <w:t xml:space="preserve">577.550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23.047</w:t>
                  </w:r>
                </w:p>
              </w:tc>
              <w:tc>
                <w:tcPr/>
                <w:p>
                  <w:pPr>
                    <w:pStyle w:val="Compact"/>
                    <w:jc w:val="right"/>
                    <w:jc w:val="center"/>
                  </w:pPr>
                  <w:r>
                    <w:t xml:space="preserve">5010</w:t>
                  </w:r>
                </w:p>
              </w:tc>
              <w:tc>
                <w:tcPr/>
                <w:p>
                  <w:pPr>
                    <w:pStyle w:val="Compact"/>
                    <w:jc w:val="right"/>
                    <w:jc w:val="center"/>
                  </w:pPr>
                  <w:r>
                    <w:t xml:space="preserve">587.921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22.752</w:t>
                  </w:r>
                </w:p>
              </w:tc>
              <w:tc>
                <w:tcPr/>
                <w:p>
                  <w:pPr>
                    <w:pStyle w:val="Compact"/>
                    <w:jc w:val="right"/>
                    <w:jc w:val="center"/>
                  </w:pPr>
                  <w:r>
                    <w:t xml:space="preserve">5010</w:t>
                  </w:r>
                </w:p>
              </w:tc>
              <w:tc>
                <w:tcPr/>
                <w:p>
                  <w:pPr>
                    <w:pStyle w:val="Compact"/>
                    <w:jc w:val="right"/>
                    <w:jc w:val="center"/>
                  </w:pPr>
                  <w:r>
                    <w:t xml:space="preserve">584.769</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0.773</w:t>
                  </w:r>
                </w:p>
              </w:tc>
              <w:tc>
                <w:tcPr/>
                <w:p>
                  <w:pPr>
                    <w:pStyle w:val="Compact"/>
                    <w:jc w:val="right"/>
                    <w:jc w:val="center"/>
                  </w:pPr>
                  <w:r>
                    <w:t xml:space="preserve">5012</w:t>
                  </w:r>
                </w:p>
              </w:tc>
              <w:tc>
                <w:tcPr/>
                <w:p>
                  <w:pPr>
                    <w:pStyle w:val="Compact"/>
                    <w:jc w:val="right"/>
                    <w:jc w:val="center"/>
                  </w:pPr>
                  <w:r>
                    <w:t xml:space="preserve">604.367</w:t>
                  </w:r>
                </w:p>
              </w:tc>
              <w:tc>
                <w:tcPr/>
                <w:p>
                  <w:pPr>
                    <w:pStyle w:val="Compact"/>
                    <w:jc w:val="right"/>
                    <w:jc w:val="center"/>
                  </w:pPr>
                  <w:r>
                    <w:t xml:space="preserve">0.379</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1.396</w:t>
                  </w:r>
                </w:p>
              </w:tc>
              <w:tc>
                <w:tcPr/>
                <w:p>
                  <w:pPr>
                    <w:pStyle w:val="Compact"/>
                    <w:jc w:val="right"/>
                    <w:jc w:val="center"/>
                  </w:pPr>
                  <w:r>
                    <w:t xml:space="preserve">5012</w:t>
                  </w:r>
                </w:p>
              </w:tc>
              <w:tc>
                <w:tcPr/>
                <w:p>
                  <w:pPr>
                    <w:pStyle w:val="Compact"/>
                    <w:jc w:val="right"/>
                    <w:jc w:val="center"/>
                  </w:pPr>
                  <w:r>
                    <w:t xml:space="preserve">614.730</w:t>
                  </w:r>
                </w:p>
              </w:tc>
              <w:tc>
                <w:tcPr/>
                <w:p>
                  <w:pPr>
                    <w:pStyle w:val="Compact"/>
                    <w:jc w:val="right"/>
                    <w:jc w:val="center"/>
                  </w:pPr>
                  <w:r>
                    <w:t xml:space="preserve">0.237</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1.148</w:t>
                  </w:r>
                </w:p>
              </w:tc>
              <w:tc>
                <w:tcPr/>
                <w:p>
                  <w:pPr>
                    <w:pStyle w:val="Compact"/>
                    <w:jc w:val="right"/>
                    <w:jc w:val="center"/>
                  </w:pPr>
                  <w:r>
                    <w:t xml:space="preserve">5012</w:t>
                  </w:r>
                </w:p>
              </w:tc>
              <w:tc>
                <w:tcPr/>
                <w:p>
                  <w:pPr>
                    <w:pStyle w:val="Compact"/>
                    <w:jc w:val="right"/>
                    <w:jc w:val="center"/>
                  </w:pPr>
                  <w:r>
                    <w:t xml:space="preserve">611.878</w:t>
                  </w:r>
                </w:p>
              </w:tc>
              <w:tc>
                <w:tcPr/>
                <w:p>
                  <w:pPr>
                    <w:pStyle w:val="Compact"/>
                    <w:jc w:val="right"/>
                    <w:jc w:val="center"/>
                  </w:pPr>
                  <w:r>
                    <w:t xml:space="preserve">0.284</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4.216</w:t>
                  </w:r>
                </w:p>
              </w:tc>
              <w:tc>
                <w:tcPr/>
                <w:p>
                  <w:pPr>
                    <w:pStyle w:val="Compact"/>
                    <w:jc w:val="right"/>
                    <w:jc w:val="center"/>
                  </w:pPr>
                  <w:r>
                    <w:t xml:space="preserve">5011</w:t>
                  </w:r>
                </w:p>
              </w:tc>
              <w:tc>
                <w:tcPr/>
                <w:p>
                  <w:pPr>
                    <w:pStyle w:val="Compact"/>
                    <w:jc w:val="right"/>
                    <w:jc w:val="center"/>
                  </w:pPr>
                  <w:r>
                    <w:t xml:space="preserve">600.151</w:t>
                  </w:r>
                </w:p>
              </w:tc>
              <w:tc>
                <w:tcPr/>
                <w:p>
                  <w:pPr>
                    <w:pStyle w:val="Compact"/>
                    <w:jc w:val="right"/>
                    <w:jc w:val="center"/>
                  </w:pPr>
                  <w:r>
                    <w:t xml:space="preserve">0.040</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3.762</w:t>
                  </w:r>
                </w:p>
              </w:tc>
              <w:tc>
                <w:tcPr/>
                <w:p>
                  <w:pPr>
                    <w:pStyle w:val="Compact"/>
                    <w:jc w:val="right"/>
                    <w:jc w:val="center"/>
                  </w:pPr>
                  <w:r>
                    <w:t xml:space="preserve">5011</w:t>
                  </w:r>
                </w:p>
              </w:tc>
              <w:tc>
                <w:tcPr/>
                <w:p>
                  <w:pPr>
                    <w:pStyle w:val="Compact"/>
                    <w:jc w:val="right"/>
                    <w:jc w:val="center"/>
                  </w:pPr>
                  <w:r>
                    <w:t xml:space="preserve">610.968</w:t>
                  </w:r>
                </w:p>
              </w:tc>
              <w:tc>
                <w:tcPr/>
                <w:p>
                  <w:pPr>
                    <w:pStyle w:val="Compact"/>
                    <w:jc w:val="right"/>
                    <w:jc w:val="center"/>
                  </w:pPr>
                  <w:r>
                    <w:t xml:space="preserve">0.052</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4.357</w:t>
                  </w:r>
                </w:p>
              </w:tc>
              <w:tc>
                <w:tcPr/>
                <w:p>
                  <w:pPr>
                    <w:pStyle w:val="Compact"/>
                    <w:jc w:val="right"/>
                    <w:jc w:val="center"/>
                  </w:pPr>
                  <w:r>
                    <w:t xml:space="preserve">5011</w:t>
                  </w:r>
                </w:p>
              </w:tc>
              <w:tc>
                <w:tcPr/>
                <w:p>
                  <w:pPr>
                    <w:pStyle w:val="Compact"/>
                    <w:jc w:val="right"/>
                    <w:jc w:val="center"/>
                  </w:pPr>
                  <w:r>
                    <w:t xml:space="preserve">607.521</w:t>
                  </w:r>
                </w:p>
              </w:tc>
              <w:tc>
                <w:tcPr/>
                <w:p>
                  <w:pPr>
                    <w:pStyle w:val="Compact"/>
                    <w:jc w:val="right"/>
                    <w:jc w:val="center"/>
                  </w:pPr>
                  <w:r>
                    <w:t xml:space="preserve">0.037</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13.224</w:t>
                  </w:r>
                </w:p>
              </w:tc>
              <w:tc>
                <w:tcPr/>
                <w:p>
                  <w:pPr>
                    <w:pStyle w:val="Compact"/>
                    <w:jc w:val="right"/>
                    <w:jc w:val="center"/>
                  </w:pPr>
                  <w:r>
                    <w:t xml:space="preserve">5025</w:t>
                  </w:r>
                </w:p>
              </w:tc>
              <w:tc>
                <w:tcPr/>
                <w:p>
                  <w:pPr>
                    <w:pStyle w:val="Compact"/>
                    <w:jc w:val="right"/>
                    <w:jc w:val="center"/>
                  </w:pPr>
                  <w:r>
                    <w:t xml:space="preserve">700.273</w:t>
                  </w:r>
                </w:p>
              </w:tc>
              <w:tc>
                <w:tcPr/>
                <w:p>
                  <w:pPr>
                    <w:pStyle w:val="Compact"/>
                    <w:jc w:val="right"/>
                    <w:jc w:val="center"/>
                  </w:pPr>
                  <w:r>
                    <w:t xml:space="preserve">0.010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13.216</w:t>
                  </w:r>
                </w:p>
              </w:tc>
              <w:tc>
                <w:tcPr/>
                <w:p>
                  <w:pPr>
                    <w:pStyle w:val="Compact"/>
                    <w:jc w:val="right"/>
                    <w:jc w:val="center"/>
                  </w:pPr>
                  <w:r>
                    <w:t xml:space="preserve">5025</w:t>
                  </w:r>
                </w:p>
              </w:tc>
              <w:tc>
                <w:tcPr/>
                <w:p>
                  <w:pPr>
                    <w:pStyle w:val="Compact"/>
                    <w:jc w:val="right"/>
                    <w:jc w:val="center"/>
                  </w:pPr>
                  <w:r>
                    <w:t xml:space="preserve">708.391</w:t>
                  </w:r>
                </w:p>
              </w:tc>
              <w:tc>
                <w:tcPr/>
                <w:p>
                  <w:pPr>
                    <w:pStyle w:val="Compact"/>
                    <w:jc w:val="right"/>
                    <w:jc w:val="center"/>
                  </w:pPr>
                  <w:r>
                    <w:t xml:space="preserve">0.010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13.157</w:t>
                  </w:r>
                </w:p>
              </w:tc>
              <w:tc>
                <w:tcPr/>
                <w:p>
                  <w:pPr>
                    <w:pStyle w:val="Compact"/>
                    <w:jc w:val="right"/>
                    <w:jc w:val="center"/>
                  </w:pPr>
                  <w:r>
                    <w:t xml:space="preserve">5025</w:t>
                  </w:r>
                </w:p>
              </w:tc>
              <w:tc>
                <w:tcPr/>
                <w:p>
                  <w:pPr>
                    <w:pStyle w:val="Compact"/>
                    <w:jc w:val="right"/>
                    <w:jc w:val="center"/>
                  </w:pPr>
                  <w:r>
                    <w:t xml:space="preserve">705.692</w:t>
                  </w:r>
                </w:p>
              </w:tc>
              <w:tc>
                <w:tcPr/>
                <w:p>
                  <w:pPr>
                    <w:pStyle w:val="Compact"/>
                    <w:jc w:val="right"/>
                    <w:jc w:val="center"/>
                  </w:pPr>
                  <w:r>
                    <w:t xml:space="preserve">0.011</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18.761</w:t>
                  </w:r>
                </w:p>
              </w:tc>
              <w:tc>
                <w:tcPr/>
                <w:p>
                  <w:pPr>
                    <w:pStyle w:val="Compact"/>
                    <w:jc w:val="right"/>
                    <w:jc w:val="center"/>
                  </w:pPr>
                  <w:r>
                    <w:t xml:space="preserve">5029</w:t>
                  </w:r>
                </w:p>
              </w:tc>
              <w:tc>
                <w:tcPr/>
                <w:p>
                  <w:pPr>
                    <w:pStyle w:val="Compact"/>
                    <w:jc w:val="right"/>
                    <w:jc w:val="center"/>
                  </w:pPr>
                  <w:r>
                    <w:t xml:space="preserve">713.497</w:t>
                  </w:r>
                </w:p>
              </w:tc>
              <w:tc>
                <w:tcPr/>
                <w:p>
                  <w:pPr>
                    <w:pStyle w:val="Compact"/>
                    <w:jc w:val="right"/>
                    <w:jc w:val="center"/>
                  </w:pPr>
                  <w:r>
                    <w:t xml:space="preserve">0.005</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18.436</w:t>
                  </w:r>
                </w:p>
              </w:tc>
              <w:tc>
                <w:tcPr/>
                <w:p>
                  <w:pPr>
                    <w:pStyle w:val="Compact"/>
                    <w:jc w:val="right"/>
                    <w:jc w:val="center"/>
                  </w:pPr>
                  <w:r>
                    <w:t xml:space="preserve">5029</w:t>
                  </w:r>
                </w:p>
              </w:tc>
              <w:tc>
                <w:tcPr/>
                <w:p>
                  <w:pPr>
                    <w:pStyle w:val="Compact"/>
                    <w:jc w:val="right"/>
                    <w:jc w:val="center"/>
                  </w:pPr>
                  <w:r>
                    <w:t xml:space="preserve">721.607</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18.612</w:t>
                  </w:r>
                </w:p>
              </w:tc>
              <w:tc>
                <w:tcPr/>
                <w:p>
                  <w:pPr>
                    <w:pStyle w:val="Compact"/>
                    <w:jc w:val="right"/>
                    <w:jc w:val="center"/>
                  </w:pPr>
                  <w:r>
                    <w:t xml:space="preserve">5029</w:t>
                  </w:r>
                </w:p>
              </w:tc>
              <w:tc>
                <w:tcPr/>
                <w:p>
                  <w:pPr>
                    <w:pStyle w:val="Compact"/>
                    <w:jc w:val="right"/>
                    <w:jc w:val="center"/>
                  </w:pPr>
                  <w:r>
                    <w:t xml:space="preserve">718.849</w:t>
                  </w:r>
                </w:p>
              </w:tc>
              <w:tc>
                <w:tcPr/>
                <w:p>
                  <w:pPr>
                    <w:pStyle w:val="Compact"/>
                    <w:jc w:val="right"/>
                    <w:jc w:val="center"/>
                  </w:pPr>
                  <w:r>
                    <w:t xml:space="preserve">0.005</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95.133</w:t>
                  </w:r>
                </w:p>
              </w:tc>
              <w:tc>
                <w:tcPr/>
                <w:p>
                  <w:pPr>
                    <w:pStyle w:val="Compact"/>
                    <w:jc w:val="right"/>
                    <w:jc w:val="center"/>
                  </w:pPr>
                  <w:r>
                    <w:t xml:space="preserve">5013</w:t>
                  </w:r>
                </w:p>
              </w:tc>
              <w:tc>
                <w:tcPr/>
                <w:p>
                  <w:pPr>
                    <w:pStyle w:val="Compact"/>
                    <w:jc w:val="right"/>
                    <w:jc w:val="center"/>
                  </w:pPr>
                  <w:r>
                    <w:t xml:space="preserve">605.140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92.266</w:t>
                  </w:r>
                </w:p>
              </w:tc>
              <w:tc>
                <w:tcPr/>
                <w:p>
                  <w:pPr>
                    <w:pStyle w:val="Compact"/>
                    <w:jc w:val="right"/>
                    <w:jc w:val="center"/>
                  </w:pPr>
                  <w:r>
                    <w:t xml:space="preserve">5013</w:t>
                  </w:r>
                </w:p>
              </w:tc>
              <w:tc>
                <w:tcPr/>
                <w:p>
                  <w:pPr>
                    <w:pStyle w:val="Compact"/>
                    <w:jc w:val="right"/>
                    <w:jc w:val="center"/>
                  </w:pPr>
                  <w:r>
                    <w:t xml:space="preserve">616.125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92.666</w:t>
                  </w:r>
                </w:p>
              </w:tc>
              <w:tc>
                <w:tcPr/>
                <w:p>
                  <w:pPr>
                    <w:pStyle w:val="Compact"/>
                    <w:jc w:val="right"/>
                    <w:jc w:val="center"/>
                  </w:pPr>
                  <w:r>
                    <w:t xml:space="preserve">5013</w:t>
                  </w:r>
                </w:p>
              </w:tc>
              <w:tc>
                <w:tcPr/>
                <w:p>
                  <w:pPr>
                    <w:pStyle w:val="Compact"/>
                    <w:jc w:val="right"/>
                    <w:jc w:val="center"/>
                  </w:pPr>
                  <w:r>
                    <w:t xml:space="preserve">613.026</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I(loss_aversion):factor(season_id)</w:t>
                  </w:r>
                </w:p>
              </w:tc>
              <w:tc>
                <w:tcPr/>
                <w:p>
                  <w:pPr>
                    <w:pStyle w:val="Compact"/>
                    <w:jc w:val="right"/>
                    <w:jc w:val="center"/>
                  </w:pPr>
                  <w:r>
                    <w:t xml:space="preserve">26</w:t>
                  </w:r>
                </w:p>
              </w:tc>
              <w:tc>
                <w:tcPr/>
                <w:p>
                  <w:pPr>
                    <w:pStyle w:val="Compact"/>
                    <w:jc w:val="right"/>
                    <w:jc w:val="center"/>
                  </w:pPr>
                  <w:r>
                    <w:t xml:space="preserve">10.759</w:t>
                  </w:r>
                </w:p>
              </w:tc>
              <w:tc>
                <w:tcPr/>
                <w:p>
                  <w:pPr>
                    <w:pStyle w:val="Compact"/>
                    <w:jc w:val="right"/>
                    <w:jc w:val="center"/>
                  </w:pPr>
                  <w:r>
                    <w:t xml:space="preserve">4984</w:t>
                  </w:r>
                </w:p>
              </w:tc>
              <w:tc>
                <w:tcPr/>
                <w:p>
                  <w:pPr>
                    <w:pStyle w:val="Compact"/>
                    <w:jc w:val="right"/>
                    <w:jc w:val="center"/>
                  </w:pPr>
                  <w:r>
                    <w:t xml:space="preserve">574.011</w:t>
                  </w:r>
                </w:p>
              </w:tc>
              <w:tc>
                <w:tcPr/>
                <w:p>
                  <w:pPr>
                    <w:pStyle w:val="Compact"/>
                    <w:jc w:val="right"/>
                    <w:jc w:val="center"/>
                  </w:pPr>
                  <w:r>
                    <w:t xml:space="preserve">0.996</w:t>
                  </w:r>
                </w:p>
              </w:tc>
            </w:tr>
            <w:tr>
              <w:tc>
                <w:tcPr/>
                <w:p>
                  <w:pPr>
                    <w:pStyle w:val="Compact"/>
                    <w:jc w:val="left"/>
                    <w:jc w:val="center"/>
                  </w:pPr>
                  <w:r>
                    <w:t xml:space="preserve">f1</w:t>
                  </w:r>
                </w:p>
              </w:tc>
              <w:tc>
                <w:tcPr/>
                <w:p>
                  <w:pPr>
                    <w:pStyle w:val="Compact"/>
                    <w:jc w:val="left"/>
                    <w:jc w:val="center"/>
                  </w:pPr>
                  <w:r>
                    <w:t xml:space="preserve">I(quality_of_play):factor(season_id)</w:t>
                  </w:r>
                </w:p>
              </w:tc>
              <w:tc>
                <w:tcPr/>
                <w:p>
                  <w:pPr>
                    <w:pStyle w:val="Compact"/>
                    <w:jc w:val="right"/>
                    <w:jc w:val="center"/>
                  </w:pPr>
                  <w:r>
                    <w:t xml:space="preserve">26</w:t>
                  </w:r>
                </w:p>
              </w:tc>
              <w:tc>
                <w:tcPr/>
                <w:p>
                  <w:pPr>
                    <w:pStyle w:val="Compact"/>
                    <w:jc w:val="right"/>
                    <w:jc w:val="center"/>
                  </w:pPr>
                  <w:r>
                    <w:t xml:space="preserve">6.950</w:t>
                  </w:r>
                </w:p>
              </w:tc>
              <w:tc>
                <w:tcPr/>
                <w:p>
                  <w:pPr>
                    <w:pStyle w:val="Compact"/>
                    <w:jc w:val="right"/>
                    <w:jc w:val="center"/>
                  </w:pPr>
                  <w:r>
                    <w:t xml:space="preserve">4984</w:t>
                  </w:r>
                </w:p>
              </w:tc>
              <w:tc>
                <w:tcPr/>
                <w:p>
                  <w:pPr>
                    <w:pStyle w:val="Compact"/>
                    <w:jc w:val="right"/>
                    <w:jc w:val="center"/>
                  </w:pPr>
                  <w:r>
                    <w:t xml:space="preserve">570.600</w:t>
                  </w:r>
                </w:p>
              </w:tc>
              <w:tc>
                <w:tcPr/>
                <w:p>
                  <w:pPr>
                    <w:pStyle w:val="Compact"/>
                    <w:jc w:val="right"/>
                    <w:jc w:val="center"/>
                  </w:pPr>
                  <w:r>
                    <w:t xml:space="preserve">1.000</w:t>
                  </w:r>
                </w:p>
              </w:tc>
            </w:tr>
            <w:tr>
              <w:tc>
                <w:tcPr/>
                <w:p>
                  <w:pPr>
                    <w:pStyle w:val="Compact"/>
                    <w:jc w:val="left"/>
                    <w:jc w:val="center"/>
                  </w:pPr>
                  <w:r>
                    <w:t xml:space="preserve">f2</w:t>
                  </w:r>
                </w:p>
              </w:tc>
              <w:tc>
                <w:tcPr/>
                <w:p>
                  <w:pPr>
                    <w:pStyle w:val="Compact"/>
                    <w:jc w:val="left"/>
                    <w:jc w:val="center"/>
                  </w:pPr>
                  <w:r>
                    <w:t xml:space="preserve">I(uncertain_outcome):factor(season_id)</w:t>
                  </w:r>
                </w:p>
              </w:tc>
              <w:tc>
                <w:tcPr/>
                <w:p>
                  <w:pPr>
                    <w:pStyle w:val="Compact"/>
                    <w:jc w:val="right"/>
                    <w:jc w:val="center"/>
                  </w:pPr>
                  <w:r>
                    <w:t xml:space="preserve">26</w:t>
                  </w:r>
                </w:p>
              </w:tc>
              <w:tc>
                <w:tcPr/>
                <w:p>
                  <w:pPr>
                    <w:pStyle w:val="Compact"/>
                    <w:jc w:val="right"/>
                    <w:jc w:val="center"/>
                  </w:pPr>
                  <w:r>
                    <w:t xml:space="preserve">4.633</w:t>
                  </w:r>
                </w:p>
              </w:tc>
              <w:tc>
                <w:tcPr/>
                <w:p>
                  <w:pPr>
                    <w:pStyle w:val="Compact"/>
                    <w:jc w:val="right"/>
                    <w:jc w:val="center"/>
                  </w:pPr>
                  <w:r>
                    <w:t xml:space="preserve">4984</w:t>
                  </w:r>
                </w:p>
              </w:tc>
              <w:tc>
                <w:tcPr/>
                <w:p>
                  <w:pPr>
                    <w:pStyle w:val="Compact"/>
                    <w:jc w:val="right"/>
                    <w:jc w:val="center"/>
                  </w:pPr>
                  <w:r>
                    <w:t xml:space="preserve">583.288</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170.961</w:t>
                  </w:r>
                </w:p>
              </w:tc>
              <w:tc>
                <w:tcPr/>
                <w:p>
                  <w:pPr>
                    <w:pStyle w:val="Compact"/>
                    <w:jc w:val="right"/>
                    <w:jc w:val="center"/>
                  </w:pPr>
                  <w:r>
                    <w:t xml:space="preserve">5035</w:t>
                  </w:r>
                </w:p>
              </w:tc>
              <w:tc>
                <w:tcPr/>
                <w:p>
                  <w:pPr>
                    <w:pStyle w:val="Compact"/>
                    <w:jc w:val="right"/>
                    <w:jc w:val="center"/>
                  </w:pPr>
                  <w:r>
                    <w:t xml:space="preserve">732.259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176.601</w:t>
                  </w:r>
                </w:p>
              </w:tc>
              <w:tc>
                <w:tcPr/>
                <w:p>
                  <w:pPr>
                    <w:pStyle w:val="Compact"/>
                    <w:jc w:val="right"/>
                    <w:jc w:val="center"/>
                  </w:pPr>
                  <w:r>
                    <w:t xml:space="preserve">5035</w:t>
                  </w:r>
                </w:p>
              </w:tc>
              <w:tc>
                <w:tcPr/>
                <w:p>
                  <w:pPr>
                    <w:pStyle w:val="Compact"/>
                    <w:jc w:val="right"/>
                    <w:jc w:val="center"/>
                  </w:pPr>
                  <w:r>
                    <w:t xml:space="preserve">740.043</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176.451</w:t>
                  </w:r>
                </w:p>
              </w:tc>
              <w:tc>
                <w:tcPr/>
                <w:p>
                  <w:pPr>
                    <w:pStyle w:val="Compact"/>
                    <w:jc w:val="right"/>
                    <w:jc w:val="center"/>
                  </w:pPr>
                  <w:r>
                    <w:t xml:space="preserve">5035</w:t>
                  </w:r>
                </w:p>
              </w:tc>
              <w:tc>
                <w:tcPr/>
                <w:p>
                  <w:pPr>
                    <w:pStyle w:val="Compact"/>
                    <w:jc w:val="right"/>
                    <w:jc w:val="center"/>
                  </w:pPr>
                  <w:r>
                    <w:t xml:space="preserve">737.461</w:t>
                  </w:r>
                </w:p>
              </w:tc>
              <w:tc>
                <w:tcPr/>
                <w:p>
                  <w:pPr>
                    <w:pStyle w:val="Compact"/>
                    <w:jc w:val="right"/>
                    <w:jc w:val="center"/>
                  </w:pPr>
                  <w:r>
                    <w:t xml:space="preserve">0.000</w:t>
                  </w:r>
                </w:p>
              </w:tc>
            </w:tr>
          </w:tbl>
          <w:bookmarkEnd w:id="14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50"/>
    <w:bookmarkStart w:id="200" w:name="sec-resid-attend"/>
    <w:p>
      <w:pPr>
        <w:pStyle w:val="Heading3"/>
      </w:pPr>
      <w:r>
        <w:t xml:space="preserve">6.2 Residual analysis of attendance models</w:t>
      </w:r>
    </w:p>
    <w:bookmarkStart w:id="199" w:name="cell-fig-resids"/>
    <w:tbl>
      <w:tblPr>
        <w:tblStyle w:val="Table"/>
        <w:tblW w:type="pct" w:w="5000"/>
        <w:tblLayout w:type="fixed"/>
        <w:tblLook w:firstRow="0" w:lastRow="0" w:firstColumn="0" w:lastColumn="0" w:noHBand="0" w:noVBand="0" w:val="0000"/>
      </w:tblPr>
      <w:tblGrid>
        <w:gridCol w:w="3960"/>
        <w:gridCol w:w="3960"/>
      </w:tblGrid>
      <w:tr>
        <w:tc>
          <w:tcPr/>
          <w:p>
            <w:pPr>
              <w:pStyle w:val="SourceCode"/>
              <w:jc w:val="left"/>
            </w:pPr>
            <w:r>
              <w:rPr>
                <w:rStyle w:val="VerbatimChar"/>
              </w:rPr>
              <w:t xml:space="preserve">$f1</w:t>
            </w:r>
            <w:r>
              <w:br/>
            </w:r>
            <w:r>
              <w:rPr>
                <w:rStyle w:val="VerbatimChar"/>
              </w:rPr>
              <w:t xml:space="preserve">NULL</w:t>
            </w:r>
            <w:r>
              <w:br/>
            </w:r>
            <w:r>
              <w:br/>
            </w:r>
            <w:r>
              <w:rPr>
                <w:rStyle w:val="VerbatimChar"/>
              </w:rPr>
              <w:t xml:space="preserve">$f2</w:t>
            </w:r>
            <w:r>
              <w:br/>
            </w:r>
            <w:r>
              <w:rPr>
                <w:rStyle w:val="VerbatimChar"/>
              </w:rPr>
              <w:t xml:space="preserve">NULL</w:t>
            </w:r>
            <w:r>
              <w:br/>
            </w:r>
            <w:r>
              <w:br/>
            </w:r>
            <w:r>
              <w:rPr>
                <w:rStyle w:val="VerbatimChar"/>
              </w:rPr>
              <w:t xml:space="preserve">$f3</w:t>
            </w:r>
            <w:r>
              <w:br/>
            </w:r>
            <w:r>
              <w:rPr>
                <w:rStyle w:val="VerbatimChar"/>
              </w:rPr>
              <w:t xml:space="preserve">NULL</w:t>
            </w:r>
          </w:p>
        </w:tc>
        <w:tc>
          <w:tcPr/>
          <w:tbl>
            <w:tblPr>
              <w:tblStyle w:val="Table"/>
              <w:tblW w:type="pct" w:w="5000"/>
              <w:tblLayout w:type="fixed"/>
              <w:tblLook w:firstRow="0" w:lastRow="0" w:firstColumn="0" w:lastColumn="0" w:noHBand="0" w:noVBand="0" w:val="0000"/>
            </w:tblPr>
            <w:tblGrid>
              <w:gridCol w:w="7920"/>
            </w:tblGrid>
            <w:tr>
              <w:tc>
                <w:tcPr/>
                <w:bookmarkStart w:id="154" w:name="fig-resids-1"/>
                <w:p>
                  <w:pPr>
                    <w:pStyle w:val="Compact"/>
                    <w:jc w:val="center"/>
                    <w:jc w:val="left"/>
                  </w:pPr>
                  <w:r>
                    <w:drawing>
                      <wp:inline>
                        <wp:extent cx="4620126" cy="3696101"/>
                        <wp:effectExtent b="0" l="0" r="0" t="0"/>
                        <wp:docPr descr="" title="" id="152" name="Picture"/>
                        <a:graphic>
                          <a:graphicData uri="http://schemas.openxmlformats.org/drawingml/2006/picture">
                            <pic:pic>
                              <pic:nvPicPr>
                                <pic:cNvPr descr="index_files/figure-docx/fig-resids-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13: Residual plots for models.</w:t>
                  </w:r>
                </w:p>
                <w:bookmarkEnd w:id="154"/>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58" w:name="fig-resids-2"/>
                <w:p>
                  <w:pPr>
                    <w:pStyle w:val="Compact"/>
                    <w:jc w:val="center"/>
                    <w:jc w:val="left"/>
                  </w:pPr>
                  <w:r>
                    <w:drawing>
                      <wp:inline>
                        <wp:extent cx="4620126" cy="3696101"/>
                        <wp:effectExtent b="0" l="0" r="0" t="0"/>
                        <wp:docPr descr="" title="" id="156" name="Picture"/>
                        <a:graphic>
                          <a:graphicData uri="http://schemas.openxmlformats.org/drawingml/2006/picture">
                            <pic:pic>
                              <pic:nvPicPr>
                                <pic:cNvPr descr="index_files/figure-docx/fig-resids-2.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14: Residual plots for models.</w:t>
                  </w:r>
                </w:p>
                <w:bookmarkEnd w:id="158"/>
              </w:tc>
            </w:tr>
          </w:tbl>
          <w:p/>
        </w:tc>
        <w:tc>
          <w:tcPr/>
          <w:tbl>
            <w:tblPr>
              <w:tblStyle w:val="Table"/>
              <w:tblW w:type="pct" w:w="5000"/>
              <w:tblLayout w:type="fixed"/>
              <w:tblLook w:firstRow="0" w:lastRow="0" w:firstColumn="0" w:lastColumn="0" w:noHBand="0" w:noVBand="0" w:val="0000"/>
            </w:tblPr>
            <w:tblGrid>
              <w:gridCol w:w="7920"/>
            </w:tblGrid>
            <w:tr>
              <w:tc>
                <w:tcPr/>
                <w:bookmarkStart w:id="162" w:name="fig-resids-3"/>
                <w:p>
                  <w:pPr>
                    <w:pStyle w:val="Compact"/>
                    <w:jc w:val="center"/>
                    <w:jc w:val="left"/>
                  </w:pPr>
                  <w:r>
                    <w:drawing>
                      <wp:inline>
                        <wp:extent cx="4620126" cy="3696101"/>
                        <wp:effectExtent b="0" l="0" r="0" t="0"/>
                        <wp:docPr descr="" title="" id="160" name="Picture"/>
                        <a:graphic>
                          <a:graphicData uri="http://schemas.openxmlformats.org/drawingml/2006/picture">
                            <pic:pic>
                              <pic:nvPicPr>
                                <pic:cNvPr descr="index_files/figure-docx/fig-resids-3.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15: Residual plots for models.</w:t>
                  </w:r>
                </w:p>
                <w:bookmarkEnd w:id="162"/>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66" w:name="fig-resids-4"/>
                <w:p>
                  <w:pPr>
                    <w:pStyle w:val="Compact"/>
                    <w:jc w:val="center"/>
                    <w:jc w:val="left"/>
                  </w:pPr>
                  <w:r>
                    <w:drawing>
                      <wp:inline>
                        <wp:extent cx="4620126" cy="3696101"/>
                        <wp:effectExtent b="0" l="0" r="0" t="0"/>
                        <wp:docPr descr="" title="" id="164" name="Picture"/>
                        <a:graphic>
                          <a:graphicData uri="http://schemas.openxmlformats.org/drawingml/2006/picture">
                            <pic:pic>
                              <pic:nvPicPr>
                                <pic:cNvPr descr="index_files/figure-docx/fig-resids-4.png" id="165" name="Picture"/>
                                <pic:cNvPicPr>
                                  <a:picLocks noChangeArrowheads="1" noChangeAspect="1"/>
                                </pic:cNvPicPr>
                              </pic:nvPicPr>
                              <pic:blipFill>
                                <a:blip r:embed="rId163"/>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16: Residual plots for models.</w:t>
                  </w:r>
                </w:p>
                <w:bookmarkEnd w:id="166"/>
              </w:tc>
            </w:tr>
          </w:tbl>
          <w:p/>
        </w:tc>
        <w:tc>
          <w:tcPr/>
          <w:tbl>
            <w:tblPr>
              <w:tblStyle w:val="Table"/>
              <w:tblW w:type="pct" w:w="5000"/>
              <w:tblLayout w:type="fixed"/>
              <w:tblLook w:firstRow="0" w:lastRow="0" w:firstColumn="0" w:lastColumn="0" w:noHBand="0" w:noVBand="0" w:val="0000"/>
            </w:tblPr>
            <w:tblGrid>
              <w:gridCol w:w="7920"/>
            </w:tblGrid>
            <w:tr>
              <w:tc>
                <w:tcPr/>
                <w:bookmarkStart w:id="170" w:name="fig-resids-5"/>
                <w:p>
                  <w:pPr>
                    <w:pStyle w:val="Compact"/>
                    <w:jc w:val="center"/>
                    <w:jc w:val="left"/>
                  </w:pPr>
                  <w:r>
                    <w:drawing>
                      <wp:inline>
                        <wp:extent cx="4620126" cy="3696101"/>
                        <wp:effectExtent b="0" l="0" r="0" t="0"/>
                        <wp:docPr descr="" title="" id="168" name="Picture"/>
                        <a:graphic>
                          <a:graphicData uri="http://schemas.openxmlformats.org/drawingml/2006/picture">
                            <pic:pic>
                              <pic:nvPicPr>
                                <pic:cNvPr descr="index_files/figure-docx/fig-resids-5.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17: Residual plots for models.</w:t>
                  </w:r>
                </w:p>
                <w:bookmarkEnd w:id="170"/>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74" w:name="fig-resids-6"/>
                <w:p>
                  <w:pPr>
                    <w:pStyle w:val="Compact"/>
                    <w:jc w:val="center"/>
                    <w:jc w:val="left"/>
                  </w:pPr>
                  <w:r>
                    <w:drawing>
                      <wp:inline>
                        <wp:extent cx="4620126" cy="3696101"/>
                        <wp:effectExtent b="0" l="0" r="0" t="0"/>
                        <wp:docPr descr="" title="" id="172" name="Picture"/>
                        <a:graphic>
                          <a:graphicData uri="http://schemas.openxmlformats.org/drawingml/2006/picture">
                            <pic:pic>
                              <pic:nvPicPr>
                                <pic:cNvPr descr="index_files/figure-docx/fig-resids-6.png" id="173" name="Picture"/>
                                <pic:cNvPicPr>
                                  <a:picLocks noChangeArrowheads="1" noChangeAspect="1"/>
                                </pic:cNvPicPr>
                              </pic:nvPicPr>
                              <pic:blipFill>
                                <a:blip r:embed="rId171"/>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18: Residual plots for models.</w:t>
                  </w:r>
                </w:p>
                <w:bookmarkEnd w:id="174"/>
              </w:tc>
            </w:tr>
          </w:tbl>
          <w:p/>
        </w:tc>
        <w:tc>
          <w:tcPr/>
          <w:tbl>
            <w:tblPr>
              <w:tblStyle w:val="Table"/>
              <w:tblW w:type="pct" w:w="5000"/>
              <w:tblLayout w:type="fixed"/>
              <w:tblLook w:firstRow="0" w:lastRow="0" w:firstColumn="0" w:lastColumn="0" w:noHBand="0" w:noVBand="0" w:val="0000"/>
            </w:tblPr>
            <w:tblGrid>
              <w:gridCol w:w="7920"/>
            </w:tblGrid>
            <w:tr>
              <w:tc>
                <w:tcPr/>
                <w:bookmarkStart w:id="178" w:name="fig-resids-7"/>
                <w:p>
                  <w:pPr>
                    <w:pStyle w:val="Compact"/>
                    <w:jc w:val="center"/>
                    <w:jc w:val="left"/>
                  </w:pPr>
                  <w:r>
                    <w:drawing>
                      <wp:inline>
                        <wp:extent cx="4620126" cy="3696101"/>
                        <wp:effectExtent b="0" l="0" r="0" t="0"/>
                        <wp:docPr descr="" title="" id="176" name="Picture"/>
                        <a:graphic>
                          <a:graphicData uri="http://schemas.openxmlformats.org/drawingml/2006/picture">
                            <pic:pic>
                              <pic:nvPicPr>
                                <pic:cNvPr descr="index_files/figure-docx/fig-resids-7.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19: Residual plots for models.</w:t>
                  </w:r>
                </w:p>
                <w:bookmarkEnd w:id="178"/>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82" w:name="fig-resids-8"/>
                <w:p>
                  <w:pPr>
                    <w:pStyle w:val="Compact"/>
                    <w:jc w:val="center"/>
                    <w:jc w:val="left"/>
                  </w:pPr>
                  <w:r>
                    <w:drawing>
                      <wp:inline>
                        <wp:extent cx="4620126" cy="3696101"/>
                        <wp:effectExtent b="0" l="0" r="0" t="0"/>
                        <wp:docPr descr="" title="" id="180" name="Picture"/>
                        <a:graphic>
                          <a:graphicData uri="http://schemas.openxmlformats.org/drawingml/2006/picture">
                            <pic:pic>
                              <pic:nvPicPr>
                                <pic:cNvPr descr="index_files/figure-docx/fig-resids-8.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20: Residual plots for models.</w:t>
                  </w:r>
                </w:p>
                <w:bookmarkEnd w:id="182"/>
              </w:tc>
            </w:tr>
          </w:tbl>
          <w:p/>
        </w:tc>
        <w:tc>
          <w:tcPr/>
          <w:tbl>
            <w:tblPr>
              <w:tblStyle w:val="Table"/>
              <w:tblW w:type="pct" w:w="5000"/>
              <w:tblLayout w:type="fixed"/>
              <w:tblLook w:firstRow="0" w:lastRow="0" w:firstColumn="0" w:lastColumn="0" w:noHBand="0" w:noVBand="0" w:val="0000"/>
            </w:tblPr>
            <w:tblGrid>
              <w:gridCol w:w="7920"/>
            </w:tblGrid>
            <w:tr>
              <w:tc>
                <w:tcPr/>
                <w:bookmarkStart w:id="186" w:name="fig-resids-9"/>
                <w:p>
                  <w:pPr>
                    <w:pStyle w:val="Compact"/>
                    <w:jc w:val="center"/>
                    <w:jc w:val="left"/>
                  </w:pPr>
                  <w:r>
                    <w:drawing>
                      <wp:inline>
                        <wp:extent cx="4620126" cy="3696101"/>
                        <wp:effectExtent b="0" l="0" r="0" t="0"/>
                        <wp:docPr descr="" title="" id="184" name="Picture"/>
                        <a:graphic>
                          <a:graphicData uri="http://schemas.openxmlformats.org/drawingml/2006/picture">
                            <pic:pic>
                              <pic:nvPicPr>
                                <pic:cNvPr descr="index_files/figure-docx/fig-resids-9.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 Residual plots for models.</w:t>
                  </w:r>
                </w:p>
                <w:bookmarkEnd w:id="186"/>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90" w:name="fig-resids-10"/>
                <w:p>
                  <w:pPr>
                    <w:pStyle w:val="Compact"/>
                    <w:jc w:val="center"/>
                    <w:jc w:val="left"/>
                  </w:pPr>
                  <w:r>
                    <w:drawing>
                      <wp:inline>
                        <wp:extent cx="4620126" cy="3696101"/>
                        <wp:effectExtent b="0" l="0" r="0" t="0"/>
                        <wp:docPr descr="" title="" id="188" name="Picture"/>
                        <a:graphic>
                          <a:graphicData uri="http://schemas.openxmlformats.org/drawingml/2006/picture">
                            <pic:pic>
                              <pic:nvPicPr>
                                <pic:cNvPr descr="index_files/figure-docx/fig-resids-10.png" id="189" name="Picture"/>
                                <pic:cNvPicPr>
                                  <a:picLocks noChangeArrowheads="1" noChangeAspect="1"/>
                                </pic:cNvPicPr>
                              </pic:nvPicPr>
                              <pic:blipFill>
                                <a:blip r:embed="rId187"/>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22: Residual plots for models.</w:t>
                  </w:r>
                </w:p>
                <w:bookmarkEnd w:id="190"/>
              </w:tc>
            </w:tr>
          </w:tbl>
          <w:p/>
        </w:tc>
        <w:tc>
          <w:tcPr/>
          <w:tbl>
            <w:tblPr>
              <w:tblStyle w:val="Table"/>
              <w:tblW w:type="pct" w:w="5000"/>
              <w:tblLayout w:type="fixed"/>
              <w:tblLook w:firstRow="0" w:lastRow="0" w:firstColumn="0" w:lastColumn="0" w:noHBand="0" w:noVBand="0" w:val="0000"/>
            </w:tblPr>
            <w:tblGrid>
              <w:gridCol w:w="7920"/>
            </w:tblGrid>
            <w:tr>
              <w:tc>
                <w:tcPr/>
                <w:bookmarkStart w:id="194" w:name="fig-resids-11"/>
                <w:p>
                  <w:pPr>
                    <w:pStyle w:val="Compact"/>
                    <w:jc w:val="center"/>
                    <w:jc w:val="left"/>
                  </w:pPr>
                  <w:r>
                    <w:drawing>
                      <wp:inline>
                        <wp:extent cx="4620126" cy="3696101"/>
                        <wp:effectExtent b="0" l="0" r="0" t="0"/>
                        <wp:docPr descr="" title="" id="192" name="Picture"/>
                        <a:graphic>
                          <a:graphicData uri="http://schemas.openxmlformats.org/drawingml/2006/picture">
                            <pic:pic>
                              <pic:nvPicPr>
                                <pic:cNvPr descr="index_files/figure-docx/fig-resids-1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23: Residual plots for models.</w:t>
                  </w:r>
                </w:p>
                <w:bookmarkEnd w:id="194"/>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98" w:name="fig-resids-12"/>
                <w:p>
                  <w:pPr>
                    <w:pStyle w:val="Compact"/>
                    <w:jc w:val="center"/>
                    <w:jc w:val="left"/>
                  </w:pPr>
                  <w:r>
                    <w:drawing>
                      <wp:inline>
                        <wp:extent cx="4620126" cy="3696101"/>
                        <wp:effectExtent b="0" l="0" r="0" t="0"/>
                        <wp:docPr descr="" title="" id="196" name="Picture"/>
                        <a:graphic>
                          <a:graphicData uri="http://schemas.openxmlformats.org/drawingml/2006/picture">
                            <pic:pic>
                              <pic:nvPicPr>
                                <pic:cNvPr descr="index_files/figure-docx/fig-resids-12.png" id="197" name="Picture"/>
                                <pic:cNvPicPr>
                                  <a:picLocks noChangeArrowheads="1" noChangeAspect="1"/>
                                </pic:cNvPicPr>
                              </pic:nvPicPr>
                              <pic:blipFill>
                                <a:blip r:embed="rId195"/>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24: Residual plots for models.</w:t>
                  </w:r>
                </w:p>
                <w:bookmarkEnd w:id="198"/>
              </w:tc>
            </w:tr>
          </w:tbl>
          <w:p/>
        </w:tc>
        <w:tc>
          <w:tcPr/>
          <w:p>
            <w:pPr>
              <w:jc w:val="left"/>
            </w:pPr>
            <w:r>
              <w:rPr>
                <w:vertAlign w:val="subscript"/>
              </w:rPr>
              <w:t xml:space="preserve">Source:</w:t>
            </w:r>
            <w:r>
              <w:rPr>
                <w:vertAlign w:val="subscript"/>
              </w:rPr>
              <w:t xml:space="preserve"> </w:t>
            </w:r>
            <w:hyperlink r:id="rId9">
              <w:r>
                <w:rPr>
                  <w:rStyle w:val="Hyperlink"/>
                  <w:vertAlign w:val="subscript"/>
                </w:rPr>
                <w:t xml:space="preserve">Article Notebook</w:t>
              </w:r>
            </w:hyperlink>
          </w:p>
        </w:tc>
      </w:tr>
    </w:tbl>
    <w:bookmarkEnd w:id="199"/>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62">
    <w:p>
      <w:pPr>
        <w:pStyle w:val="FootnoteText"/>
      </w:pPr>
      <w:r>
        <w:rPr>
          <w:rStyle w:val="FootnoteReference"/>
        </w:rPr>
        <w:footnoteRef/>
      </w:r>
      <w:r>
        <w:t xml:space="preserve"> </w:t>
      </w:r>
      <w:r>
        <w:t xml:space="preserve">The data for the population and the median income of cities comes from the American Community Survey, access to which was provided in R by the</w:t>
      </w:r>
      <w:r>
        <w:t xml:space="preserve"> </w:t>
      </w:r>
      <w:r>
        <w:rPr>
          <w:b/>
          <w:bCs/>
        </w:rPr>
        <w:t xml:space="preserve">tidycensus</w:t>
      </w:r>
      <w:r>
        <w:t xml:space="preserve"> </w:t>
      </w:r>
      <w:r>
        <w:t xml:space="preserve">package. Because the population and median income statistics were available at irregular time periods (due to the COVID-19 pandemic and other factors), we chose to use the median of the population and median income across all of the available years of data as a constant value. While this does mean that the population growth in cities like Phoenix or Las Vegas is ignored, we doubt this will meaningfully affect our results, especially since the team fixed effect should capture some of that variability.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30" Target="media/rId30.png" /><Relationship Type="http://schemas.openxmlformats.org/officeDocument/2006/relationships/image" Id="rId15" Target="media/rId15.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151" Target="media/rId151.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195" Target="media/rId195.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70" Target="media/rId70.png" /><Relationship Type="http://schemas.openxmlformats.org/officeDocument/2006/relationships/image" Id="rId83" Target="media/rId83.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hyperlink" Id="rId141" Target="https://accessecon.com/pubs/eb/2003/volume1/eb-03a10003a.pdf" TargetMode="External" /><Relationship Type="http://schemas.openxmlformats.org/officeDocument/2006/relationships/hyperlink" Id="rId9" Target="https://beanumber.github.io/wnbaattendance/index.qmd.html" TargetMode="External" /><Relationship Type="http://schemas.openxmlformats.org/officeDocument/2006/relationships/hyperlink" Id="rId132" Target="https://doi.org/10.1002/(SICI)1099-1255(199611)11:6&lt;619::AID-JAE418&gt;3.0.CO;2-1" TargetMode="External" /><Relationship Type="http://schemas.openxmlformats.org/officeDocument/2006/relationships/hyperlink" Id="rId119" Target="https://doi.org/10.1002/mde.1308" TargetMode="External" /><Relationship Type="http://schemas.openxmlformats.org/officeDocument/2006/relationships/hyperlink" Id="rId127" Target="https://doi.org/10.1016/0304-4076(85)90158-7" TargetMode="External" /><Relationship Type="http://schemas.openxmlformats.org/officeDocument/2006/relationships/hyperlink" Id="rId137" Target="https://doi.org/10.1080/00031305.2016.1154108" TargetMode="External" /><Relationship Type="http://schemas.openxmlformats.org/officeDocument/2006/relationships/hyperlink" Id="rId139" Target="https://doi.org/10.1080/00031305.2019.1583913" TargetMode="External" /><Relationship Type="http://schemas.openxmlformats.org/officeDocument/2006/relationships/hyperlink" Id="rId125" Target="https://doi.org/10.1080/14660970.2022.2037218" TargetMode="External" /><Relationship Type="http://schemas.openxmlformats.org/officeDocument/2006/relationships/hyperlink" Id="rId117" Target="https://doi.org/10.1080/17430437.2017.1346620" TargetMode="External" /><Relationship Type="http://schemas.openxmlformats.org/officeDocument/2006/relationships/hyperlink" Id="rId102" Target="https://doi.org/10.1111/ecin.12061" TargetMode="External" /><Relationship Type="http://schemas.openxmlformats.org/officeDocument/2006/relationships/hyperlink" Id="rId110" Target="https://doi.org/10.1123/jsm.16.4.311" TargetMode="External" /><Relationship Type="http://schemas.openxmlformats.org/officeDocument/2006/relationships/hyperlink" Id="rId108" Target="https://doi.org/10.1123/jsm.2019-0404" TargetMode="External" /><Relationship Type="http://schemas.openxmlformats.org/officeDocument/2006/relationships/hyperlink" Id="rId106" Target="https://doi.org/10.1177/1527002508327387" TargetMode="External" /><Relationship Type="http://schemas.openxmlformats.org/officeDocument/2006/relationships/hyperlink" Id="rId123" Target="https://doi.org/10.1177/1527002509337212" TargetMode="External" /><Relationship Type="http://schemas.openxmlformats.org/officeDocument/2006/relationships/hyperlink" Id="rId104" Target="https://doi.org/10.1177/155862350800300105" TargetMode="External" /><Relationship Type="http://schemas.openxmlformats.org/officeDocument/2006/relationships/hyperlink" Id="rId115" Target="https://doi.org/10.32614/cran.package.wehoop" TargetMode="External" /><Relationship Type="http://schemas.openxmlformats.org/officeDocument/2006/relationships/hyperlink" Id="rId134" Target="https://doi.org/10.3390/ijfs7010012" TargetMode="External" /><Relationship Type="http://schemas.openxmlformats.org/officeDocument/2006/relationships/hyperlink" Id="rId121" Target="https://doi.org/10.53728/2765-6500.1616" TargetMode="External" /><Relationship Type="http://schemas.openxmlformats.org/officeDocument/2006/relationships/hyperlink" Id="rId113" Target="https://polecom.org/index.php/polecom/article/view/119" TargetMode="External" /><Relationship Type="http://schemas.openxmlformats.org/officeDocument/2006/relationships/hyperlink" Id="rId100" Target="https://www.acrossthetimeline.com/wnba/attendance.html" TargetMode="External" /><Relationship Type="http://schemas.openxmlformats.org/officeDocument/2006/relationships/hyperlink" Id="rId129" Target="https://www.jstor.org/stable/1924766" TargetMode="External" /><Relationship Type="http://schemas.openxmlformats.org/officeDocument/2006/relationships/hyperlink" Id="rId143"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41" Target="https://accessecon.com/pubs/eb/2003/volume1/eb-03a10003a.pdf" TargetMode="External" /><Relationship Type="http://schemas.openxmlformats.org/officeDocument/2006/relationships/hyperlink" Id="rId9" Target="https://beanumber.github.io/wnbaattendance/index.qmd.html" TargetMode="External" /><Relationship Type="http://schemas.openxmlformats.org/officeDocument/2006/relationships/hyperlink" Id="rId132" Target="https://doi.org/10.1002/(SICI)1099-1255(199611)11:6&lt;619::AID-JAE418&gt;3.0.CO;2-1" TargetMode="External" /><Relationship Type="http://schemas.openxmlformats.org/officeDocument/2006/relationships/hyperlink" Id="rId119" Target="https://doi.org/10.1002/mde.1308" TargetMode="External" /><Relationship Type="http://schemas.openxmlformats.org/officeDocument/2006/relationships/hyperlink" Id="rId127" Target="https://doi.org/10.1016/0304-4076(85)90158-7" TargetMode="External" /><Relationship Type="http://schemas.openxmlformats.org/officeDocument/2006/relationships/hyperlink" Id="rId137" Target="https://doi.org/10.1080/00031305.2016.1154108" TargetMode="External" /><Relationship Type="http://schemas.openxmlformats.org/officeDocument/2006/relationships/hyperlink" Id="rId139" Target="https://doi.org/10.1080/00031305.2019.1583913" TargetMode="External" /><Relationship Type="http://schemas.openxmlformats.org/officeDocument/2006/relationships/hyperlink" Id="rId125" Target="https://doi.org/10.1080/14660970.2022.2037218" TargetMode="External" /><Relationship Type="http://schemas.openxmlformats.org/officeDocument/2006/relationships/hyperlink" Id="rId117" Target="https://doi.org/10.1080/17430437.2017.1346620" TargetMode="External" /><Relationship Type="http://schemas.openxmlformats.org/officeDocument/2006/relationships/hyperlink" Id="rId102" Target="https://doi.org/10.1111/ecin.12061" TargetMode="External" /><Relationship Type="http://schemas.openxmlformats.org/officeDocument/2006/relationships/hyperlink" Id="rId110" Target="https://doi.org/10.1123/jsm.16.4.311" TargetMode="External" /><Relationship Type="http://schemas.openxmlformats.org/officeDocument/2006/relationships/hyperlink" Id="rId108" Target="https://doi.org/10.1123/jsm.2019-0404" TargetMode="External" /><Relationship Type="http://schemas.openxmlformats.org/officeDocument/2006/relationships/hyperlink" Id="rId106" Target="https://doi.org/10.1177/1527002508327387" TargetMode="External" /><Relationship Type="http://schemas.openxmlformats.org/officeDocument/2006/relationships/hyperlink" Id="rId123" Target="https://doi.org/10.1177/1527002509337212" TargetMode="External" /><Relationship Type="http://schemas.openxmlformats.org/officeDocument/2006/relationships/hyperlink" Id="rId104" Target="https://doi.org/10.1177/155862350800300105" TargetMode="External" /><Relationship Type="http://schemas.openxmlformats.org/officeDocument/2006/relationships/hyperlink" Id="rId115" Target="https://doi.org/10.32614/cran.package.wehoop" TargetMode="External" /><Relationship Type="http://schemas.openxmlformats.org/officeDocument/2006/relationships/hyperlink" Id="rId134" Target="https://doi.org/10.3390/ijfs7010012" TargetMode="External" /><Relationship Type="http://schemas.openxmlformats.org/officeDocument/2006/relationships/hyperlink" Id="rId121" Target="https://doi.org/10.53728/2765-6500.1616" TargetMode="External" /><Relationship Type="http://schemas.openxmlformats.org/officeDocument/2006/relationships/hyperlink" Id="rId113" Target="https://polecom.org/index.php/polecom/article/view/119" TargetMode="External" /><Relationship Type="http://schemas.openxmlformats.org/officeDocument/2006/relationships/hyperlink" Id="rId100" Target="https://www.acrossthetimeline.com/wnba/attendance.html" TargetMode="External" /><Relationship Type="http://schemas.openxmlformats.org/officeDocument/2006/relationships/hyperlink" Id="rId129" Target="https://www.jstor.org/stable/1924766" TargetMode="External" /><Relationship Type="http://schemas.openxmlformats.org/officeDocument/2006/relationships/hyperlink" Id="rId143"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Winning and Attendance in the WNBA</dc:title>
  <dc:creator>Gabriela Eastwood; Benjamin S. Baumer; Andrew Zimbalist</dc:creator>
  <cp:keywords>WNBA, Game Attendance</cp:keywords>
  <dcterms:created xsi:type="dcterms:W3CDTF">2026-06-16T19:02:30Z</dcterms:created>
  <dcterms:modified xsi:type="dcterms:W3CDTF">2026-06-16T19:02:30Z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2026-06-16</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