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7.png" ContentType="image/png"/>
  <Override PartName="/word/media/rId37.png" ContentType="image/png"/>
  <Override PartName="/word/media/rId23.png" ContentType="image/png"/>
  <Override PartName="/word/media/rId144.png" ContentType="image/png"/>
  <Override PartName="/word/media/rId180.png" ContentType="image/png"/>
  <Override PartName="/word/media/rId184.png" ContentType="image/png"/>
  <Override PartName="/word/media/rId188.png" ContentType="image/png"/>
  <Override PartName="/word/media/rId148.png" ContentType="image/png"/>
  <Override PartName="/word/media/rId152.png" ContentType="image/png"/>
  <Override PartName="/word/media/rId156.png" ContentType="image/png"/>
  <Override PartName="/word/media/rId160.png" ContentType="image/png"/>
  <Override PartName="/word/media/rId164.png" ContentType="image/png"/>
  <Override PartName="/word/media/rId168.png" ContentType="image/png"/>
  <Override PartName="/word/media/rId172.png" ContentType="image/png"/>
  <Override PartName="/word/media/rId176.png" ContentType="image/png"/>
  <Override PartName="/word/media/rId53.png" ContentType="image/png"/>
  <Override PartName="/word/media/rId67.png" ContentType="image/png"/>
  <Override PartName="/word/media/rId5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2026-06-02</w:t>
      </w:r>
    </w:p>
    <w:p>
      <w:pPr>
        <w:pStyle w:val="AbstractTitle"/>
      </w:pPr>
      <w:r>
        <w:t xml:space="preserve">Abstract</w:t>
      </w:r>
    </w:p>
    <w:p>
      <w:pPr>
        <w:pStyle w:val="Abstract"/>
      </w:pPr>
      <w:r>
        <w:t xml:space="preserve">A central question in the intersection between sports economics and sports analytics is how to quantify the effects of what happens on the court or field on a team’s revenue. In general, the literature expects that stronger teams will see higher live game attendance, but previous research has not found a statistically significant relationship between winning percentage and attendance in the WNBA</w:t>
      </w:r>
      <w:r>
        <w:t xml:space="preserve"> </w:t>
      </w:r>
      <w:r>
        <w:t xml:space="preserve">(Agha and Berri 2023)</w:t>
      </w:r>
      <w:r>
        <w:t xml:space="preserve">. Our study improves upon theirs by using a rolling win count from the past 44 games played rather than a seasonal winning-percentage to predict per game attendance. This avoids look-ahead bias, as fans cannot be expected to know a team’s future performance when deciding to attend a game. Using game-level data for all WNBA regular-season games from 2018–2024, we estimated an ordinary least squares model of per-game attendance with team and season fixed effects and a dummy variable for whether Caitlin Clark played. We then translated player win shares into expected attendance impacts by mapping individual contributions to team wins onto the estimated attendance–winning relationship. We chose to focus on attendance as a proxy for revenue following the research framework from Scully (1974), due to concerns about revenue data availability. We used attendance data from the “Across the Timeline: WNBA League Attendance Dashboard”, which records game-level attendance data for all WNBA games. We find a significant relationship between rolling win count and game attendance, with game attendance expected to increase by 112 people for each additional win in the 44 game window. This means that a player like Allisha Gray, for example, who we estimate contributed 10 wins to the Atlanta Dream in 2024, boosted attendance by approximately 1,100 attendees per game. These results highlight the importance of short-run performance in shaping fan demand and provide a framework for linking individual player performance to team-level revenue outcomes in women’s professional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sec-intro"/>
    <w:p>
      <w:pPr>
        <w:pStyle w:val="Heading2"/>
      </w:pPr>
      <w:r>
        <w:t xml:space="preserve">1 Introduction</w:t>
      </w:r>
    </w:p>
    <w:bookmarkStart w:id="10" w:name="gabriela-introduction"/>
    <w:p>
      <w:pPr>
        <w:pStyle w:val="Heading3"/>
      </w:pPr>
      <w:r>
        <w:t xml:space="preserve">1.1 Gabriela introduction</w:t>
      </w:r>
    </w:p>
    <w:p>
      <w:pPr>
        <w:pStyle w:val="FirstParagraph"/>
      </w:pPr>
      <w:r>
        <w:t xml:space="preserve">Research on pay and performance in sports economics often centers on how teams value player contributions and how those valuations translate into compensation. A central challenge in the field is determining the appropriate metrics for quantifying an individual player’s impact on team success and linking that impact to team revenues and attendance. Different modeling choices can lead to significantly different conclusions about whether players are compensated fairly for their contributions to the game. As a relatively young league with rapid growth in viewership</w:t>
      </w:r>
      <w:r>
        <w:t xml:space="preserve"> </w:t>
      </w:r>
      <w:r>
        <w:t xml:space="preserve">(WNBA 2024)</w:t>
      </w:r>
      <w:r>
        <w:t xml:space="preserve"> </w:t>
      </w:r>
      <w:r>
        <w:t xml:space="preserve">but limited publicly available financial data, accurately valuing player contributions in the WNBA is difficult. We have found attendance data to be the most reliably available indicator of revenue, making the link between on-court performance and fan demand especially important for understanding the valuation of players.</w:t>
      </w:r>
    </w:p>
    <w:p>
      <w:pPr>
        <w:pStyle w:val="BodyText"/>
      </w:pPr>
      <w:r>
        <w:t xml:space="preserve">The underlying assumption of marginal revenue models is simple: fans are more interested in watching good teams. In their 2014 paper, Coates et al. use a consumer-choice model to explain what impacts a fan’s choice to attend a live MLB game. While they look specifically at baseball, it is reasonable to assume that similar considerations apply to other sports as well. Coates et al. explain the traditional model for explaining fan behavior: the uncertainty of outcome hypothesis. This is idea that fans are more likely to attend games when the outcome is uncertain, making the game more exciting. But more recent behavioral economics suggests that people evaluate gains and losses relative to a reference point and tend to dislike losses more than they like equivalent gains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w:t>
      </w:r>
    </w:p>
    <w:p>
      <w:pPr>
        <w:pStyle w:val="BodyText"/>
      </w:pPr>
      <w:r>
        <w:t xml:space="preserve">Building on the idea that wins translate directly into fan interest and team revenue, Scully’s 1974 study on pay and performance in Major League Baseball is one of the first empirical studies on the labor market in a professional sports environment</w:t>
      </w:r>
      <w:r>
        <w:t xml:space="preserve"> </w:t>
      </w:r>
      <w:r>
        <w:t xml:space="preserve">(Holmes et al. 2018)</w:t>
      </w:r>
      <w:r>
        <w:t xml:space="preserve">. Scully investigates whether MLB players were undervalued relative to their estimated marginal revenue products</w:t>
      </w:r>
      <w:r>
        <w:t xml:space="preserve"> </w:t>
      </w:r>
      <w:r>
        <w:t xml:space="preserve">(Scully 1974)</w:t>
      </w:r>
      <w:r>
        <w:t xml:space="preserve">. He estimates players’ marginal revenue products by regressing a team’s revenue on their winning percentage and computing individual players’ contributions to their teams winning percentage. This allows him to evaluate how much each player contributed to the team’s total revenue in a season, estimating their marginal revenue product and comparing it to their salary. Scully’s study came two years after the first players strike in baseball history, and aimed to evaluate whether players’ claims that they were being systematically undervalued were accurate. Scully finds that the average MLB player at the time was being paid 20% of his marginal revenue contribution, and that exploitation was higher for early career players</w:t>
      </w:r>
      <w:r>
        <w:t xml:space="preserve"> </w:t>
      </w:r>
      <w:r>
        <w:t xml:space="preserve">(Scully 1974)</w:t>
      </w:r>
      <w:r>
        <w:t xml:space="preserve">. He also finds that certain exceptional players were being overvalued compared to their estimated marginal revenue contributions, and hypothesizes this reveals that players can generate revenue for their teams outside of their effect on game outcomes (i.e. the Caitlyn Clark effect).</w:t>
      </w:r>
    </w:p>
    <w:p>
      <w:pPr>
        <w:pStyle w:val="BodyText"/>
      </w:pPr>
      <w:r>
        <w:t xml:space="preserve">Subsequent scholars have raised important critiques of Scully’s method. Krautmann criticizes Scully’s method by showing that the results are highly sensitive to how a player’s contribution to team performance is measured</w:t>
      </w:r>
      <w:r>
        <w:t xml:space="preserve"> </w:t>
      </w:r>
      <w:r>
        <w:t xml:space="preserve">(Krautmann 1999)</w:t>
      </w:r>
      <w:r>
        <w:t xml:space="preserve">. Because there are many possible ways to quantify an individual’s on-field contribution, his critique highlights the need—especially for our research—to use a rigorous and defensible metric for estimating the number of wins each player contributes. In his 1991 paper on salaries and performance in MLB, Zimbalist notes that Scully’s model doesn’t account for how poor play can contribute to a team’s losses and thus may inflate the marginal revenue product of each player</w:t>
      </w:r>
      <w:r>
        <w:t xml:space="preserve"> </w:t>
      </w:r>
      <w:r>
        <w:t xml:space="preserve">(Zimbalist 1992)</w:t>
      </w:r>
      <w:r>
        <w:t xml:space="preserve">.</w:t>
      </w:r>
    </w:p>
    <w:p>
      <w:pPr>
        <w:pStyle w:val="BodyText"/>
      </w:pPr>
      <w:r>
        <w:t xml:space="preserve">Finally, situating these revenue models within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The various professional sports leagues in the United States have all instituted financial restrictions on teams in their leagues in the interest of competitive balance, such as across-league revenue sharing, salary caps, and reverse-of-finish drafts. The fundamental premise behind all of these attempts to protect competitive balance is that by normalizing the amounts that teams are spending on their rosters you can weaken the ability of richer teams to ‘buy wins’ and level the playing field enough to keep things interesting. This ought to increase the revenue of the whole league by encouraging attendance and engagement. In their study of competitive balance in NCAA basketball, Perline et al. found that the women’s game was significantly less balanced than the men’s game, looking at the standard deviation and the range of winning percentages for teams in the women’s division I conference</w:t>
      </w:r>
      <w:r>
        <w:t xml:space="preserve"> </w:t>
      </w:r>
      <w:r>
        <w:t xml:space="preserve">(Perline et al. 2018)</w:t>
      </w:r>
      <w:r>
        <w:t xml:space="preserve">. They hypothesize that the difference in the competitive balance of the men’s and women’s games could be one cause of lower revenue generation and attendance in the women’s game. The importance of class balance to the health of a league is interesting, but ultimately outside the scope of our research which seeks to quantify how players’ performance contributes to their team’s revenue in the WNBA.</w:t>
      </w:r>
    </w:p>
    <w:p>
      <w:pPr>
        <w:pStyle w:val="BodyText"/>
      </w:pPr>
      <w:r>
        <w:t xml:space="preserve">In their 2023 paper comparing the in person attendance demand of the WNBA and the NBA, Agha and Berri attempt to establish whether different forces shape demand for attendance in the WNBA and the NBA. They model attendance in both leagues as a function of the population of the team’s home location, the winning percentage of the team, the per capita income of the area, championships won and player quality. Interestingly, they don’t generate statistically significant results for the effect of winning percentage on game attendance in the WNBA, while it is significant in the NBA</w:t>
      </w:r>
      <w:r>
        <w:t xml:space="preserve"> </w:t>
      </w:r>
      <w:r>
        <w:t xml:space="preserve">(Agha and Berri 2023)</w:t>
      </w:r>
      <w:r>
        <w:t xml:space="preserve">. They hypothesize that this may be due to decreased media coverage of the WNBA, and the fact that the WNBA is a much younger league, but they don’t explain why these factors would decrease the effect of winning percentage on game attendance. Although Agha and Berri did not find statistically significant effects, our method differs from theirs in two important ways. Firstly, we are regressing onto raw per game attendance counts rather than attendance as a percentage of arena capacity. Percentage of arena capacity does not directly capture attendance or game demand as arena sizes vary across teams, so raw attendance counts more effectively reflect fan demand. Secondly, we introduce a rolling win count over a 44 game window rather than using seasonal winning percentage to predict per game attendance. This avoids look-ahead bias, as fan behavior can not be reasonably expected to reflect future unseen team success. Replicating their analysis with a simpler model focused solely on win count and fixed team and seasonal effects may yield clearer evidence on how team performance influences attendance. We aim to build upon their work by combining their model with Scully’s and first regressing game attendance onto win count, and then using player statistics to estimate individual player contributions to winning percentage. This would allow us to evaluate how a player’s on-court performance contributes to game attendance, and therefore revenue. In Scully’s original 1974 model, attendance multiplied by ticket price serves as an estimate for team revenue. While our analysis cannot capture broadcast or merchandise income, game attendance remains a meaningful indicator of team visibility and revenue generation, and it is by far the most complete and publicly available dataset. Focusing on attendance as the response variable is therefore both practical and justifiable.</w:t>
      </w:r>
    </w:p>
    <w:bookmarkEnd w:id="10"/>
    <w:bookmarkStart w:id="12" w:name="andrew-introduction"/>
    <w:p>
      <w:pPr>
        <w:pStyle w:val="Heading3"/>
      </w:pPr>
      <w:r>
        <w:t xml:space="preserve">1.2 Andrew introduction</w:t>
      </w:r>
    </w:p>
    <w:p>
      <w:pPr>
        <w:pStyle w:val="FirstParagraph"/>
      </w:pPr>
      <w:r>
        <w:t xml:space="preserve">In the years prior to the 2020 WNBA collective bargaining agreement (CBA), NBA Commisioner Adam Silver claimed that the women’s league was unpopular and unprofitable</w:t>
      </w:r>
      <w:r>
        <w:t xml:space="preserve"> </w:t>
      </w:r>
      <w:r>
        <w:t xml:space="preserve">(Garcia 2020)</w:t>
      </w:r>
      <w:r>
        <w:t xml:space="preserve">.</w:t>
      </w:r>
      <w:r>
        <w:t xml:space="preserve"> </w:t>
      </w:r>
      <w:r>
        <w:t xml:space="preserve">The NBA and WNBA leadership made similar negative claims about the women’s league during the 2025-26 negotiations for a new CBA.</w:t>
      </w:r>
      <w:r>
        <w:t xml:space="preserve"> </w:t>
      </w:r>
      <w:r>
        <w:t xml:space="preserve">Motivated by the irony of the NBA Commissioner speaking derogatorily of his own league,</w:t>
      </w:r>
      <w:r>
        <w:t xml:space="preserve"> </w:t>
      </w:r>
      <w:r>
        <w:t xml:space="preserve">Agha and Berri (2023)</w:t>
      </w:r>
      <w:r>
        <w:t xml:space="preserve"> </w:t>
      </w:r>
      <w:r>
        <w:t xml:space="preserve">studied game attendance and its determinants during the early years of the NBA and the early years of the WNBA.</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In these studies, a debate emerged about the direction of causality: did strong team performance engender higher attendance or vice versa</w:t>
      </w:r>
      <w:r>
        <w:t xml:space="preserve"> </w:t>
      </w:r>
      <w:r>
        <w:t xml:space="preserve">(Baade and Tiehen 1990; Clapp and Hakes 2005; Davis 2008, 2009; Horowitz 2007; Lemke et al. 2010)</w:t>
      </w:r>
      <w:r>
        <w:t xml:space="preserve">?</w:t>
      </w:r>
      <w:r>
        <w:t xml:space="preserve"> </w:t>
      </w:r>
      <w:r>
        <w:t xml:space="preserve">While no Granger causality tests were run, the predominant view has been causality running from team performance to attendance</w:t>
      </w:r>
      <w:r>
        <w:t xml:space="preserve"> </w:t>
      </w:r>
      <w:r>
        <w:t xml:space="preserve">(Hall et al. 2002)</w:t>
      </w:r>
      <w:r>
        <w:t xml:space="preserve">.</w:t>
      </w:r>
    </w:p>
    <w:p>
      <w:pPr>
        <w:pStyle w:val="BodyText"/>
      </w:pP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In their study of attendance determinants in the WNBA,</w:t>
      </w:r>
      <w:r>
        <w:t xml:space="preserve"> </w:t>
      </w:r>
      <w:r>
        <w:t xml:space="preserve">Agha and Berri (2023)</w:t>
      </w:r>
      <w:r>
        <w:t xml:space="preserve"> </w:t>
      </w:r>
      <w:r>
        <w:t xml:space="preserve">argue that a major reason why attendance is considerably lower at WNBA games than NBA games is that the women’s league is still in its early years.</w:t>
      </w:r>
      <w:r>
        <w:t xml:space="preserve"> </w:t>
      </w:r>
      <w:r>
        <w:t xml:space="preserve">The WNBA began play in 1997, while the NBA began in 1946.</w:t>
      </w:r>
      <w:r>
        <w:t xml:space="preserve"> </w:t>
      </w:r>
      <w:r>
        <w:t xml:space="preserve">Agha and Berri compare attendance data of the tenth season of the WNBA (2006) and that of the NBA (1955-56)</w:t>
      </w:r>
      <w:r>
        <w:t xml:space="preserve"> </w:t>
      </w:r>
      <w:r>
        <w:t xml:space="preserve">(Agha and Berri 2023, 36.)</w:t>
      </w:r>
      <w:r>
        <w:t xml:space="preserve"> </w:t>
      </w:r>
      <w:r>
        <w:t xml:space="preserve">It is notable that in their respective tenth years, the WNBA average attendance per home game was more than 2,000 that of the NBA.</w:t>
      </w:r>
    </w:p>
    <w:p>
      <w:pPr>
        <w:pStyle w:val="BodyText"/>
      </w:pPr>
      <w:r>
        <w:t xml:space="preserve">Of course, all of this differential cannot be attributed to the age of the league.</w:t>
      </w:r>
      <w:r>
        <w:t xml:space="preserve"> </w:t>
      </w:r>
      <w:r>
        <w:t xml:space="preserve">Additional important factors include: the WNBA plays during the summer months in order to promote arena use outside of the NBA season; there is less money spent on promotion, reduced media coverage, historical prejudice, arena amenities and age, and ticket prices, among others.</w:t>
      </w:r>
      <w:r>
        <w:t xml:space="preserve"> </w:t>
      </w:r>
      <w:r>
        <w:t xml:space="preserve">To be sure, the sports management literature also includes several studies that find a major motivation behind fandom for women’s sports leagues to be an area’s overall support for feminist issues</w:t>
      </w:r>
      <w:r>
        <w:t xml:space="preserve"> </w:t>
      </w:r>
      <w:r>
        <w:t xml:space="preserve">(Delia 2020; Guest and Luijten 2018; Leslie-Walker and Mulvenna 2022)</w:t>
      </w:r>
      <w:r>
        <w:t xml:space="preserve">.</w:t>
      </w:r>
    </w:p>
    <w:p>
      <w:pPr>
        <w:pStyle w:val="BodyText"/>
      </w:pPr>
      <w:r>
        <w:t xml:space="preserve">Nonetheless, to the extent that the league’s age is a factor, it is interesting to inquire into the patterns of fan behavior and whether they might change as the league matures.</w:t>
      </w:r>
      <w:r>
        <w:t xml:space="preserve"> </w:t>
      </w:r>
      <w:r>
        <w:t xml:space="preserve">Agha and Berri (2023)</w:t>
      </w:r>
      <w:r>
        <w:t xml:space="preserve"> </w:t>
      </w:r>
      <w:r>
        <w:t xml:space="preserve">found that their variable on team performance was not statistically significant as an explainer of team attendance.</w:t>
      </w:r>
      <w:r>
        <w:t xml:space="preserve"> </w:t>
      </w:r>
      <w:r>
        <w:t xml:space="preserve">As noted above, this is contrary to heretofore virtually unanimous finding in the existing scholarship for men’s leagues.</w:t>
      </w:r>
      <w:r>
        <w:t xml:space="preserve"> </w:t>
      </w:r>
      <w:r>
        <w:t xml:space="preserve">Note, however, that</w:t>
      </w:r>
      <w:r>
        <w:t xml:space="preserve"> </w:t>
      </w:r>
      <w:r>
        <w:t xml:space="preserve">Agha and Berri (2023)</w:t>
      </w:r>
      <w:r>
        <w:t xml:space="preserve"> </w:t>
      </w:r>
      <w:r>
        <w:t xml:space="preserve">employed data only from 2004 through 2017 and that its performance variable was team win percentage during the previous year.</w:t>
      </w:r>
    </w:p>
    <w:p>
      <w:pPr>
        <w:pStyle w:val="BodyText"/>
      </w:pPr>
      <w:r>
        <w:t xml:space="preserve">The use of only last year’s win percentage to measure team performance is problematic because fans are more likely to respond to the more recent performance of the team.</w:t>
      </w:r>
      <w:r>
        <w:t xml:space="preserve"> </w:t>
      </w:r>
      <w:r>
        <w:t xml:space="preserve">Thus, while a team’s win percentage in 2016 might have an appreciable impact on the team’s attendance at the beginning of the 2017 season, as the season wears on, this impact should consistently diminish.</w:t>
      </w:r>
    </w:p>
    <w:p>
      <w:pPr>
        <w:pStyle w:val="BodyText"/>
      </w:pPr>
      <w:r>
        <w:t xml:space="preserve">Professional men’s team sport leagues have demonstrated a clear relationship between team quality and attendance.</w:t>
      </w:r>
      <w:r>
        <w:t xml:space="preserve"> </w:t>
      </w:r>
      <w:r>
        <w:t xml:space="preserve">It is reasonable to anticipate that as women’s sports mature and are perceived increasingly as a normal sports league, rather than a political concession or oddity, they will begin to assert similar fan demand characteristics.</w:t>
      </w:r>
      <w:r>
        <w:t xml:space="preserve"> </w:t>
      </w:r>
      <w:r>
        <w:t xml:space="preserve">In particular, fan demand will become more responsive to team quality.</w:t>
      </w:r>
      <w:r>
        <w:t xml:space="preserve"> </w:t>
      </w:r>
      <w:r>
        <w:t xml:space="preserve">Using game attendance</w:t>
      </w:r>
      <w:r>
        <w:rPr>
          <w:rStyle w:val="FootnoteReference"/>
        </w:rPr>
        <w:footnoteReference w:id="11"/>
      </w:r>
      <w:r>
        <w:t xml:space="preserve"> </w:t>
      </w:r>
      <w:r>
        <w:t xml:space="preserve">and team performance data from 1997 through 2025, we test these hypotheses.</w:t>
      </w:r>
    </w:p>
    <w:bookmarkEnd w:id="12"/>
    <w:bookmarkStart w:id="13" w:name="andrew-other-passage"/>
    <w:p>
      <w:pPr>
        <w:pStyle w:val="Heading3"/>
      </w:pPr>
      <w:r>
        <w:t xml:space="preserve">1.3 Andrew other passage</w:t>
      </w:r>
    </w:p>
    <w:p>
      <w:pPr>
        <w:pStyle w:val="FirstParagraph"/>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The present study controls for payroll and stadium capacity as both have been shown to affect attendance.</w:t>
      </w:r>
      <w:r>
        <w:t xml:space="preserve"> </w:t>
      </w:r>
      <w:r>
        <w:t xml:space="preserve">Wiseman and Chatterjee (2003)</w:t>
      </w:r>
      <w:r>
        <w:t xml:space="preserve"> </w:t>
      </w:r>
      <w:r>
        <w:t xml:space="preserve">found team payroll was positively correlated to team winning percentage (9).</w:t>
      </w:r>
      <w:r>
        <w:t xml:space="preserve"> </w:t>
      </w:r>
      <w:r>
        <w:t xml:space="preserve">Additionally, they found that this relationship has grown stronger since the late 1990’s.</w:t>
      </w:r>
      <w:r>
        <w:t xml:space="preserve"> </w:t>
      </w:r>
      <w:r>
        <w:t xml:space="preserve">Hall et al. (2002)</w:t>
      </w:r>
      <w:r>
        <w:t xml:space="preserve"> </w:t>
      </w:r>
      <w:r>
        <w:t xml:space="preserve">did not find causality evidence from payroll to team winning percentage in their entire dataset, but they did note an increased correlation in the 1990’s.</w:t>
      </w:r>
      <w:r>
        <w:t xml:space="preserve"> </w:t>
      </w:r>
      <w:r>
        <w:t xml:space="preserve">Additionally, they stated that an MLB team with a payroll of at least 150% of the league average could expect a winning percentage of at least .550.</w:t>
      </w:r>
      <w:r>
        <w:t xml:space="preserve"> </w:t>
      </w:r>
      <w:r>
        <w:t xml:space="preserve">This is an important finding, because</w:t>
      </w:r>
      <w:r>
        <w:t xml:space="preserve"> </w:t>
      </w:r>
      <w:r>
        <w:t xml:space="preserve">Vrooman (2012)</w:t>
      </w:r>
      <w:r>
        <w:t xml:space="preserve"> </w:t>
      </w:r>
      <w:r>
        <w:t xml:space="preserve">identified .550 as a benchmark winning percentage for qualifying as a playoff team.</w:t>
      </w:r>
    </w:p>
    <w:bookmarkEnd w:id="13"/>
    <w:bookmarkEnd w:id="14"/>
    <w:bookmarkStart w:id="31" w:name="sec-data"/>
    <w:p>
      <w:pPr>
        <w:pStyle w:val="Heading2"/>
      </w:pPr>
      <w:r>
        <w:t xml:space="preserve">2 Data</w:t>
      </w:r>
    </w:p>
    <w:bookmarkStart w:id="22"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w:t>
      </w:r>
      <w:r>
        <w:t xml:space="preserve"> </w:t>
      </w:r>
      <w:r>
        <w:t xml:space="preserve">We supplemented these data with arena capacities that we collected manually</w:t>
      </w:r>
      <w:r>
        <w:rPr>
          <w:rStyle w:val="FootnoteReference"/>
        </w:rPr>
        <w:footnoteReference w:id="15"/>
      </w:r>
      <w:r>
        <w:t xml:space="preserve">.</w:t>
      </w:r>
      <w:r>
        <w:t xml:space="preserve"> </w:t>
      </w:r>
      <w:r>
        <w:t xml:space="preserve">Attendance data was unavailable for only 152 games, while (due to the COVID-19 pandemic) 2 games (accurately) recorded attendance of 0.</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Caitlin Clark played in the game, are recorded.</w:t>
      </w:r>
    </w:p>
    <w:tbl>
      <w:tblPr>
        <w:tblStyle w:val="Table"/>
        <w:tblW w:type="pct" w:w="5000"/>
        <w:tblLayout w:type="fixed"/>
        <w:tblLook w:firstRow="0" w:lastRow="0" w:firstColumn="0" w:lastColumn="0" w:noHBand="0" w:noVBand="0" w:val="0000"/>
      </w:tblPr>
      <w:tblGrid>
        <w:gridCol w:w="7920"/>
      </w:tblGrid>
      <w:tr>
        <w:tc>
          <w:tcPr/>
          <w:bookmarkStart w:id="16"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Clark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2021-05-21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Phoenix Suns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2005-07-21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Conseco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2022-05-20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Gateway Center Arena @ College Park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2002-07-28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Palace of Auburn Hills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Michelob ULTRA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2019-08-23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Westchester County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2005-07-15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2010-07-24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2016-08-26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2002-08-06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played in the game.</w:t>
            </w:r>
          </w:p>
          <w:bookmarkEnd w:id="1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21" w:name="cell-fig-boxplots"/>
    <w:tbl>
      <w:tblPr>
        <w:tblStyle w:val="Table"/>
        <w:tblW w:type="pct" w:w="5000"/>
        <w:tblLayout w:type="fixed"/>
        <w:tblLook w:firstRow="0" w:lastRow="0" w:firstColumn="0" w:lastColumn="0" w:noHBand="0" w:noVBand="0" w:val="0000"/>
      </w:tblPr>
      <w:tblGrid>
        <w:gridCol w:w="7920"/>
      </w:tblGrid>
      <w:tr>
        <w:tc>
          <w:tcPr/>
          <w:bookmarkStart w:id="20" w:name="fig-boxplots"/>
          <w:p>
            <w:pPr>
              <w:pStyle w:val="Compact"/>
              <w:jc w:val="center"/>
            </w:pPr>
            <w:r>
              <w:drawing>
                <wp:inline>
                  <wp:extent cx="4620126" cy="3696101"/>
                  <wp:effectExtent b="0" l="0" r="0" t="0"/>
                  <wp:docPr descr="" title="" id="18" name="Picture"/>
                  <a:graphic>
                    <a:graphicData uri="http://schemas.openxmlformats.org/drawingml/2006/picture">
                      <pic:pic>
                        <pic:nvPicPr>
                          <pic:cNvPr descr="index_files/figure-docx/fig-boxplots-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Clark’s games in 2024-2025 are separated by color.</w:t>
            </w:r>
          </w:p>
          <w:bookmarkEnd w:id="2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1"/>
    <w:bookmarkEnd w:id="22"/>
    <w:bookmarkStart w:id="28"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 are typically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r>
            <m:t>I</m:t>
          </m:r>
          <m:r>
            <m:rPr>
              <m:sty m:val="p"/>
            </m:rPr>
            <m:t>(</m:t>
          </m:r>
          <m:r>
            <m:t>i</m:t>
          </m:r>
          <m:r>
            <m:rPr>
              <m:nor/>
              <m:sty m:val="p"/>
            </m:rPr>
            <m:t> beats </m:t>
          </m:r>
          <m:r>
            <m:t>j</m:t>
          </m:r>
          <m:r>
            <m:rPr>
              <m:sty m:val="p"/>
            </m:rPr>
            <m:t>)</m:t>
          </m:r>
          <m:r>
            <m:t> </m:t>
          </m:r>
          <m:r>
            <m:rPr>
              <m:sty m:val="p"/>
            </m:rPr>
            <m:t>,</m:t>
          </m:r>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hyperlink w:anchor="fig-elo">
        <w:r>
          <w:rPr>
            <w:rStyle w:val="Hyperlink"/>
          </w:rPr>
          <w:t xml:space="preserve">Figure 2</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27" w:name="cell-fig-elo"/>
    <w:tbl>
      <w:tblPr>
        <w:tblStyle w:val="Table"/>
        <w:tblW w:type="pct" w:w="5000"/>
        <w:tblLayout w:type="fixed"/>
        <w:tblLook w:firstRow="0" w:lastRow="0" w:firstColumn="0" w:lastColumn="0" w:noHBand="0" w:noVBand="0" w:val="0000"/>
      </w:tblPr>
      <w:tblGrid>
        <w:gridCol w:w="7920"/>
      </w:tblGrid>
      <w:tr>
        <w:tc>
          <w:tcPr/>
          <w:bookmarkStart w:id="26" w:name="fig-elo"/>
          <w:p>
            <w:pPr>
              <w:pStyle w:val="Compact"/>
              <w:jc w:val="center"/>
            </w:pPr>
            <w:r>
              <w:drawing>
                <wp:inline>
                  <wp:extent cx="4620126" cy="3696101"/>
                  <wp:effectExtent b="0" l="0" r="0" t="0"/>
                  <wp:docPr descr="" title="" id="24" name="Picture"/>
                  <a:graphic>
                    <a:graphicData uri="http://schemas.openxmlformats.org/drawingml/2006/picture">
                      <pic:pic>
                        <pic:nvPicPr>
                          <pic:cNvPr descr="index_files/figure-docx/fig-elo-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2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7"/>
    <w:bookmarkEnd w:id="28"/>
    <w:bookmarkStart w:id="30" w:name="estimating-home-win-probability"/>
    <w:p>
      <w:pPr>
        <w:pStyle w:val="Heading3"/>
      </w:pPr>
      <w:r>
        <w:t xml:space="preserve">2.3 Estimating home win probability</w:t>
      </w:r>
    </w:p>
    <w:p>
      <w:pPr>
        <w:pStyle w:val="FirstParagraph"/>
      </w:pPr>
      <w:r>
        <w:t xml:space="preserve">The Elo ratings estimated above can then be plugged back into the win probability formula to estimate the home teams’s chances of winning.</w:t>
      </w:r>
      <w:r>
        <w:t xml:space="preserve"> </w:t>
      </w:r>
      <w:r>
        <w:t xml:space="preserve">We also added a 12-point home court advantage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12</m:t>
                          </m:r>
                        </m:e>
                      </m:d>
                    </m:num>
                    <m:den>
                      <m:r>
                        <m:t>400</m:t>
                      </m:r>
                    </m:den>
                  </m:f>
                </m:sup>
              </m:sSup>
            </m:den>
          </m:f>
          <m:r>
            <m:t> </m:t>
          </m:r>
          <m:r>
            <m:rPr>
              <m:sty m:val="p"/>
            </m:rPr>
            <m:t>.</m:t>
          </m:r>
        </m:oMath>
      </m:oMathPara>
    </w:p>
    <w:p>
      <w:pPr>
        <w:pStyle w:val="FirstParagraph"/>
      </w:pPr>
      <w:r>
        <w:t xml:space="preserve">We arrived at 12 points by manually calibrating the win probabilities to match the observed frequencies.</w:t>
      </w:r>
      <w:r>
        <w:t xml:space="preserve"> </w:t>
      </w:r>
      <w:r>
        <w:t xml:space="preserve">While the model was less accurate at the extremes (it was consistently reluctant to predict nearly certain home wins and losses),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(0.153,0.233]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(0.233,0.311]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(0.311,0.39]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(0.468,0.547]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(0.547,0.625]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(0.625,0.704]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(0.782,0.861]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(0.861,0.94]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r>
          </w:tbl>
          <w:bookmarkEnd w:id="2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End w:id="31"/>
    <w:bookmarkStart w:id="49"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We also know the arena in which the game took place and the capacity of that arena.</w:t>
      </w:r>
      <w:r>
        <w:t xml:space="preserve"> </w:t>
      </w:r>
      <w:r>
        <w:t xml:space="preserve">Thus, and alternative response variable is percentage of arena capacity filled (</w:t>
      </w:r>
      <m:oMath>
        <m:r>
          <m:t>γ</m:t>
        </m:r>
      </m:oMath>
      <w:r>
        <w:t xml:space="preserve">).</w:t>
      </w:r>
    </w:p>
    <w:bookmarkStart w:id="42"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3</w:t>
        </w:r>
      </w:hyperlink>
      <w:r>
        <w:t xml:space="preserve">, we observe the relationship between attendance and estimated home win probability.</w:t>
      </w:r>
      <w:r>
        <w:t xml:space="preserve"> </w:t>
      </w:r>
      <w:r>
        <w:t xml:space="preserve">In most years, the slope appears to be positive.</w:t>
      </w:r>
    </w:p>
    <w:bookmarkStart w:id="36" w:name="cell-fig-attendance-year"/>
    <w:tbl>
      <w:tblPr>
        <w:tblStyle w:val="Table"/>
        <w:tblW w:type="pct" w:w="5000"/>
        <w:tblLayout w:type="fixed"/>
        <w:tblLook w:firstRow="0" w:lastRow="0" w:firstColumn="0" w:lastColumn="0" w:noHBand="0" w:noVBand="0" w:val="0000"/>
      </w:tblPr>
      <w:tblGrid>
        <w:gridCol w:w="7920"/>
      </w:tblGrid>
      <w:tr>
        <w:tc>
          <w:tcPr/>
          <w:bookmarkStart w:id="35" w:name="fig-attendance-year"/>
          <w:p>
            <w:pPr>
              <w:pStyle w:val="Compact"/>
              <w:jc w:val="center"/>
            </w:pPr>
            <w:r>
              <w:drawing>
                <wp:inline>
                  <wp:extent cx="4620126" cy="3696101"/>
                  <wp:effectExtent b="0" l="0" r="0" t="0"/>
                  <wp:docPr descr="" title="" id="33" name="Picture"/>
                  <a:graphic>
                    <a:graphicData uri="http://schemas.openxmlformats.org/drawingml/2006/picture">
                      <pic:pic>
                        <pic:nvPicPr>
                          <pic:cNvPr descr="index_files/figure-docx/fig-attendance-year-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WNBA attendance by season, against estimated home win probability. We note that in most years, the slope of the association appears to be positive.</w:t>
            </w:r>
          </w:p>
          <w:bookmarkEnd w:id="3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6"/>
    <w:p>
      <w:pPr>
        <w:pStyle w:val="BodyText"/>
      </w:pPr>
      <w:r>
        <w:t xml:space="preserve">In</w:t>
      </w:r>
      <w:r>
        <w:t xml:space="preserve"> </w:t>
      </w:r>
      <w:hyperlink w:anchor="fig-capacity-year">
        <w:r>
          <w:rPr>
            <w:rStyle w:val="Hyperlink"/>
          </w:rPr>
          <w:t xml:space="preserve">Figure 4</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41" w:name="cell-fig-capacity-year"/>
    <w:tbl>
      <w:tblPr>
        <w:tblStyle w:val="Table"/>
        <w:tblW w:type="pct" w:w="5000"/>
        <w:tblLayout w:type="fixed"/>
        <w:tblLook w:firstRow="0" w:lastRow="0" w:firstColumn="0" w:lastColumn="0" w:noHBand="0" w:noVBand="0" w:val="0000"/>
      </w:tblPr>
      <w:tblGrid>
        <w:gridCol w:w="7920"/>
      </w:tblGrid>
      <w:tr>
        <w:tc>
          <w:tcPr/>
          <w:bookmarkStart w:id="40" w:name="fig-capacity-year"/>
          <w:p>
            <w:pPr>
              <w:pStyle w:val="Compact"/>
              <w:jc w:val="center"/>
            </w:pPr>
            <w:r>
              <w:drawing>
                <wp:inline>
                  <wp:extent cx="4620126" cy="3696101"/>
                  <wp:effectExtent b="0" l="0" r="0" t="0"/>
                  <wp:docPr descr="" title="" id="38" name="Picture"/>
                  <a:graphic>
                    <a:graphicData uri="http://schemas.openxmlformats.org/drawingml/2006/picture">
                      <pic:pic>
                        <pic:nvPicPr>
                          <pic:cNvPr descr="index_files/figure-docx/fig-capacity-year-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percentage of arena capacity filled by season, against estimated home win probability. We note the edge effects caused by sellouts, which occur much more frequently in 2024 and 2025.</w:t>
            </w:r>
          </w:p>
          <w:bookmarkEnd w:id="4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1"/>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2"/>
    <w:bookmarkStart w:id="43"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p>
    <w:p>
      <w:pPr>
        <w:pStyle w:val="Compact"/>
        <w:numPr>
          <w:ilvl w:val="0"/>
          <w:numId w:val="1001"/>
        </w:numPr>
      </w:pPr>
      <w:r>
        <w:t xml:space="preserve">Quality of play: fans may wish to attend a game in person if the quality of play is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Compact"/>
        <w:numPr>
          <w:ilvl w:val="0"/>
          <w:numId w:val="1001"/>
        </w:numPr>
      </w:pPr>
      <w:r>
        <w:t xml:space="preserve">Uncertainty outcome hypothesis: fans may wish to attend a game for which the outcome is unclear. We model this as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bookmarkEnd w:id="43"/>
    <w:bookmarkStart w:id="45"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44"/>
      </w:r>
      <w:r>
        <w:t xml:space="preserve">.</w:t>
      </w:r>
      <w:r>
        <w:t xml:space="preserve"> </w:t>
      </w:r>
      <w:r>
        <w:t xml:space="preserve">Finally, we include an indicator based on whether Caitlin Clark played more than 0 minutes in the game (</w:t>
      </w:r>
      <m:oMath>
        <m:r>
          <m:t>χ</m:t>
        </m:r>
      </m:oMath>
      <w:r>
        <w:t xml:space="preserve">).</w:t>
      </w:r>
    </w:p>
    <w:bookmarkEnd w:id="45"/>
    <w:bookmarkStart w:id="46"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this, we include an interaction term between our measures of fan engagement (</w:t>
      </w:r>
      <m:oMath>
        <m:sSub>
          <m:e>
            <m:r>
              <m:t>f</m:t>
            </m:r>
          </m:e>
          <m:sub>
            <m:r>
              <m:t>k</m:t>
            </m:r>
          </m:sub>
        </m:sSub>
      </m:oMath>
      <w:r>
        <w:t xml:space="preserve">) and season (</w:t>
      </w:r>
      <m:oMath>
        <m:sSub>
          <m:e>
            <m:r>
              <m:t>τ</m:t>
            </m:r>
          </m:e>
          <m:sub>
            <m:r>
              <m:t>1</m:t>
            </m:r>
          </m:sub>
        </m:sSub>
      </m:oMath>
      <w:r>
        <w:t xml:space="preserve">).</w:t>
      </w:r>
    </w:p>
    <w:bookmarkEnd w:id="46"/>
    <w:bookmarkStart w:id="47"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p>
    <w:p>
      <w:pPr>
        <w:pStyle w:val="BodyText"/>
      </w:pPr>
      <m:oMathPara>
        <m:oMathParaPr>
          <m:jc m:val="center"/>
        </m:oMathParaPr>
        <m:oMath>
          <m:r>
            <m:rPr>
              <m:sty m:val="p"/>
            </m:rPr>
            <m:t>ln</m:t>
          </m:r>
          <m:r>
            <m:t>y</m:t>
          </m:r>
          <m:r>
            <m:rPr>
              <m:sty m:val="p"/>
            </m:rPr>
            <m:t>=</m:t>
          </m:r>
          <m:sSubSup>
            <m:e>
              <m:r>
                <m:t>β</m:t>
              </m:r>
            </m:e>
            <m:sub>
              <m:r>
                <m:t>0</m:t>
              </m:r>
            </m:sub>
            <m:sup>
              <m:r>
                <m:rPr>
                  <m:sty m:val="p"/>
                </m:rPr>
                <m:t>(</m:t>
              </m:r>
              <m:r>
                <m:t>k</m:t>
              </m:r>
              <m:r>
                <m:rPr>
                  <m:sty m:val="p"/>
                </m:rPr>
                <m:t>)</m:t>
              </m:r>
            </m:sup>
          </m:sSubSup>
          <m:r>
            <m:rPr>
              <m:sty m:val="p"/>
            </m:rPr>
            <m:t>+</m:t>
          </m:r>
          <m:sSubSup>
            <m:e>
              <m:r>
                <m:t>β</m:t>
              </m:r>
            </m:e>
            <m:sub>
              <m:r>
                <m:t>1</m:t>
              </m:r>
            </m:sub>
            <m:sup>
              <m:r>
                <m:rPr>
                  <m:sty m:val="p"/>
                </m:rPr>
                <m:t>(</m:t>
              </m:r>
              <m:r>
                <m:t>k</m:t>
              </m:r>
              <m:r>
                <m:rPr>
                  <m:sty m:val="p"/>
                </m:rPr>
                <m:t>)</m:t>
              </m:r>
            </m:sup>
          </m:sSubSup>
          <m:sSub>
            <m:e>
              <m:r>
                <m:t>f</m:t>
              </m:r>
            </m:e>
            <m:sub>
              <m:r>
                <m:t>k</m:t>
              </m:r>
            </m:sub>
          </m:sSub>
          <m:r>
            <m:rPr>
              <m:sty m:val="p"/>
            </m:rPr>
            <m:t>+</m:t>
          </m:r>
          <m:limLow>
            <m:e>
              <m:limLow>
                <m:e>
                  <m:sSubSup>
                    <m:e>
                      <m:r>
                        <m:t>β</m:t>
                      </m:r>
                    </m:e>
                    <m:sub>
                      <m:r>
                        <m:t>2</m:t>
                      </m:r>
                    </m:sub>
                    <m:sup>
                      <m:r>
                        <m:rPr>
                          <m:sty m:val="p"/>
                        </m:rPr>
                        <m:t>(</m:t>
                      </m:r>
                      <m:r>
                        <m:t>k</m:t>
                      </m:r>
                      <m:r>
                        <m:rPr>
                          <m:sty m:val="p"/>
                        </m:rPr>
                        <m:t>)</m:t>
                      </m:r>
                    </m:sup>
                  </m:sSubSup>
                  <m:sSub>
                    <m:e>
                      <m:r>
                        <m:t>τ</m:t>
                      </m:r>
                    </m:e>
                    <m:sub>
                      <m:r>
                        <m:t>1</m:t>
                      </m:r>
                    </m:sub>
                  </m:sSub>
                  <m:r>
                    <m:rPr>
                      <m:sty m:val="p"/>
                    </m:rPr>
                    <m:t>+</m:t>
                  </m:r>
                  <m:sSubSup>
                    <m:e>
                      <m:r>
                        <m:t>β</m:t>
                      </m:r>
                    </m:e>
                    <m:sub>
                      <m:r>
                        <m:t>3</m:t>
                      </m:r>
                    </m:sub>
                    <m:sup>
                      <m:r>
                        <m:rPr>
                          <m:sty m:val="p"/>
                        </m:rPr>
                        <m:t>(</m:t>
                      </m:r>
                      <m:r>
                        <m:t>k</m:t>
                      </m:r>
                      <m:r>
                        <m:rPr>
                          <m:sty m:val="p"/>
                        </m:rPr>
                        <m:t>)</m:t>
                      </m:r>
                    </m:sup>
                  </m:sSubSup>
                  <m:sSub>
                    <m:e>
                      <m:r>
                        <m:t>τ</m:t>
                      </m:r>
                    </m:e>
                    <m:sub>
                      <m:r>
                        <m:t>2</m:t>
                      </m:r>
                    </m:sub>
                  </m:sSub>
                  <m:r>
                    <m:rPr>
                      <m:sty m:val="p"/>
                    </m:rPr>
                    <m:t>+</m:t>
                  </m:r>
                  <m:sSubSup>
                    <m:e>
                      <m:r>
                        <m:t>β</m:t>
                      </m:r>
                    </m:e>
                    <m:sub>
                      <m:r>
                        <m:t>4</m:t>
                      </m:r>
                    </m:sub>
                    <m:sup>
                      <m:r>
                        <m:rPr>
                          <m:sty m:val="p"/>
                        </m:rPr>
                        <m:t>(</m:t>
                      </m:r>
                      <m:r>
                        <m:t>k</m:t>
                      </m:r>
                      <m:r>
                        <m:rPr>
                          <m:sty m:val="p"/>
                        </m:rPr>
                        <m:t>)</m:t>
                      </m:r>
                    </m:sup>
                  </m:sSubSup>
                  <m:sSub>
                    <m:e>
                      <m:r>
                        <m:t>τ</m:t>
                      </m:r>
                    </m:e>
                    <m:sub>
                      <m:r>
                        <m:t>3</m:t>
                      </m:r>
                    </m:sub>
                  </m:sSub>
                </m:e>
                <m:lim>
                  <m:r>
                    <m:rPr>
                      <m:sty m:val="p"/>
                    </m:rPr>
                    <m:t>⏟</m:t>
                  </m:r>
                </m:lim>
              </m:limLow>
            </m:e>
            <m:lim>
              <m:r>
                <m:rPr>
                  <m:nor/>
                  <m:sty m:val="p"/>
                </m:rPr>
                <m:t>time-related</m:t>
              </m:r>
            </m:lim>
          </m:limLow>
          <m:r>
            <m:rPr>
              <m:sty m:val="p"/>
            </m:rPr>
            <m:t>+</m:t>
          </m:r>
          <m:limLow>
            <m:e>
              <m:limLow>
                <m:e>
                  <m:sSubSup>
                    <m:e>
                      <m:r>
                        <m:t>β</m:t>
                      </m:r>
                    </m:e>
                    <m:sub>
                      <m:r>
                        <m:t>5</m:t>
                      </m:r>
                    </m:sub>
                    <m:sup>
                      <m:r>
                        <m:rPr>
                          <m:sty m:val="p"/>
                        </m:rPr>
                        <m:t>(</m:t>
                      </m:r>
                      <m:r>
                        <m:t>k</m:t>
                      </m:r>
                      <m:r>
                        <m:rPr>
                          <m:sty m:val="p"/>
                        </m:rPr>
                        <m:t>)</m:t>
                      </m:r>
                    </m:sup>
                  </m:sSubSup>
                  <m:sSub>
                    <m:e>
                      <m:r>
                        <m:t>ϕ</m:t>
                      </m:r>
                    </m:e>
                    <m:sub>
                      <m:r>
                        <m:t>1</m:t>
                      </m:r>
                    </m:sub>
                  </m:sSub>
                  <m:r>
                    <m:rPr>
                      <m:sty m:val="p"/>
                    </m:rPr>
                    <m:t>+</m:t>
                  </m:r>
                  <m:sSubSup>
                    <m:e>
                      <m:r>
                        <m:t>β</m:t>
                      </m:r>
                    </m:e>
                    <m:sub>
                      <m:r>
                        <m:t>6</m:t>
                      </m:r>
                    </m:sub>
                    <m:sup>
                      <m:r>
                        <m:rPr>
                          <m:sty m:val="p"/>
                        </m:rPr>
                        <m:t>(</m:t>
                      </m:r>
                      <m:r>
                        <m:t>k</m:t>
                      </m:r>
                      <m:r>
                        <m:rPr>
                          <m:sty m:val="p"/>
                        </m:rPr>
                        <m:t>)</m:t>
                      </m:r>
                    </m:sup>
                  </m:sSubSup>
                  <m:sSub>
                    <m:e>
                      <m:r>
                        <m:t>ϕ</m:t>
                      </m:r>
                    </m:e>
                    <m:sub>
                      <m:r>
                        <m:t>2</m:t>
                      </m:r>
                    </m:sub>
                  </m:sSub>
                  <m:r>
                    <m:rPr>
                      <m:sty m:val="p"/>
                    </m:rPr>
                    <m:t>+</m:t>
                  </m:r>
                  <m:sSubSup>
                    <m:e>
                      <m:r>
                        <m:t>β</m:t>
                      </m:r>
                    </m:e>
                    <m:sub>
                      <m:r>
                        <m:t>7</m:t>
                      </m:r>
                    </m:sub>
                    <m:sup>
                      <m:r>
                        <m:rPr>
                          <m:sty m:val="p"/>
                        </m:rPr>
                        <m:t>(</m:t>
                      </m:r>
                      <m:r>
                        <m:t>k</m:t>
                      </m:r>
                      <m:r>
                        <m:rPr>
                          <m:sty m:val="p"/>
                        </m:rPr>
                        <m:t>)</m:t>
                      </m:r>
                    </m:sup>
                  </m:sSubSup>
                  <m:sSub>
                    <m:e>
                      <m:r>
                        <m:t>ϕ</m:t>
                      </m:r>
                    </m:e>
                    <m:sub>
                      <m:r>
                        <m:t>3</m:t>
                      </m:r>
                    </m:sub>
                  </m:sSub>
                </m:e>
                <m:lim>
                  <m:r>
                    <m:rPr>
                      <m:sty m:val="p"/>
                    </m:rPr>
                    <m:t>⏟</m:t>
                  </m:r>
                </m:lim>
              </m:limLow>
            </m:e>
            <m:lim>
              <m:r>
                <m:rPr>
                  <m:nor/>
                  <m:sty m:val="p"/>
                </m:rPr>
                <m:t> city-related </m:t>
              </m:r>
            </m:lim>
          </m:limLow>
          <m:r>
            <m:rPr>
              <m:sty m:val="p"/>
            </m:rPr>
            <m:t>+</m:t>
          </m:r>
          <m:sSubSup>
            <m:e>
              <m:r>
                <m:t>β</m:t>
              </m:r>
            </m:e>
            <m:sub>
              <m:r>
                <m:t>8</m:t>
              </m:r>
            </m:sub>
            <m:sup>
              <m:r>
                <m:rPr>
                  <m:sty m:val="p"/>
                </m:rPr>
                <m:t>(</m:t>
              </m:r>
              <m:r>
                <m:t>k</m:t>
              </m:r>
              <m:r>
                <m:rPr>
                  <m:sty m:val="p"/>
                </m:rPr>
                <m:t>)</m:t>
              </m:r>
            </m:sup>
          </m:sSubSup>
          <m:r>
            <m:t>χ</m:t>
          </m:r>
          <m:r>
            <m:rPr>
              <m:sty m:val="p"/>
            </m:rPr>
            <m:t>+</m:t>
          </m:r>
          <m:limLow>
            <m:e>
              <m:limLow>
                <m:e>
                  <m:sSubSup>
                    <m:e>
                      <m:r>
                        <m:t>β</m:t>
                      </m:r>
                    </m:e>
                    <m:sub>
                      <m:r>
                        <m:t>9</m:t>
                      </m:r>
                    </m:sub>
                    <m:sup>
                      <m:r>
                        <m:rPr>
                          <m:sty m:val="p"/>
                        </m:rPr>
                        <m:t>(</m:t>
                      </m:r>
                      <m:r>
                        <m:t>k</m:t>
                      </m:r>
                      <m:r>
                        <m:rPr>
                          <m:sty m:val="p"/>
                        </m:rPr>
                        <m:t>)</m:t>
                      </m:r>
                    </m:sup>
                  </m:sSubSup>
                  <m:sSub>
                    <m:e>
                      <m:r>
                        <m:t>f</m:t>
                      </m:r>
                    </m:e>
                    <m:sub>
                      <m:r>
                        <m:t>k</m:t>
                      </m:r>
                    </m:sub>
                  </m:sSub>
                  <m:sSub>
                    <m:e>
                      <m:r>
                        <m:t>τ</m:t>
                      </m:r>
                    </m:e>
                    <m:sub>
                      <m:r>
                        <m:t>1</m:t>
                      </m:r>
                    </m:sub>
                  </m:sSub>
                </m:e>
                <m:lim>
                  <m:r>
                    <m:rPr>
                      <m:sty m:val="p"/>
                    </m:rPr>
                    <m:t>⏟</m:t>
                  </m:r>
                </m:lim>
              </m:limLow>
            </m:e>
            <m:lim>
              <m:r>
                <m:rPr>
                  <m:nor/>
                  <m:sty m:val="p"/>
                </m:rPr>
                <m:t>interaction</m:t>
              </m:r>
            </m:lim>
          </m:limLow>
          <m:r>
            <m:rPr>
              <m:sty m:val="p"/>
            </m:rPr>
            <m:t>+</m:t>
          </m:r>
          <m:r>
            <m:t>ϵ</m:t>
          </m:r>
          <m:r>
            <m:t> </m:t>
          </m:r>
          <m:r>
            <m:rPr>
              <m:sty m:val="p"/>
            </m:rPr>
            <m:t>,</m:t>
          </m:r>
        </m:oMath>
      </m:oMathPara>
    </w:p>
    <w:p>
      <w:pPr>
        <w:pStyle w:val="FirstParagraph"/>
      </w:pP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47"/>
    <w:bookmarkStart w:id="48"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the in Tobit framework.</w:t>
      </w:r>
    </w:p>
    <w:bookmarkEnd w:id="48"/>
    <w:bookmarkEnd w:id="49"/>
    <w:bookmarkStart w:id="78"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63"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3</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4</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coefs"/>
          <w:p>
            <w:pPr>
              <w:jc w:val="center"/>
            </w:pPr>
            <w:pPr>
              <w:jc w:val="left"/>
              <w:spacing w:before="200"/>
              <w:pStyle w:val="ImageCaption"/>
            </w:pPr>
            <w:r>
              <w:t xml:space="preserve">Table 3: Fitted coefficients for scalar terms in models for the natural logarithm of attendance.</w:t>
            </w:r>
          </w:p>
          <w:tbl>
            <w:tblPr>
              <w:tblStyle w:val="Table"/>
              <w:tblW w:type="pct" w:w="5000"/>
              <w:tblLayout w:type="fixed"/>
              <w:tblLook w:firstRow="1" w:lastRow="0" w:firstColumn="0" w:lastColumn="0" w:noHBand="0" w:noVBand="0" w:val="0020"/>
            </w:tblPr>
            <w:tblGrid>
              <w:gridCol w:w="709"/>
              <w:gridCol w:w="2837"/>
              <w:gridCol w:w="1063"/>
              <w:gridCol w:w="1182"/>
              <w:gridCol w:w="1182"/>
              <w:gridCol w:w="945"/>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9.027</w:t>
                  </w:r>
                </w:p>
              </w:tc>
              <w:tc>
                <w:tcPr/>
                <w:p>
                  <w:pPr>
                    <w:pStyle w:val="Compact"/>
                    <w:jc w:val="right"/>
                    <w:jc w:val="center"/>
                  </w:pPr>
                  <w:r>
                    <w:t xml:space="preserve">0.129</w:t>
                  </w:r>
                </w:p>
              </w:tc>
              <w:tc>
                <w:tcPr/>
                <w:p>
                  <w:pPr>
                    <w:pStyle w:val="Compact"/>
                    <w:jc w:val="right"/>
                    <w:jc w:val="center"/>
                  </w:pPr>
                  <w:r>
                    <w:t xml:space="preserve">69.908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8.968</w:t>
                  </w:r>
                </w:p>
              </w:tc>
              <w:tc>
                <w:tcPr/>
                <w:p>
                  <w:pPr>
                    <w:pStyle w:val="Compact"/>
                    <w:jc w:val="right"/>
                    <w:jc w:val="center"/>
                  </w:pPr>
                  <w:r>
                    <w:t xml:space="preserve">0.155</w:t>
                  </w:r>
                </w:p>
              </w:tc>
              <w:tc>
                <w:tcPr/>
                <w:p>
                  <w:pPr>
                    <w:pStyle w:val="Compact"/>
                    <w:jc w:val="right"/>
                    <w:jc w:val="center"/>
                  </w:pPr>
                  <w:r>
                    <w:t xml:space="preserve">58.003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9.078</w:t>
                  </w:r>
                </w:p>
              </w:tc>
              <w:tc>
                <w:tcPr/>
                <w:p>
                  <w:pPr>
                    <w:pStyle w:val="Compact"/>
                    <w:jc w:val="right"/>
                    <w:jc w:val="center"/>
                  </w:pPr>
                  <w:r>
                    <w:t xml:space="preserve">0.132</w:t>
                  </w:r>
                </w:p>
              </w:tc>
              <w:tc>
                <w:tcPr/>
                <w:p>
                  <w:pPr>
                    <w:pStyle w:val="Compact"/>
                    <w:jc w:val="right"/>
                    <w:jc w:val="center"/>
                  </w:pPr>
                  <w:r>
                    <w:t xml:space="preserve">68.750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0.524</w:t>
                  </w:r>
                </w:p>
              </w:tc>
              <w:tc>
                <w:tcPr/>
                <w:p>
                  <w:pPr>
                    <w:pStyle w:val="Compact"/>
                    <w:jc w:val="right"/>
                    <w:jc w:val="center"/>
                  </w:pPr>
                  <w:r>
                    <w:t xml:space="preserve">0.600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3.320</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0.422</w:t>
                  </w:r>
                </w:p>
              </w:tc>
              <w:tc>
                <w:tcPr/>
                <w:p>
                  <w:pPr>
                    <w:pStyle w:val="Compact"/>
                    <w:jc w:val="right"/>
                    <w:jc w:val="center"/>
                  </w:pPr>
                  <w:r>
                    <w:t xml:space="preserve">0.402</w:t>
                  </w:r>
                </w:p>
              </w:tc>
              <w:tc>
                <w:tcPr/>
                <w:p>
                  <w:pPr>
                    <w:pStyle w:val="Compact"/>
                    <w:jc w:val="right"/>
                    <w:jc w:val="center"/>
                  </w:pPr>
                  <w:r>
                    <w:t xml:space="preserve">1.050</w:t>
                  </w:r>
                </w:p>
              </w:tc>
              <w:tc>
                <w:tcPr/>
                <w:p>
                  <w:pPr>
                    <w:pStyle w:val="Compact"/>
                    <w:jc w:val="right"/>
                    <w:jc w:val="center"/>
                  </w:pPr>
                  <w:r>
                    <w:t xml:space="preserve">0.294</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0.705</w:t>
                  </w:r>
                </w:p>
              </w:tc>
              <w:tc>
                <w:tcPr/>
                <w:p>
                  <w:pPr>
                    <w:pStyle w:val="Compact"/>
                    <w:jc w:val="right"/>
                    <w:jc w:val="center"/>
                  </w:pPr>
                  <w:r>
                    <w:t xml:space="preserve">0.049</w:t>
                  </w:r>
                </w:p>
              </w:tc>
              <w:tc>
                <w:tcPr/>
                <w:p>
                  <w:pPr>
                    <w:pStyle w:val="Compact"/>
                    <w:jc w:val="right"/>
                    <w:jc w:val="center"/>
                  </w:pPr>
                  <w:r>
                    <w:t xml:space="preserve">14.514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0.699</w:t>
                  </w:r>
                </w:p>
              </w:tc>
              <w:tc>
                <w:tcPr/>
                <w:p>
                  <w:pPr>
                    <w:pStyle w:val="Compact"/>
                    <w:jc w:val="right"/>
                    <w:jc w:val="center"/>
                  </w:pPr>
                  <w:r>
                    <w:t xml:space="preserve">0.050</w:t>
                  </w:r>
                </w:p>
              </w:tc>
              <w:tc>
                <w:tcPr/>
                <w:p>
                  <w:pPr>
                    <w:pStyle w:val="Compact"/>
                    <w:jc w:val="right"/>
                    <w:jc w:val="center"/>
                  </w:pPr>
                  <w:r>
                    <w:t xml:space="preserve">14.089</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0.653</w:t>
                  </w:r>
                </w:p>
              </w:tc>
              <w:tc>
                <w:tcPr/>
                <w:p>
                  <w:pPr>
                    <w:pStyle w:val="Compact"/>
                    <w:jc w:val="right"/>
                    <w:jc w:val="center"/>
                  </w:pPr>
                  <w:r>
                    <w:t xml:space="preserve">0.048</w:t>
                  </w:r>
                </w:p>
              </w:tc>
              <w:tc>
                <w:tcPr/>
                <w:p>
                  <w:pPr>
                    <w:pStyle w:val="Compact"/>
                    <w:jc w:val="right"/>
                    <w:jc w:val="center"/>
                  </w:pPr>
                  <w:r>
                    <w:t xml:space="preserve">13.627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-0.007</w:t>
                  </w:r>
                </w:p>
              </w:tc>
              <w:tc>
                <w:tcPr/>
                <w:p>
                  <w:pPr>
                    <w:pStyle w:val="Compact"/>
                    <w:jc w:val="right"/>
                    <w:jc w:val="center"/>
                  </w:pPr>
                  <w:r>
                    <w:t xml:space="preserve">0.002</w:t>
                  </w:r>
                </w:p>
              </w:tc>
              <w:tc>
                <w:tcPr/>
                <w:p>
                  <w:pPr>
                    <w:pStyle w:val="Compact"/>
                    <w:jc w:val="right"/>
                    <w:jc w:val="center"/>
                  </w:pPr>
                  <w:r>
                    <w:t xml:space="preserve">-3.687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-0.006</w:t>
                  </w:r>
                </w:p>
              </w:tc>
              <w:tc>
                <w:tcPr/>
                <w:p>
                  <w:pPr>
                    <w:pStyle w:val="Compact"/>
                    <w:jc w:val="right"/>
                    <w:jc w:val="center"/>
                  </w:pPr>
                  <w:r>
                    <w:t xml:space="preserve">0.002</w:t>
                  </w:r>
                </w:p>
              </w:tc>
              <w:tc>
                <w:tcPr/>
                <w:p>
                  <w:pPr>
                    <w:pStyle w:val="Compact"/>
                    <w:jc w:val="right"/>
                    <w:jc w:val="center"/>
                  </w:pPr>
                  <w:r>
                    <w:t xml:space="preserve">-3.144</w:t>
                  </w:r>
                </w:p>
              </w:tc>
              <w:tc>
                <w:tcPr/>
                <w:p>
                  <w:pPr>
                    <w:pStyle w:val="Compact"/>
                    <w:jc w:val="right"/>
                    <w:jc w:val="center"/>
                  </w:pPr>
                  <w:r>
                    <w:t xml:space="preserve">0.002</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-0.008</w:t>
                  </w:r>
                </w:p>
              </w:tc>
              <w:tc>
                <w:tcPr/>
                <w:p>
                  <w:pPr>
                    <w:pStyle w:val="Compact"/>
                    <w:jc w:val="right"/>
                    <w:jc w:val="center"/>
                  </w:pPr>
                  <w:r>
                    <w:t xml:space="preserve">0.002</w:t>
                  </w:r>
                </w:p>
              </w:tc>
              <w:tc>
                <w:tcPr/>
                <w:p>
                  <w:pPr>
                    <w:pStyle w:val="Compact"/>
                    <w:jc w:val="right"/>
                    <w:jc w:val="center"/>
                  </w:pPr>
                  <w:r>
                    <w:t xml:space="preserve">-4.003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0.021</w:t>
                  </w:r>
                </w:p>
              </w:tc>
              <w:tc>
                <w:tcPr/>
                <w:p>
                  <w:pPr>
                    <w:pStyle w:val="Compact"/>
                    <w:jc w:val="right"/>
                    <w:jc w:val="center"/>
                  </w:pPr>
                  <w:r>
                    <w:t xml:space="preserve">0.007</w:t>
                  </w:r>
                </w:p>
              </w:tc>
              <w:tc>
                <w:tcPr/>
                <w:p>
                  <w:pPr>
                    <w:pStyle w:val="Compact"/>
                    <w:jc w:val="right"/>
                    <w:jc w:val="center"/>
                  </w:pPr>
                  <w:r>
                    <w:t xml:space="preserve">2.967</w:t>
                  </w:r>
                </w:p>
              </w:tc>
              <w:tc>
                <w:tcPr/>
                <w:p>
                  <w:pPr>
                    <w:pStyle w:val="Compact"/>
                    <w:jc w:val="right"/>
                    <w:jc w:val="center"/>
                  </w:pPr>
                  <w:r>
                    <w:t xml:space="preserve">0.003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0.014</w:t>
                  </w:r>
                </w:p>
              </w:tc>
              <w:tc>
                <w:tcPr/>
                <w:p>
                  <w:pPr>
                    <w:pStyle w:val="Compact"/>
                    <w:jc w:val="right"/>
                    <w:jc w:val="center"/>
                  </w:pPr>
                  <w:r>
                    <w:t xml:space="preserve">0.007</w:t>
                  </w:r>
                </w:p>
              </w:tc>
              <w:tc>
                <w:tcPr/>
                <w:p>
                  <w:pPr>
                    <w:pStyle w:val="Compact"/>
                    <w:jc w:val="right"/>
                    <w:jc w:val="center"/>
                  </w:pPr>
                  <w:r>
                    <w:t xml:space="preserve">1.888</w:t>
                  </w:r>
                </w:p>
              </w:tc>
              <w:tc>
                <w:tcPr/>
                <w:p>
                  <w:pPr>
                    <w:pStyle w:val="Compact"/>
                    <w:jc w:val="right"/>
                    <w:jc w:val="center"/>
                  </w:pPr>
                  <w:r>
                    <w:t xml:space="preserve">0.059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0.017</w:t>
                  </w:r>
                </w:p>
              </w:tc>
              <w:tc>
                <w:tcPr/>
                <w:p>
                  <w:pPr>
                    <w:pStyle w:val="Compact"/>
                    <w:jc w:val="right"/>
                    <w:jc w:val="center"/>
                  </w:pPr>
                  <w:r>
                    <w:t xml:space="preserve">0.007</w:t>
                  </w:r>
                </w:p>
              </w:tc>
              <w:tc>
                <w:tcPr/>
                <w:p>
                  <w:pPr>
                    <w:pStyle w:val="Compact"/>
                    <w:jc w:val="right"/>
                    <w:jc w:val="center"/>
                  </w:pPr>
                  <w:r>
                    <w:t xml:space="preserve">2.382</w:t>
                  </w:r>
                </w:p>
              </w:tc>
              <w:tc>
                <w:tcPr/>
                <w:p>
                  <w:pPr>
                    <w:pStyle w:val="Compact"/>
                    <w:jc w:val="right"/>
                    <w:jc w:val="center"/>
                  </w:pPr>
                  <w:r>
                    <w:t xml:space="preserve">0.017</w:t>
                  </w:r>
                </w:p>
              </w:tc>
            </w:tr>
          </w:tbl>
          <w:bookmarkEnd w:id="5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3</w:t>
        </w:r>
      </w:hyperlink>
      <w:r>
        <w:t xml:space="preserve">, the expected attendance nearly doubles (i.e., is multiplied by</w:t>
      </w:r>
      <w:r>
        <w:t xml:space="preserve"> </w:t>
      </w:r>
      <m:oMath>
        <m:r>
          <m:rPr>
            <m:sty m:val="p"/>
          </m:rPr>
          <m:t>exp</m:t>
        </m:r>
        <m:r>
          <m:rPr>
            <m:sty m:val="p"/>
          </m:rPr>
          <m:t>(</m:t>
        </m:r>
        <m:r>
          <m:t>0.653</m:t>
        </m:r>
        <m:r>
          <m:rPr>
            <m:sty m:val="p"/>
          </m:rPr>
          <m:t>)</m:t>
        </m:r>
      </m:oMath>
      <w:r>
        <w:t xml:space="preserve"> </w:t>
      </w:r>
      <w:r>
        <w:t xml:space="preserve">= 1.92)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p>
    <w:p>
      <w:pPr>
        <w:pStyle w:val="BodyText"/>
      </w:pPr>
      <w:r>
        <w:t xml:space="preserve">Conversely, the evidence for the quality of play and uncertainty of outcome hypotheses is weak, with those coefficients barely moving the needle.</w:t>
      </w:r>
      <w:r>
        <w:t xml:space="preserve"> </w:t>
      </w:r>
      <w:r>
        <w:t xml:space="preserve">A 10 percentage point increase in the probability of the home team winning is associated with a modest 4.31% increase in the expected attendance, after controlling for our other factors.</w:t>
      </w:r>
    </w:p>
    <w:tbl>
      <w:tblPr>
        <w:tblStyle w:val="Table"/>
        <w:tblW w:type="pct" w:w="5000"/>
        <w:tblLayout w:type="fixed"/>
        <w:tblLook w:firstRow="0" w:lastRow="0" w:firstColumn="0" w:lastColumn="0" w:noHBand="0" w:noVBand="0" w:val="0000"/>
      </w:tblPr>
      <w:tblGrid>
        <w:gridCol w:w="7920"/>
      </w:tblGrid>
      <w:tr>
        <w:tc>
          <w:tcPr/>
          <w:bookmarkStart w:id="51" w:name="tbl-anova"/>
          <w:p>
            <w:pPr>
              <w:jc w:val="center"/>
            </w:pPr>
            <w:pPr>
              <w:jc w:val="left"/>
              <w:spacing w:before="200"/>
              <w:pStyle w:val="ImageCaption"/>
            </w:pPr>
            <w:r>
              <w:t xml:space="preserve">Table 4: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65"/>
              <w:gridCol w:w="3960"/>
              <w:gridCol w:w="282"/>
              <w:gridCol w:w="754"/>
              <w:gridCol w:w="660"/>
              <w:gridCol w:w="942"/>
              <w:gridCol w:w="75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10.851</w:t>
                  </w:r>
                </w:p>
              </w:tc>
              <w:tc>
                <w:tcPr/>
                <w:p>
                  <w:pPr>
                    <w:pStyle w:val="Compact"/>
                    <w:jc w:val="right"/>
                    <w:jc w:val="center"/>
                  </w:pPr>
                  <w:r>
                    <w:t xml:space="preserve">10.851</w:t>
                  </w:r>
                </w:p>
              </w:tc>
              <w:tc>
                <w:tcPr/>
                <w:p>
                  <w:pPr>
                    <w:pStyle w:val="Compact"/>
                    <w:jc w:val="right"/>
                    <w:jc w:val="center"/>
                  </w:pPr>
                  <w:r>
                    <w:t xml:space="preserve">99.987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40.473</w:t>
                  </w:r>
                </w:p>
              </w:tc>
              <w:tc>
                <w:tcPr/>
                <w:p>
                  <w:pPr>
                    <w:pStyle w:val="Compact"/>
                    <w:jc w:val="right"/>
                    <w:jc w:val="center"/>
                  </w:pPr>
                  <w:r>
                    <w:t xml:space="preserve">40.473</w:t>
                  </w:r>
                </w:p>
              </w:tc>
              <w:tc>
                <w:tcPr/>
                <w:p>
                  <w:pPr>
                    <w:pStyle w:val="Compact"/>
                    <w:jc w:val="right"/>
                    <w:jc w:val="center"/>
                  </w:pPr>
                  <w:r>
                    <w:t xml:space="preserve">401.255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39.923</w:t>
                  </w:r>
                </w:p>
              </w:tc>
              <w:tc>
                <w:tcPr/>
                <w:p>
                  <w:pPr>
                    <w:pStyle w:val="Compact"/>
                    <w:jc w:val="right"/>
                    <w:jc w:val="center"/>
                  </w:pPr>
                  <w:r>
                    <w:t xml:space="preserve">39.923</w:t>
                  </w:r>
                </w:p>
              </w:tc>
              <w:tc>
                <w:tcPr/>
                <w:p>
                  <w:pPr>
                    <w:pStyle w:val="Compact"/>
                    <w:jc w:val="right"/>
                    <w:jc w:val="center"/>
                  </w:pPr>
                  <w:r>
                    <w:t xml:space="preserve">395.845</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22.763</w:t>
                  </w:r>
                </w:p>
              </w:tc>
              <w:tc>
                <w:tcPr/>
                <w:p>
                  <w:pPr>
                    <w:pStyle w:val="Compact"/>
                    <w:jc w:val="right"/>
                    <w:jc w:val="center"/>
                  </w:pPr>
                  <w:r>
                    <w:t xml:space="preserve">22.763</w:t>
                  </w:r>
                </w:p>
              </w:tc>
              <w:tc>
                <w:tcPr/>
                <w:p>
                  <w:pPr>
                    <w:pStyle w:val="Compact"/>
                    <w:jc w:val="right"/>
                    <w:jc w:val="center"/>
                  </w:pPr>
                  <w:r>
                    <w:t xml:space="preserve">225.675</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21.472</w:t>
                  </w:r>
                </w:p>
              </w:tc>
              <w:tc>
                <w:tcPr/>
                <w:p>
                  <w:pPr>
                    <w:pStyle w:val="Compact"/>
                    <w:jc w:val="right"/>
                    <w:jc w:val="center"/>
                  </w:pPr>
                  <w:r>
                    <w:t xml:space="preserve">21.472</w:t>
                  </w:r>
                </w:p>
              </w:tc>
              <w:tc>
                <w:tcPr/>
                <w:p>
                  <w:pPr>
                    <w:pStyle w:val="Compact"/>
                    <w:jc w:val="right"/>
                    <w:jc w:val="center"/>
                  </w:pPr>
                  <w:r>
                    <w:t xml:space="preserve">197.854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19.936</w:t>
                  </w:r>
                </w:p>
              </w:tc>
              <w:tc>
                <w:tcPr/>
                <w:p>
                  <w:pPr>
                    <w:pStyle w:val="Compact"/>
                    <w:jc w:val="right"/>
                    <w:jc w:val="center"/>
                  </w:pPr>
                  <w:r>
                    <w:t xml:space="preserve">19.936</w:t>
                  </w:r>
                </w:p>
              </w:tc>
              <w:tc>
                <w:tcPr/>
                <w:p>
                  <w:pPr>
                    <w:pStyle w:val="Compact"/>
                    <w:jc w:val="right"/>
                    <w:jc w:val="center"/>
                  </w:pPr>
                  <w:r>
                    <w:t xml:space="preserve">197.668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1.502</w:t>
                  </w:r>
                </w:p>
              </w:tc>
              <w:tc>
                <w:tcPr/>
                <w:p>
                  <w:pPr>
                    <w:pStyle w:val="Compact"/>
                    <w:jc w:val="right"/>
                    <w:jc w:val="center"/>
                  </w:pPr>
                  <w:r>
                    <w:t xml:space="preserve">1.502</w:t>
                  </w:r>
                </w:p>
              </w:tc>
              <w:tc>
                <w:tcPr/>
                <w:p>
                  <w:pPr>
                    <w:pStyle w:val="Compact"/>
                    <w:jc w:val="right"/>
                    <w:jc w:val="center"/>
                  </w:pPr>
                  <w:r>
                    <w:t xml:space="preserve">14.890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1.307</w:t>
                  </w:r>
                </w:p>
              </w:tc>
              <w:tc>
                <w:tcPr/>
                <w:p>
                  <w:pPr>
                    <w:pStyle w:val="Compact"/>
                    <w:jc w:val="right"/>
                    <w:jc w:val="center"/>
                  </w:pPr>
                  <w:r>
                    <w:t xml:space="preserve">1.307</w:t>
                  </w:r>
                </w:p>
              </w:tc>
              <w:tc>
                <w:tcPr/>
                <w:p>
                  <w:pPr>
                    <w:pStyle w:val="Compact"/>
                    <w:jc w:val="right"/>
                    <w:jc w:val="center"/>
                  </w:pPr>
                  <w:r>
                    <w:t xml:space="preserve">12.039</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1.629</w:t>
                  </w:r>
                </w:p>
              </w:tc>
              <w:tc>
                <w:tcPr/>
                <w:p>
                  <w:pPr>
                    <w:pStyle w:val="Compact"/>
                    <w:jc w:val="right"/>
                    <w:jc w:val="center"/>
                  </w:pPr>
                  <w:r>
                    <w:t xml:space="preserve">1.629</w:t>
                  </w:r>
                </w:p>
              </w:tc>
              <w:tc>
                <w:tcPr/>
                <w:p>
                  <w:pPr>
                    <w:pStyle w:val="Compact"/>
                    <w:jc w:val="right"/>
                    <w:jc w:val="center"/>
                  </w:pPr>
                  <w:r>
                    <w:t xml:space="preserve">16.153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0.278</w:t>
                  </w:r>
                </w:p>
              </w:tc>
              <w:tc>
                <w:tcPr/>
                <w:p>
                  <w:pPr>
                    <w:pStyle w:val="Compact"/>
                    <w:jc w:val="right"/>
                    <w:jc w:val="center"/>
                  </w:pPr>
                  <w:r>
                    <w:t xml:space="preserve">0.278</w:t>
                  </w:r>
                </w:p>
              </w:tc>
              <w:tc>
                <w:tcPr/>
                <w:p>
                  <w:pPr>
                    <w:pStyle w:val="Compact"/>
                    <w:jc w:val="right"/>
                    <w:jc w:val="center"/>
                  </w:pPr>
                  <w:r>
                    <w:t xml:space="preserve">2.759</w:t>
                  </w:r>
                </w:p>
              </w:tc>
              <w:tc>
                <w:tcPr/>
                <w:p>
                  <w:pPr>
                    <w:pStyle w:val="Compact"/>
                    <w:jc w:val="right"/>
                    <w:jc w:val="center"/>
                  </w:pPr>
                  <w:r>
                    <w:t xml:space="preserve">0.097</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0.322</w:t>
                  </w:r>
                </w:p>
              </w:tc>
              <w:tc>
                <w:tcPr/>
                <w:p>
                  <w:pPr>
                    <w:pStyle w:val="Compact"/>
                    <w:jc w:val="right"/>
                    <w:jc w:val="center"/>
                  </w:pPr>
                  <w:r>
                    <w:t xml:space="preserve">2.964</w:t>
                  </w:r>
                </w:p>
              </w:tc>
              <w:tc>
                <w:tcPr/>
                <w:p>
                  <w:pPr>
                    <w:pStyle w:val="Compact"/>
                    <w:jc w:val="right"/>
                    <w:jc w:val="center"/>
                  </w:pPr>
                  <w:r>
                    <w:t xml:space="preserve">0.085</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0.154</w:t>
                  </w:r>
                </w:p>
              </w:tc>
              <w:tc>
                <w:tcPr/>
                <w:p>
                  <w:pPr>
                    <w:pStyle w:val="Compact"/>
                    <w:jc w:val="right"/>
                    <w:jc w:val="center"/>
                  </w:pPr>
                  <w:r>
                    <w:t xml:space="preserve">0.154</w:t>
                  </w:r>
                </w:p>
              </w:tc>
              <w:tc>
                <w:tcPr/>
                <w:p>
                  <w:pPr>
                    <w:pStyle w:val="Compact"/>
                    <w:jc w:val="right"/>
                    <w:jc w:val="center"/>
                  </w:pPr>
                  <w:r>
                    <w:t xml:space="preserve">1.528</w:t>
                  </w:r>
                </w:p>
              </w:tc>
              <w:tc>
                <w:tcPr/>
                <w:p>
                  <w:pPr>
                    <w:pStyle w:val="Compact"/>
                    <w:jc w:val="right"/>
                    <w:jc w:val="center"/>
                  </w:pPr>
                  <w:r>
                    <w:t xml:space="preserve">0.216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12.644</w:t>
                  </w:r>
                </w:p>
              </w:tc>
              <w:tc>
                <w:tcPr/>
                <w:p>
                  <w:pPr>
                    <w:pStyle w:val="Compact"/>
                    <w:jc w:val="right"/>
                    <w:jc w:val="center"/>
                  </w:pPr>
                  <w:r>
                    <w:t xml:space="preserve">3.161</w:t>
                  </w:r>
                </w:p>
              </w:tc>
              <w:tc>
                <w:tcPr/>
                <w:p>
                  <w:pPr>
                    <w:pStyle w:val="Compact"/>
                    <w:jc w:val="right"/>
                    <w:jc w:val="center"/>
                  </w:pPr>
                  <w:r>
                    <w:t xml:space="preserve">31.339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12.434</w:t>
                  </w:r>
                </w:p>
              </w:tc>
              <w:tc>
                <w:tcPr/>
                <w:p>
                  <w:pPr>
                    <w:pStyle w:val="Compact"/>
                    <w:jc w:val="right"/>
                    <w:jc w:val="center"/>
                  </w:pPr>
                  <w:r>
                    <w:t xml:space="preserve">3.109</w:t>
                  </w:r>
                </w:p>
              </w:tc>
              <w:tc>
                <w:tcPr/>
                <w:p>
                  <w:pPr>
                    <w:pStyle w:val="Compact"/>
                    <w:jc w:val="right"/>
                    <w:jc w:val="center"/>
                  </w:pPr>
                  <w:r>
                    <w:t xml:space="preserve">28.645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11.842</w:t>
                  </w:r>
                </w:p>
              </w:tc>
              <w:tc>
                <w:tcPr/>
                <w:p>
                  <w:pPr>
                    <w:pStyle w:val="Compact"/>
                    <w:jc w:val="right"/>
                    <w:jc w:val="center"/>
                  </w:pPr>
                  <w:r>
                    <w:t xml:space="preserve">2.960</w:t>
                  </w:r>
                </w:p>
              </w:tc>
              <w:tc>
                <w:tcPr/>
                <w:p>
                  <w:pPr>
                    <w:pStyle w:val="Compact"/>
                    <w:jc w:val="right"/>
                    <w:jc w:val="center"/>
                  </w:pPr>
                  <w:r>
                    <w:t xml:space="preserve">29.354</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14.323</w:t>
                  </w:r>
                </w:p>
              </w:tc>
              <w:tc>
                <w:tcPr/>
                <w:p>
                  <w:pPr>
                    <w:pStyle w:val="Compact"/>
                    <w:jc w:val="right"/>
                    <w:jc w:val="center"/>
                  </w:pPr>
                  <w:r>
                    <w:t xml:space="preserve">2.387</w:t>
                  </w:r>
                </w:p>
              </w:tc>
              <w:tc>
                <w:tcPr/>
                <w:p>
                  <w:pPr>
                    <w:pStyle w:val="Compact"/>
                    <w:jc w:val="right"/>
                    <w:jc w:val="center"/>
                  </w:pPr>
                  <w:r>
                    <w:t xml:space="preserve">23.667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15.293</w:t>
                  </w:r>
                </w:p>
              </w:tc>
              <w:tc>
                <w:tcPr/>
                <w:p>
                  <w:pPr>
                    <w:pStyle w:val="Compact"/>
                    <w:jc w:val="right"/>
                    <w:jc w:val="center"/>
                  </w:pPr>
                  <w:r>
                    <w:t xml:space="preserve">2.549</w:t>
                  </w:r>
                </w:p>
              </w:tc>
              <w:tc>
                <w:tcPr/>
                <w:p>
                  <w:pPr>
                    <w:pStyle w:val="Compact"/>
                    <w:jc w:val="right"/>
                    <w:jc w:val="center"/>
                  </w:pPr>
                  <w:r>
                    <w:t xml:space="preserve">23.487</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14.704</w:t>
                  </w:r>
                </w:p>
              </w:tc>
              <w:tc>
                <w:tcPr/>
                <w:p>
                  <w:pPr>
                    <w:pStyle w:val="Compact"/>
                    <w:jc w:val="right"/>
                    <w:jc w:val="center"/>
                  </w:pPr>
                  <w:r>
                    <w:t xml:space="preserve">2.451</w:t>
                  </w:r>
                </w:p>
              </w:tc>
              <w:tc>
                <w:tcPr/>
                <w:p>
                  <w:pPr>
                    <w:pStyle w:val="Compact"/>
                    <w:jc w:val="right"/>
                    <w:jc w:val="center"/>
                  </w:pPr>
                  <w:r>
                    <w:t xml:space="preserve">24.300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117.498</w:t>
                  </w:r>
                </w:p>
              </w:tc>
              <w:tc>
                <w:tcPr/>
                <w:p>
                  <w:pPr>
                    <w:pStyle w:val="Compact"/>
                    <w:jc w:val="right"/>
                    <w:jc w:val="center"/>
                  </w:pPr>
                  <w:r>
                    <w:t xml:space="preserve">9.791</w:t>
                  </w:r>
                </w:p>
              </w:tc>
              <w:tc>
                <w:tcPr/>
                <w:p>
                  <w:pPr>
                    <w:pStyle w:val="Compact"/>
                    <w:jc w:val="right"/>
                    <w:jc w:val="center"/>
                  </w:pPr>
                  <w:r>
                    <w:t xml:space="preserve">97.074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132.317</w:t>
                  </w:r>
                </w:p>
              </w:tc>
              <w:tc>
                <w:tcPr/>
                <w:p>
                  <w:pPr>
                    <w:pStyle w:val="Compact"/>
                    <w:jc w:val="right"/>
                    <w:jc w:val="center"/>
                  </w:pPr>
                  <w:r>
                    <w:t xml:space="preserve">11.026</w:t>
                  </w:r>
                </w:p>
              </w:tc>
              <w:tc>
                <w:tcPr/>
                <w:p>
                  <w:pPr>
                    <w:pStyle w:val="Compact"/>
                    <w:jc w:val="right"/>
                    <w:jc w:val="center"/>
                  </w:pPr>
                  <w:r>
                    <w:t xml:space="preserve">101.605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122.443</w:t>
                  </w:r>
                </w:p>
              </w:tc>
              <w:tc>
                <w:tcPr/>
                <w:p>
                  <w:pPr>
                    <w:pStyle w:val="Compact"/>
                    <w:jc w:val="right"/>
                    <w:jc w:val="center"/>
                  </w:pPr>
                  <w:r>
                    <w:t xml:space="preserve">10.204</w:t>
                  </w:r>
                </w:p>
              </w:tc>
              <w:tc>
                <w:tcPr/>
                <w:p>
                  <w:pPr>
                    <w:pStyle w:val="Compact"/>
                    <w:jc w:val="right"/>
                    <w:jc w:val="center"/>
                  </w:pPr>
                  <w:r>
                    <w:t xml:space="preserve">101.171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6.526</w:t>
                  </w:r>
                </w:p>
              </w:tc>
              <w:tc>
                <w:tcPr/>
                <w:p>
                  <w:pPr>
                    <w:pStyle w:val="Compact"/>
                    <w:jc w:val="right"/>
                    <w:jc w:val="center"/>
                  </w:pPr>
                  <w:r>
                    <w:t xml:space="preserve">0.251</w:t>
                  </w:r>
                </w:p>
              </w:tc>
              <w:tc>
                <w:tcPr/>
                <w:p>
                  <w:pPr>
                    <w:pStyle w:val="Compact"/>
                    <w:jc w:val="right"/>
                    <w:jc w:val="center"/>
                  </w:pPr>
                  <w:r>
                    <w:t xml:space="preserve">2.313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27.457</w:t>
                  </w:r>
                </w:p>
              </w:tc>
              <w:tc>
                <w:tcPr/>
                <w:p>
                  <w:pPr>
                    <w:pStyle w:val="Compact"/>
                    <w:jc w:val="right"/>
                    <w:jc w:val="center"/>
                  </w:pPr>
                  <w:r>
                    <w:t xml:space="preserve">1.056</w:t>
                  </w:r>
                </w:p>
              </w:tc>
              <w:tc>
                <w:tcPr/>
                <w:p>
                  <w:pPr>
                    <w:pStyle w:val="Compact"/>
                    <w:jc w:val="right"/>
                    <w:jc w:val="center"/>
                  </w:pPr>
                  <w:r>
                    <w:t xml:space="preserve">10.470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31.440</w:t>
                  </w:r>
                </w:p>
              </w:tc>
              <w:tc>
                <w:tcPr/>
                <w:p>
                  <w:pPr>
                    <w:pStyle w:val="Compact"/>
                    <w:jc w:val="right"/>
                    <w:jc w:val="center"/>
                  </w:pPr>
                  <w:r>
                    <w:t xml:space="preserve">1.209</w:t>
                  </w:r>
                </w:p>
              </w:tc>
              <w:tc>
                <w:tcPr/>
                <w:p>
                  <w:pPr>
                    <w:pStyle w:val="Compact"/>
                    <w:jc w:val="right"/>
                    <w:jc w:val="center"/>
                  </w:pPr>
                  <w:r>
                    <w:t xml:space="preserve">11.990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152.181</w:t>
                  </w:r>
                </w:p>
              </w:tc>
              <w:tc>
                <w:tcPr/>
                <w:p>
                  <w:pPr>
                    <w:pStyle w:val="Compact"/>
                    <w:jc w:val="right"/>
                    <w:jc w:val="center"/>
                  </w:pPr>
                  <w:r>
                    <w:t xml:space="preserve">5.853</w:t>
                  </w:r>
                </w:p>
              </w:tc>
              <w:tc>
                <w:tcPr/>
                <w:p>
                  <w:pPr>
                    <w:pStyle w:val="Compact"/>
                    <w:jc w:val="right"/>
                    <w:jc w:val="center"/>
                  </w:pPr>
                  <w:r>
                    <w:t xml:space="preserve">58.029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150.433</w:t>
                  </w:r>
                </w:p>
              </w:tc>
              <w:tc>
                <w:tcPr/>
                <w:p>
                  <w:pPr>
                    <w:pStyle w:val="Compact"/>
                    <w:jc w:val="right"/>
                    <w:jc w:val="center"/>
                  </w:pPr>
                  <w:r>
                    <w:t xml:space="preserve">5.786</w:t>
                  </w:r>
                </w:p>
              </w:tc>
              <w:tc>
                <w:tcPr/>
                <w:p>
                  <w:pPr>
                    <w:pStyle w:val="Compact"/>
                    <w:jc w:val="right"/>
                    <w:jc w:val="center"/>
                  </w:pPr>
                  <w:r>
                    <w:t xml:space="preserve">53.315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147.101</w:t>
                  </w:r>
                </w:p>
              </w:tc>
              <w:tc>
                <w:tcPr/>
                <w:p>
                  <w:pPr>
                    <w:pStyle w:val="Compact"/>
                    <w:jc w:val="right"/>
                    <w:jc w:val="center"/>
                  </w:pPr>
                  <w:r>
                    <w:t xml:space="preserve">5.658</w:t>
                  </w:r>
                </w:p>
              </w:tc>
              <w:tc>
                <w:tcPr/>
                <w:p>
                  <w:pPr>
                    <w:pStyle w:val="Compact"/>
                    <w:jc w:val="right"/>
                    <w:jc w:val="center"/>
                  </w:pPr>
                  <w:r>
                    <w:t xml:space="preserve">56.098</w:t>
                  </w:r>
                </w:p>
              </w:tc>
              <w:tc>
                <w:tcPr/>
                <w:p>
                  <w:pPr>
                    <w:pStyle w:val="Compact"/>
                    <w:jc w:val="right"/>
                    <w:jc w:val="center"/>
                  </w:pPr>
                  <w:r>
                    <w:t xml:space="preserve">0.000</w:t>
                  </w:r>
                </w:p>
              </w:tc>
            </w:tr>
          </w:tbl>
          <w:bookmarkEnd w:id="5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
        <w:r>
          <w:rPr>
            <w:rStyle w:val="Hyperlink"/>
          </w:rPr>
          <w:t xml:space="preserve">Table 5</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52" w:name="tbl-glance"/>
          <w:p>
            <w:pPr>
              <w:jc w:val="center"/>
            </w:pPr>
            <w:pPr>
              <w:jc w:val="left"/>
              <w:spacing w:before="200"/>
              <w:pStyle w:val="ImageCaption"/>
            </w:pPr>
            <w:r>
              <w:t xml:space="preserve">Table 5: Comparison of models.</w:t>
            </w:r>
          </w:p>
          <w:tbl>
            <w:tblPr>
              <w:tblStyle w:val="Table"/>
              <w:tblW w:type="pct" w:w="5000"/>
              <w:tblLayout w:type="fixed"/>
              <w:tblLook w:firstRow="1" w:lastRow="0" w:firstColumn="0" w:lastColumn="0" w:noHBand="0" w:noVBand="0" w:val="0020"/>
            </w:tblPr>
            <w:tblGrid>
              <w:gridCol w:w="428"/>
              <w:gridCol w:w="713"/>
              <w:gridCol w:w="998"/>
              <w:gridCol w:w="428"/>
              <w:gridCol w:w="713"/>
              <w:gridCol w:w="570"/>
              <w:gridCol w:w="214"/>
              <w:gridCol w:w="713"/>
              <w:gridCol w:w="642"/>
              <w:gridCol w:w="642"/>
              <w:gridCol w:w="642"/>
              <w:gridCol w:w="856"/>
              <w:gridCol w:w="35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0.436</w:t>
                  </w:r>
                </w:p>
              </w:tc>
              <w:tc>
                <w:tcPr/>
                <w:p>
                  <w:pPr>
                    <w:pStyle w:val="Compact"/>
                    <w:jc w:val="right"/>
                    <w:jc w:val="center"/>
                  </w:pPr>
                  <w:r>
                    <w:t xml:space="preserve">0.427</w:t>
                  </w:r>
                </w:p>
              </w:tc>
              <w:tc>
                <w:tcPr/>
                <w:p>
                  <w:pPr>
                    <w:pStyle w:val="Compact"/>
                    <w:jc w:val="right"/>
                    <w:jc w:val="center"/>
                  </w:pPr>
                  <w:r>
                    <w:t xml:space="preserve">0.318</w:t>
                  </w:r>
                </w:p>
              </w:tc>
              <w:tc>
                <w:tcPr/>
                <w:p>
                  <w:pPr>
                    <w:pStyle w:val="Compact"/>
                    <w:jc w:val="right"/>
                    <w:jc w:val="center"/>
                  </w:pPr>
                  <w:r>
                    <w:t xml:space="preserve">49.459</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-1337.102</w:t>
                  </w:r>
                </w:p>
              </w:tc>
              <w:tc>
                <w:tcPr/>
                <w:p>
                  <w:pPr>
                    <w:pStyle w:val="Compact"/>
                    <w:jc w:val="right"/>
                    <w:jc w:val="center"/>
                  </w:pPr>
                  <w:r>
                    <w:t xml:space="preserve">2834.204</w:t>
                  </w:r>
                </w:p>
              </w:tc>
              <w:tc>
                <w:tcPr/>
                <w:p>
                  <w:pPr>
                    <w:pStyle w:val="Compact"/>
                    <w:jc w:val="right"/>
                    <w:jc w:val="center"/>
                  </w:pPr>
                  <w:r>
                    <w:t xml:space="preserve">3356.582</w:t>
                  </w:r>
                </w:p>
              </w:tc>
              <w:tc>
                <w:tcPr/>
                <w:p>
                  <w:pPr>
                    <w:pStyle w:val="Compact"/>
                    <w:jc w:val="right"/>
                    <w:jc w:val="center"/>
                  </w:pPr>
                  <w:r>
                    <w:t xml:space="preserve">502.715</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0.394</w:t>
                  </w:r>
                </w:p>
              </w:tc>
              <w:tc>
                <w:tcPr/>
                <w:p>
                  <w:pPr>
                    <w:pStyle w:val="Compact"/>
                    <w:jc w:val="right"/>
                    <w:jc w:val="center"/>
                  </w:pPr>
                  <w:r>
                    <w:t xml:space="preserve">0.384</w:t>
                  </w:r>
                </w:p>
              </w:tc>
              <w:tc>
                <w:tcPr/>
                <w:p>
                  <w:pPr>
                    <w:pStyle w:val="Compact"/>
                    <w:jc w:val="right"/>
                    <w:jc w:val="center"/>
                  </w:pPr>
                  <w:r>
                    <w:t xml:space="preserve">0.329</w:t>
                  </w:r>
                </w:p>
              </w:tc>
              <w:tc>
                <w:tcPr/>
                <w:p>
                  <w:pPr>
                    <w:pStyle w:val="Compact"/>
                    <w:jc w:val="right"/>
                    <w:jc w:val="center"/>
                  </w:pPr>
                  <w:r>
                    <w:t xml:space="preserve">41.460</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-1522.340</w:t>
                  </w:r>
                </w:p>
              </w:tc>
              <w:tc>
                <w:tcPr/>
                <w:p>
                  <w:pPr>
                    <w:pStyle w:val="Compact"/>
                    <w:jc w:val="right"/>
                    <w:jc w:val="center"/>
                  </w:pPr>
                  <w:r>
                    <w:t xml:space="preserve">3204.680</w:t>
                  </w:r>
                </w:p>
              </w:tc>
              <w:tc>
                <w:tcPr/>
                <w:p>
                  <w:pPr>
                    <w:pStyle w:val="Compact"/>
                    <w:jc w:val="right"/>
                    <w:jc w:val="center"/>
                  </w:pPr>
                  <w:r>
                    <w:t xml:space="preserve">3727.057</w:t>
                  </w:r>
                </w:p>
              </w:tc>
              <w:tc>
                <w:tcPr/>
                <w:p>
                  <w:pPr>
                    <w:pStyle w:val="Compact"/>
                    <w:jc w:val="right"/>
                    <w:jc w:val="center"/>
                  </w:pPr>
                  <w:r>
                    <w:t xml:space="preserve">540.879</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0.436</w:t>
                  </w:r>
                </w:p>
              </w:tc>
              <w:tc>
                <w:tcPr/>
                <w:p>
                  <w:pPr>
                    <w:pStyle w:val="Compact"/>
                    <w:jc w:val="right"/>
                    <w:jc w:val="center"/>
                  </w:pPr>
                  <w:r>
                    <w:t xml:space="preserve">0.428</w:t>
                  </w:r>
                </w:p>
              </w:tc>
              <w:tc>
                <w:tcPr/>
                <w:p>
                  <w:pPr>
                    <w:pStyle w:val="Compact"/>
                    <w:jc w:val="right"/>
                    <w:jc w:val="center"/>
                  </w:pPr>
                  <w:r>
                    <w:t xml:space="preserve">0.318</w:t>
                  </w:r>
                </w:p>
              </w:tc>
              <w:tc>
                <w:tcPr/>
                <w:p>
                  <w:pPr>
                    <w:pStyle w:val="Compact"/>
                    <w:jc w:val="right"/>
                    <w:jc w:val="center"/>
                  </w:pPr>
                  <w:r>
                    <w:t xml:space="preserve">49.471</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-1336.828</w:t>
                  </w:r>
                </w:p>
              </w:tc>
              <w:tc>
                <w:tcPr/>
                <w:p>
                  <w:pPr>
                    <w:pStyle w:val="Compact"/>
                    <w:jc w:val="right"/>
                    <w:jc w:val="center"/>
                  </w:pPr>
                  <w:r>
                    <w:t xml:space="preserve">2833.656</w:t>
                  </w:r>
                </w:p>
              </w:tc>
              <w:tc>
                <w:tcPr/>
                <w:p>
                  <w:pPr>
                    <w:pStyle w:val="Compact"/>
                    <w:jc w:val="right"/>
                    <w:jc w:val="center"/>
                  </w:pPr>
                  <w:r>
                    <w:t xml:space="preserve">3356.033</w:t>
                  </w:r>
                </w:p>
              </w:tc>
              <w:tc>
                <w:tcPr/>
                <w:p>
                  <w:pPr>
                    <w:pStyle w:val="Compact"/>
                    <w:jc w:val="right"/>
                    <w:jc w:val="center"/>
                  </w:pPr>
                  <w:r>
                    <w:t xml:space="preserve">502.660</w:t>
                  </w:r>
                </w:p>
              </w:tc>
              <w:tc>
                <w:tcPr/>
                <w:p>
                  <w:pPr>
                    <w:pStyle w:val="Compact"/>
                    <w:jc w:val="right"/>
                    <w:jc w:val="center"/>
                  </w:pPr>
                  <w:r>
                    <w:t xml:space="preserve">4984</w:t>
                  </w:r>
                </w:p>
              </w:tc>
              <w:tc>
                <w:tcPr/>
                <w:p>
                  <w:pPr>
                    <w:pStyle w:val="Compact"/>
                    <w:jc w:val="right"/>
                    <w:jc w:val="center"/>
                  </w:pPr>
                  <w:r>
                    <w:t xml:space="preserve">5063</w:t>
                  </w:r>
                </w:p>
              </w:tc>
            </w:tr>
          </w:tbl>
          <w:bookmarkEnd w:id="5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5</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57" w:name="cell-fig-season-coefs"/>
    <w:tbl>
      <w:tblPr>
        <w:tblStyle w:val="Table"/>
        <w:tblW w:type="pct" w:w="5000"/>
        <w:tblLayout w:type="fixed"/>
        <w:tblLook w:firstRow="0" w:lastRow="0" w:firstColumn="0" w:lastColumn="0" w:noHBand="0" w:noVBand="0" w:val="0000"/>
      </w:tblPr>
      <w:tblGrid>
        <w:gridCol w:w="7920"/>
      </w:tblGrid>
      <w:tr>
        <w:tc>
          <w:tcPr/>
          <w:bookmarkStart w:id="56" w:name="fig-season-coefs"/>
          <w:p>
            <w:pPr>
              <w:pStyle w:val="Compact"/>
              <w:jc w:val="center"/>
            </w:pPr>
            <w:r>
              <w:drawing>
                <wp:inline>
                  <wp:extent cx="4620126" cy="3696101"/>
                  <wp:effectExtent b="0" l="0" r="0" t="0"/>
                  <wp:docPr descr="" title="" id="54" name="Picture"/>
                  <a:graphic>
                    <a:graphicData uri="http://schemas.openxmlformats.org/drawingml/2006/picture">
                      <pic:pic>
                        <pic:nvPicPr>
                          <pic:cNvPr descr="index_files/figure-docx/fig-season-coefs-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Estimated season-level fixed effects for natural logarithm of attendance models.</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p>
      <w:pPr>
        <w:pStyle w:val="BodyText"/>
      </w:pPr>
      <w:hyperlink w:anchor="fig-season-slopes">
        <w:r>
          <w:rPr>
            <w:rStyle w:val="Hyperlink"/>
          </w:rPr>
          <w:t xml:space="preserve">Figure 6</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3</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62" w:name="cell-fig-season-slopes"/>
    <w:tbl>
      <w:tblPr>
        <w:tblStyle w:val="Table"/>
        <w:tblW w:type="pct" w:w="5000"/>
        <w:tblLayout w:type="fixed"/>
        <w:tblLook w:firstRow="0" w:lastRow="0" w:firstColumn="0" w:lastColumn="0" w:noHBand="0" w:noVBand="0" w:val="0000"/>
      </w:tblPr>
      <w:tblGrid>
        <w:gridCol w:w="7920"/>
      </w:tblGrid>
      <w:tr>
        <w:tc>
          <w:tcPr/>
          <w:bookmarkStart w:id="61" w:name="fig-season-slopes"/>
          <w:p>
            <w:pPr>
              <w:pStyle w:val="Compact"/>
              <w:jc w:val="center"/>
            </w:pPr>
            <w:r>
              <w:drawing>
                <wp:inline>
                  <wp:extent cx="4620126" cy="3696101"/>
                  <wp:effectExtent b="0" l="0" r="0" t="0"/>
                  <wp:docPr descr="" title="" id="59" name="Picture"/>
                  <a:graphic>
                    <a:graphicData uri="http://schemas.openxmlformats.org/drawingml/2006/picture">
                      <pic:pic>
                        <pic:nvPicPr>
                          <pic:cNvPr descr="index_files/figure-docx/fig-season-slopes-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Estimated season-level changes in slopes for natural logarithm of attendance models.</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Start w:id="77"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2">
        <w:r>
          <w:rPr>
            <w:rStyle w:val="Hyperlink"/>
          </w:rPr>
          <w:t xml:space="preserve">Table 6</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4" w:name="tbl-coefs2"/>
          <w:p>
            <w:pPr>
              <w:jc w:val="center"/>
            </w:pPr>
            <w:pPr>
              <w:jc w:val="left"/>
              <w:spacing w:before="200"/>
              <w:pStyle w:val="ImageCaption"/>
            </w:pPr>
            <w:r>
              <w:t xml:space="preserve">Table 6: Table of coefficients from percentage of arena capacity models.</w:t>
            </w:r>
          </w:p>
          <w:tbl>
            <w:tblPr>
              <w:tblStyle w:val="Table"/>
              <w:tblW w:type="pct" w:w="5000"/>
              <w:tblLayout w:type="fixed"/>
              <w:tblLook w:firstRow="1" w:lastRow="0" w:firstColumn="0" w:lastColumn="0" w:noHBand="0" w:noVBand="0" w:val="0020"/>
            </w:tblPr>
            <w:tblGrid>
              <w:gridCol w:w="660"/>
              <w:gridCol w:w="2640"/>
              <w:gridCol w:w="1210"/>
              <w:gridCol w:w="1100"/>
              <w:gridCol w:w="1210"/>
              <w:gridCol w:w="110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0.0420351</w:t>
                  </w:r>
                </w:p>
              </w:tc>
              <w:tc>
                <w:tcPr/>
                <w:p>
                  <w:pPr>
                    <w:pStyle w:val="Compact"/>
                    <w:jc w:val="right"/>
                    <w:jc w:val="center"/>
                  </w:pPr>
                  <w:r>
                    <w:t xml:space="preserve">0.3060837</w:t>
                  </w:r>
                </w:p>
              </w:tc>
              <w:tc>
                <w:tcPr/>
                <w:p>
                  <w:pPr>
                    <w:pStyle w:val="Compact"/>
                    <w:jc w:val="right"/>
                    <w:jc w:val="center"/>
                  </w:pPr>
                  <w:r>
                    <w:t xml:space="preserve">0.1373320</w:t>
                  </w:r>
                </w:p>
              </w:tc>
              <w:tc>
                <w:tcPr/>
                <w:p>
                  <w:pPr>
                    <w:pStyle w:val="Compact"/>
                    <w:jc w:val="right"/>
                    <w:jc w:val="center"/>
                  </w:pPr>
                  <w:r>
                    <w:t xml:space="preserve">0.8907684</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0.0053038</w:t>
                  </w:r>
                </w:p>
              </w:tc>
              <w:tc>
                <w:tcPr/>
                <w:p>
                  <w:pPr>
                    <w:pStyle w:val="Compact"/>
                    <w:jc w:val="right"/>
                    <w:jc w:val="center"/>
                  </w:pPr>
                  <w:r>
                    <w:t xml:space="preserve">0.0012483</w:t>
                  </w:r>
                </w:p>
              </w:tc>
              <w:tc>
                <w:tcPr/>
                <w:p>
                  <w:pPr>
                    <w:pStyle w:val="Compact"/>
                    <w:jc w:val="right"/>
                    <w:jc w:val="center"/>
                  </w:pPr>
                  <w:r>
                    <w:t xml:space="preserve">4.2489239</w:t>
                  </w:r>
                </w:p>
              </w:tc>
              <w:tc>
                <w:tcPr/>
                <w:p>
                  <w:pPr>
                    <w:pStyle w:val="Compact"/>
                    <w:jc w:val="right"/>
                    <w:jc w:val="center"/>
                  </w:pPr>
                  <w:r>
                    <w:t xml:space="preserve">0.0000215</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0.0192855</w:t>
                  </w:r>
                </w:p>
              </w:tc>
              <w:tc>
                <w:tcPr/>
                <w:p>
                  <w:pPr>
                    <w:pStyle w:val="Compact"/>
                    <w:jc w:val="right"/>
                    <w:jc w:val="center"/>
                  </w:pPr>
                  <w:r>
                    <w:t xml:space="preserve">0.0046684</w:t>
                  </w:r>
                </w:p>
              </w:tc>
              <w:tc>
                <w:tcPr/>
                <w:p>
                  <w:pPr>
                    <w:pStyle w:val="Compact"/>
                    <w:jc w:val="right"/>
                    <w:jc w:val="center"/>
                  </w:pPr>
                  <w:r>
                    <w:t xml:space="preserve">4.1310605</w:t>
                  </w:r>
                </w:p>
              </w:tc>
              <w:tc>
                <w:tcPr/>
                <w:p>
                  <w:pPr>
                    <w:pStyle w:val="Compact"/>
                    <w:jc w:val="right"/>
                    <w:jc w:val="center"/>
                  </w:pPr>
                  <w:r>
                    <w:t xml:space="preserve">0.0000361</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-0.0975090</w:t>
                  </w:r>
                </w:p>
              </w:tc>
              <w:tc>
                <w:tcPr/>
                <w:p>
                  <w:pPr>
                    <w:pStyle w:val="Compact"/>
                    <w:jc w:val="right"/>
                    <w:jc w:val="center"/>
                  </w:pPr>
                  <w:r>
                    <w:t xml:space="preserve">0.0147117</w:t>
                  </w:r>
                </w:p>
              </w:tc>
              <w:tc>
                <w:tcPr/>
                <w:p>
                  <w:pPr>
                    <w:pStyle w:val="Compact"/>
                    <w:jc w:val="right"/>
                    <w:jc w:val="center"/>
                  </w:pPr>
                  <w:r>
                    <w:t xml:space="preserve">-6.6279729</w:t>
                  </w:r>
                </w:p>
              </w:tc>
              <w:tc>
                <w:tcPr/>
                <w:p>
                  <w:pPr>
                    <w:pStyle w:val="Compact"/>
                    <w:jc w:val="right"/>
                    <w:jc w:val="center"/>
                  </w:pPr>
                  <w:r>
                    <w:t xml:space="preserve">0.0000000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2.8268291</w:t>
                  </w:r>
                </w:p>
              </w:tc>
              <w:tc>
                <w:tcPr/>
                <w:p>
                  <w:pPr>
                    <w:pStyle w:val="Compact"/>
                    <w:jc w:val="right"/>
                    <w:jc w:val="center"/>
                  </w:pPr>
                  <w:r>
                    <w:t xml:space="preserve">0.2623045</w:t>
                  </w:r>
                </w:p>
              </w:tc>
              <w:tc>
                <w:tcPr/>
                <w:p>
                  <w:pPr>
                    <w:pStyle w:val="Compact"/>
                    <w:jc w:val="right"/>
                    <w:jc w:val="center"/>
                  </w:pPr>
                  <w:r>
                    <w:t xml:space="preserve">10.7768979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0.3066991</w:t>
                  </w:r>
                </w:p>
              </w:tc>
              <w:tc>
                <w:tcPr/>
                <w:p>
                  <w:pPr>
                    <w:pStyle w:val="Compact"/>
                    <w:jc w:val="right"/>
                    <w:jc w:val="center"/>
                  </w:pPr>
                  <w:r>
                    <w:t xml:space="preserve">0.3737256</w:t>
                  </w:r>
                </w:p>
              </w:tc>
              <w:tc>
                <w:tcPr/>
                <w:p>
                  <w:pPr>
                    <w:pStyle w:val="Compact"/>
                    <w:jc w:val="right"/>
                    <w:jc w:val="center"/>
                  </w:pPr>
                  <w:r>
                    <w:t xml:space="preserve">0.8206531</w:t>
                  </w:r>
                </w:p>
              </w:tc>
              <w:tc>
                <w:tcPr/>
                <w:p>
                  <w:pPr>
                    <w:pStyle w:val="Compact"/>
                    <w:jc w:val="right"/>
                    <w:jc w:val="center"/>
                  </w:pPr>
                  <w:r>
                    <w:t xml:space="preserve">0.4118439</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-0.0012487</w:t>
                  </w:r>
                </w:p>
              </w:tc>
              <w:tc>
                <w:tcPr/>
                <w:p>
                  <w:pPr>
                    <w:pStyle w:val="Compact"/>
                    <w:jc w:val="right"/>
                    <w:jc w:val="center"/>
                  </w:pPr>
                  <w:r>
                    <w:t xml:space="preserve">0.0029263</w:t>
                  </w:r>
                </w:p>
              </w:tc>
              <w:tc>
                <w:tcPr/>
                <w:p>
                  <w:pPr>
                    <w:pStyle w:val="Compact"/>
                    <w:jc w:val="right"/>
                    <w:jc w:val="center"/>
                  </w:pPr>
                  <w:r>
                    <w:t xml:space="preserve">-0.4267265</w:t>
                  </w:r>
                </w:p>
              </w:tc>
              <w:tc>
                <w:tcPr/>
                <w:p>
                  <w:pPr>
                    <w:pStyle w:val="Compact"/>
                    <w:jc w:val="right"/>
                    <w:jc w:val="center"/>
                  </w:pPr>
                  <w:r>
                    <w:t xml:space="preserve">0.6695786</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0.0164644</w:t>
                  </w:r>
                </w:p>
              </w:tc>
              <w:tc>
                <w:tcPr/>
                <w:p>
                  <w:pPr>
                    <w:pStyle w:val="Compact"/>
                    <w:jc w:val="right"/>
                    <w:jc w:val="center"/>
                  </w:pPr>
                  <w:r>
                    <w:t xml:space="preserve">0.0046623</w:t>
                  </w:r>
                </w:p>
              </w:tc>
              <w:tc>
                <w:tcPr/>
                <w:p>
                  <w:pPr>
                    <w:pStyle w:val="Compact"/>
                    <w:jc w:val="right"/>
                    <w:jc w:val="center"/>
                  </w:pPr>
                  <w:r>
                    <w:t xml:space="preserve">3.5314191</w:t>
                  </w:r>
                </w:p>
              </w:tc>
              <w:tc>
                <w:tcPr/>
                <w:p>
                  <w:pPr>
                    <w:pStyle w:val="Compact"/>
                    <w:jc w:val="right"/>
                    <w:jc w:val="center"/>
                  </w:pPr>
                  <w:r>
                    <w:t xml:space="preserve">0.0004133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-0.0948250</w:t>
                  </w:r>
                </w:p>
              </w:tc>
              <w:tc>
                <w:tcPr/>
                <w:p>
                  <w:pPr>
                    <w:pStyle w:val="Compact"/>
                    <w:jc w:val="right"/>
                    <w:jc w:val="center"/>
                  </w:pPr>
                  <w:r>
                    <w:t xml:space="preserve">0.0144747</w:t>
                  </w:r>
                </w:p>
              </w:tc>
              <w:tc>
                <w:tcPr/>
                <w:p>
                  <w:pPr>
                    <w:pStyle w:val="Compact"/>
                    <w:jc w:val="right"/>
                    <w:jc w:val="center"/>
                  </w:pPr>
                  <w:r>
                    <w:t xml:space="preserve">-6.5511069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2.9022797</w:t>
                  </w:r>
                </w:p>
              </w:tc>
              <w:tc>
                <w:tcPr/>
                <w:p>
                  <w:pPr>
                    <w:pStyle w:val="Compact"/>
                    <w:jc w:val="right"/>
                    <w:jc w:val="center"/>
                  </w:pPr>
                  <w:r>
                    <w:t xml:space="preserve">0.2595776</w:t>
                  </w:r>
                </w:p>
              </w:tc>
              <w:tc>
                <w:tcPr/>
                <w:p>
                  <w:pPr>
                    <w:pStyle w:val="Compact"/>
                    <w:jc w:val="right"/>
                    <w:jc w:val="center"/>
                  </w:pPr>
                  <w:r>
                    <w:t xml:space="preserve">11.1807804</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0.0502670</w:t>
                  </w:r>
                </w:p>
              </w:tc>
              <w:tc>
                <w:tcPr/>
                <w:p>
                  <w:pPr>
                    <w:pStyle w:val="Compact"/>
                    <w:jc w:val="right"/>
                    <w:jc w:val="center"/>
                  </w:pPr>
                  <w:r>
                    <w:t xml:space="preserve">0.3202932</w:t>
                  </w:r>
                </w:p>
              </w:tc>
              <w:tc>
                <w:tcPr/>
                <w:p>
                  <w:pPr>
                    <w:pStyle w:val="Compact"/>
                    <w:jc w:val="right"/>
                    <w:jc w:val="center"/>
                  </w:pPr>
                  <w:r>
                    <w:t xml:space="preserve">0.1569407</w:t>
                  </w:r>
                </w:p>
              </w:tc>
              <w:tc>
                <w:tcPr/>
                <w:p>
                  <w:pPr>
                    <w:pStyle w:val="Compact"/>
                    <w:jc w:val="right"/>
                    <w:jc w:val="center"/>
                  </w:pPr>
                  <w:r>
                    <w:t xml:space="preserve">0.8752916</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2.3584200</w:t>
                  </w:r>
                </w:p>
              </w:tc>
              <w:tc>
                <w:tcPr/>
                <w:p>
                  <w:pPr>
                    <w:pStyle w:val="Compact"/>
                    <w:jc w:val="right"/>
                    <w:jc w:val="center"/>
                  </w:pPr>
                  <w:r>
                    <w:t xml:space="preserve">0.8986874</w:t>
                  </w:r>
                </w:p>
              </w:tc>
              <w:tc>
                <w:tcPr/>
                <w:p>
                  <w:pPr>
                    <w:pStyle w:val="Compact"/>
                    <w:jc w:val="right"/>
                    <w:jc w:val="center"/>
                  </w:pPr>
                  <w:r>
                    <w:t xml:space="preserve">2.6242941</w:t>
                  </w:r>
                </w:p>
              </w:tc>
              <w:tc>
                <w:tcPr/>
                <w:p>
                  <w:pPr>
                    <w:pStyle w:val="Compact"/>
                    <w:jc w:val="right"/>
                    <w:jc w:val="center"/>
                  </w:pPr>
                  <w:r>
                    <w:t xml:space="preserve">0.0086829</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0.0179402</w:t>
                  </w:r>
                </w:p>
              </w:tc>
              <w:tc>
                <w:tcPr/>
                <w:p>
                  <w:pPr>
                    <w:pStyle w:val="Compact"/>
                    <w:jc w:val="right"/>
                    <w:jc w:val="center"/>
                  </w:pPr>
                  <w:r>
                    <w:t xml:space="preserve">0.0047330</w:t>
                  </w:r>
                </w:p>
              </w:tc>
              <w:tc>
                <w:tcPr/>
                <w:p>
                  <w:pPr>
                    <w:pStyle w:val="Compact"/>
                    <w:jc w:val="right"/>
                    <w:jc w:val="center"/>
                  </w:pPr>
                  <w:r>
                    <w:t xml:space="preserve">3.7904230</w:t>
                  </w:r>
                </w:p>
              </w:tc>
              <w:tc>
                <w:tcPr/>
                <w:p>
                  <w:pPr>
                    <w:pStyle w:val="Compact"/>
                    <w:jc w:val="right"/>
                    <w:jc w:val="center"/>
                  </w:pPr>
                  <w:r>
                    <w:t xml:space="preserve">0.0001504</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-0.1017634</w:t>
                  </w:r>
                </w:p>
              </w:tc>
              <w:tc>
                <w:tcPr/>
                <w:p>
                  <w:pPr>
                    <w:pStyle w:val="Compact"/>
                    <w:jc w:val="right"/>
                    <w:jc w:val="center"/>
                  </w:pPr>
                  <w:r>
                    <w:t xml:space="preserve">0.0149716</w:t>
                  </w:r>
                </w:p>
              </w:tc>
              <w:tc>
                <w:tcPr/>
                <w:p>
                  <w:pPr>
                    <w:pStyle w:val="Compact"/>
                    <w:jc w:val="right"/>
                    <w:jc w:val="center"/>
                  </w:pPr>
                  <w:r>
                    <w:t xml:space="preserve">-6.7970886</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2.8717453</w:t>
                  </w:r>
                </w:p>
              </w:tc>
              <w:tc>
                <w:tcPr/>
                <w:p>
                  <w:pPr>
                    <w:pStyle w:val="Compact"/>
                    <w:jc w:val="right"/>
                    <w:jc w:val="center"/>
                  </w:pPr>
                  <w:r>
                    <w:t xml:space="preserve">0.2611669</w:t>
                  </w:r>
                </w:p>
              </w:tc>
              <w:tc>
                <w:tcPr/>
                <w:p>
                  <w:pPr>
                    <w:pStyle w:val="Compact"/>
                    <w:jc w:val="right"/>
                    <w:jc w:val="center"/>
                  </w:pPr>
                  <w:r>
                    <w:t xml:space="preserve">10.9958230</w:t>
                  </w:r>
                </w:p>
              </w:tc>
              <w:tc>
                <w:tcPr/>
                <w:p>
                  <w:pPr>
                    <w:pStyle w:val="Compact"/>
                    <w:jc w:val="right"/>
                    <w:jc w:val="center"/>
                  </w:pPr>
                  <w:r>
                    <w:t xml:space="preserve">0.0000000</w:t>
                  </w:r>
                </w:p>
              </w:tc>
            </w:tr>
          </w:tbl>
          <w:bookmarkEnd w:id="64"/>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2">
        <w:r>
          <w:rPr>
            <w:rStyle w:val="Hyperlink"/>
          </w:rPr>
          <w:t xml:space="preserve">Table 7</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5" w:name="tbl-glance2"/>
          <w:p>
            <w:pPr>
              <w:jc w:val="center"/>
            </w:pPr>
            <w:pPr>
              <w:jc w:val="left"/>
              <w:spacing w:before="200"/>
              <w:pStyle w:val="ImageCaption"/>
            </w:pPr>
            <w:r>
              <w:t xml:space="preserve">Table 7: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-2973.023</w:t>
                  </w:r>
                </w:p>
              </w:tc>
              <w:tc>
                <w:tcPr/>
                <w:p>
                  <w:pPr>
                    <w:pStyle w:val="Compact"/>
                    <w:jc w:val="right"/>
                    <w:jc w:val="center"/>
                  </w:pPr>
                  <w:r>
                    <w:t xml:space="preserve">6104.046</w:t>
                  </w:r>
                </w:p>
              </w:tc>
              <w:tc>
                <w:tcPr/>
                <w:p>
                  <w:pPr>
                    <w:pStyle w:val="Compact"/>
                    <w:jc w:val="right"/>
                    <w:jc w:val="center"/>
                  </w:pPr>
                  <w:r>
                    <w:t xml:space="preserve">6619.894</w:t>
                  </w:r>
                </w:p>
              </w:tc>
              <w:tc>
                <w:tcPr/>
                <w:p>
                  <w:pPr>
                    <w:pStyle w:val="Compact"/>
                    <w:jc w:val="right"/>
                    <w:jc w:val="center"/>
                  </w:pPr>
                  <w:r>
                    <w:t xml:space="preserve">559.5177</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-2999.275</w:t>
                  </w:r>
                </w:p>
              </w:tc>
              <w:tc>
                <w:tcPr/>
                <w:p>
                  <w:pPr>
                    <w:pStyle w:val="Compact"/>
                    <w:jc w:val="right"/>
                    <w:jc w:val="center"/>
                  </w:pPr>
                  <w:r>
                    <w:t xml:space="preserve">6156.550</w:t>
                  </w:r>
                </w:p>
              </w:tc>
              <w:tc>
                <w:tcPr/>
                <w:p>
                  <w:pPr>
                    <w:pStyle w:val="Compact"/>
                    <w:jc w:val="right"/>
                    <w:jc w:val="center"/>
                  </w:pPr>
                  <w:r>
                    <w:t xml:space="preserve">6672.398</w:t>
                  </w:r>
                </w:p>
              </w:tc>
              <w:tc>
                <w:tcPr/>
                <w:p>
                  <w:pPr>
                    <w:pStyle w:val="Compact"/>
                    <w:jc w:val="right"/>
                    <w:jc w:val="center"/>
                  </w:pPr>
                  <w:r>
                    <w:t xml:space="preserve">574.1421</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-2986.255</w:t>
                  </w:r>
                </w:p>
              </w:tc>
              <w:tc>
                <w:tcPr/>
                <w:p>
                  <w:pPr>
                    <w:pStyle w:val="Compact"/>
                    <w:jc w:val="right"/>
                    <w:jc w:val="center"/>
                  </w:pPr>
                  <w:r>
                    <w:t xml:space="preserve">6130.510</w:t>
                  </w:r>
                </w:p>
              </w:tc>
              <w:tc>
                <w:tcPr/>
                <w:p>
                  <w:pPr>
                    <w:pStyle w:val="Compact"/>
                    <w:jc w:val="right"/>
                    <w:jc w:val="center"/>
                  </w:pPr>
                  <w:r>
                    <w:t xml:space="preserve">6646.358</w:t>
                  </w:r>
                </w:p>
              </w:tc>
              <w:tc>
                <w:tcPr/>
                <w:p>
                  <w:pPr>
                    <w:pStyle w:val="Compact"/>
                    <w:jc w:val="right"/>
                    <w:jc w:val="center"/>
                  </w:pPr>
                  <w:r>
                    <w:t xml:space="preserve">564.3610</w:t>
                  </w:r>
                </w:p>
              </w:tc>
              <w:tc>
                <w:tcPr/>
                <w:p>
                  <w:pPr>
                    <w:pStyle w:val="Compact"/>
                    <w:jc w:val="right"/>
                    <w:jc w:val="center"/>
                  </w:pPr>
                  <w:r>
                    <w:t xml:space="preserve">4984</w:t>
                  </w:r>
                </w:p>
              </w:tc>
              <w:tc>
                <w:tcPr/>
                <w:p>
                  <w:pPr>
                    <w:pStyle w:val="Compact"/>
                    <w:jc w:val="right"/>
                    <w:jc w:val="center"/>
                  </w:pPr>
                  <w:r>
                    <w:t xml:space="preserve">5063</w:t>
                  </w:r>
                </w:p>
              </w:tc>
            </w:tr>
          </w:tbl>
          <w:bookmarkEnd w:id="6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8</w:t>
        </w:r>
      </w:hyperlink>
      <w:r>
        <w:t xml:space="preserve"> </w:t>
      </w:r>
      <w:r>
        <w:t xml:space="preserve">shows the analysis of variance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6" w:name="tbl-anova2"/>
          <w:p>
            <w:pPr>
              <w:jc w:val="center"/>
            </w:pPr>
            <w:pPr>
              <w:jc w:val="left"/>
              <w:spacing w:before="200"/>
              <w:pStyle w:val="ImageCaption"/>
            </w:pPr>
            <w:r>
              <w:t xml:space="preserve">Table 8: Analysis of variance for terms in models for percentage of arena capacity.</w:t>
            </w:r>
          </w:p>
          <w:tbl>
            <w:tblPr>
              <w:tblStyle w:val="Table"/>
              <w:tblW w:type="pct" w:w="5000"/>
              <w:tblLayout w:type="fixed"/>
              <w:tblLook w:firstRow="1" w:lastRow="0" w:firstColumn="0" w:lastColumn="0" w:noHBand="0" w:noVBand="0" w:val="0020"/>
            </w:tblPr>
            <w:tblGrid>
              <w:gridCol w:w="484"/>
              <w:gridCol w:w="3394"/>
              <w:gridCol w:w="242"/>
              <w:gridCol w:w="727"/>
              <w:gridCol w:w="969"/>
              <w:gridCol w:w="1454"/>
              <w:gridCol w:w="646"/>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0.032</w:t>
                  </w:r>
                </w:p>
              </w:tc>
              <w:tc>
                <w:tcPr/>
                <w:p>
                  <w:pPr>
                    <w:pStyle w:val="Compact"/>
                    <w:jc w:val="right"/>
                    <w:jc w:val="center"/>
                  </w:pPr>
                  <w:r>
                    <w:t xml:space="preserve">5061</w:t>
                  </w:r>
                </w:p>
              </w:tc>
              <w:tc>
                <w:tcPr/>
                <w:p>
                  <w:pPr>
                    <w:pStyle w:val="Compact"/>
                    <w:jc w:val="right"/>
                    <w:jc w:val="center"/>
                  </w:pPr>
                  <w:r>
                    <w:t xml:space="preserve">916.634</w:t>
                  </w:r>
                </w:p>
              </w:tc>
              <w:tc>
                <w:tcPr/>
                <w:p>
                  <w:pPr>
                    <w:pStyle w:val="Compact"/>
                    <w:jc w:val="right"/>
                    <w:jc w:val="center"/>
                  </w:pPr>
                  <w:r>
                    <w:t xml:space="preserve">0.858</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8.035</w:t>
                  </w:r>
                </w:p>
              </w:tc>
              <w:tc>
                <w:tcPr/>
                <w:p>
                  <w:pPr>
                    <w:pStyle w:val="Compact"/>
                    <w:jc w:val="right"/>
                    <w:jc w:val="center"/>
                  </w:pPr>
                  <w:r>
                    <w:t xml:space="preserve">5061</w:t>
                  </w:r>
                </w:p>
              </w:tc>
              <w:tc>
                <w:tcPr/>
                <w:p>
                  <w:pPr>
                    <w:pStyle w:val="Compact"/>
                    <w:jc w:val="right"/>
                    <w:jc w:val="center"/>
                  </w:pPr>
                  <w:r>
                    <w:t xml:space="preserve">908.631</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0.906</w:t>
                  </w:r>
                </w:p>
              </w:tc>
              <w:tc>
                <w:tcPr/>
                <w:p>
                  <w:pPr>
                    <w:pStyle w:val="Compact"/>
                    <w:jc w:val="right"/>
                    <w:jc w:val="center"/>
                  </w:pPr>
                  <w:r>
                    <w:t xml:space="preserve">5061</w:t>
                  </w:r>
                </w:p>
              </w:tc>
              <w:tc>
                <w:tcPr/>
                <w:p>
                  <w:pPr>
                    <w:pStyle w:val="Compact"/>
                    <w:jc w:val="right"/>
                    <w:jc w:val="center"/>
                  </w:pPr>
                  <w:r>
                    <w:t xml:space="preserve">915.760</w:t>
                  </w:r>
                </w:p>
              </w:tc>
              <w:tc>
                <w:tcPr/>
                <w:p>
                  <w:pPr>
                    <w:pStyle w:val="Compact"/>
                    <w:jc w:val="right"/>
                    <w:jc w:val="center"/>
                  </w:pPr>
                  <w:r>
                    <w:t xml:space="preserve">0.341</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24.002</w:t>
                  </w:r>
                </w:p>
              </w:tc>
              <w:tc>
                <w:tcPr/>
                <w:p>
                  <w:pPr>
                    <w:pStyle w:val="Compact"/>
                    <w:jc w:val="right"/>
                    <w:jc w:val="center"/>
                  </w:pPr>
                  <w:r>
                    <w:t xml:space="preserve">5010</w:t>
                  </w:r>
                </w:p>
              </w:tc>
              <w:tc>
                <w:tcPr/>
                <w:p>
                  <w:pPr>
                    <w:pStyle w:val="Compact"/>
                    <w:jc w:val="right"/>
                    <w:jc w:val="center"/>
                  </w:pPr>
                  <w:r>
                    <w:t xml:space="preserve">573.411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23.389</w:t>
                  </w:r>
                </w:p>
              </w:tc>
              <w:tc>
                <w:tcPr/>
                <w:p>
                  <w:pPr>
                    <w:pStyle w:val="Compact"/>
                    <w:jc w:val="right"/>
                    <w:jc w:val="center"/>
                  </w:pPr>
                  <w:r>
                    <w:t xml:space="preserve">5010</w:t>
                  </w:r>
                </w:p>
              </w:tc>
              <w:tc>
                <w:tcPr/>
                <w:p>
                  <w:pPr>
                    <w:pStyle w:val="Compact"/>
                    <w:jc w:val="right"/>
                    <w:jc w:val="center"/>
                  </w:pPr>
                  <w:r>
                    <w:t xml:space="preserve">581.441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22.520</w:t>
                  </w:r>
                </w:p>
              </w:tc>
              <w:tc>
                <w:tcPr/>
                <w:p>
                  <w:pPr>
                    <w:pStyle w:val="Compact"/>
                    <w:jc w:val="right"/>
                    <w:jc w:val="center"/>
                  </w:pPr>
                  <w:r>
                    <w:t xml:space="preserve">5010</w:t>
                  </w:r>
                </w:p>
              </w:tc>
              <w:tc>
                <w:tcPr/>
                <w:p>
                  <w:pPr>
                    <w:pStyle w:val="Compact"/>
                    <w:jc w:val="right"/>
                    <w:jc w:val="center"/>
                  </w:pPr>
                  <w:r>
                    <w:t xml:space="preserve">579.403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0.977</w:t>
                  </w:r>
                </w:p>
              </w:tc>
              <w:tc>
                <w:tcPr/>
                <w:p>
                  <w:pPr>
                    <w:pStyle w:val="Compact"/>
                    <w:jc w:val="right"/>
                    <w:jc w:val="center"/>
                  </w:pPr>
                  <w:r>
                    <w:t xml:space="preserve">5012</w:t>
                  </w:r>
                </w:p>
              </w:tc>
              <w:tc>
                <w:tcPr/>
                <w:p>
                  <w:pPr>
                    <w:pStyle w:val="Compact"/>
                    <w:jc w:val="right"/>
                    <w:jc w:val="center"/>
                  </w:pPr>
                  <w:r>
                    <w:t xml:space="preserve">601.451</w:t>
                  </w:r>
                </w:p>
              </w:tc>
              <w:tc>
                <w:tcPr/>
                <w:p>
                  <w:pPr>
                    <w:pStyle w:val="Compact"/>
                    <w:jc w:val="right"/>
                    <w:jc w:val="center"/>
                  </w:pPr>
                  <w:r>
                    <w:t xml:space="preserve">0.323</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1.038</w:t>
                  </w:r>
                </w:p>
              </w:tc>
              <w:tc>
                <w:tcPr/>
                <w:p>
                  <w:pPr>
                    <w:pStyle w:val="Compact"/>
                    <w:jc w:val="right"/>
                    <w:jc w:val="center"/>
                  </w:pPr>
                  <w:r>
                    <w:t xml:space="preserve">5012</w:t>
                  </w:r>
                </w:p>
              </w:tc>
              <w:tc>
                <w:tcPr/>
                <w:p>
                  <w:pPr>
                    <w:pStyle w:val="Compact"/>
                    <w:jc w:val="right"/>
                    <w:jc w:val="center"/>
                  </w:pPr>
                  <w:r>
                    <w:t xml:space="preserve">608.706</w:t>
                  </w:r>
                </w:p>
              </w:tc>
              <w:tc>
                <w:tcPr/>
                <w:p>
                  <w:pPr>
                    <w:pStyle w:val="Compact"/>
                    <w:jc w:val="right"/>
                    <w:jc w:val="center"/>
                  </w:pPr>
                  <w:r>
                    <w:t xml:space="preserve">0.308</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0.972</w:t>
                  </w:r>
                </w:p>
              </w:tc>
              <w:tc>
                <w:tcPr/>
                <w:p>
                  <w:pPr>
                    <w:pStyle w:val="Compact"/>
                    <w:jc w:val="right"/>
                    <w:jc w:val="center"/>
                  </w:pPr>
                  <w:r>
                    <w:t xml:space="preserve">5012</w:t>
                  </w:r>
                </w:p>
              </w:tc>
              <w:tc>
                <w:tcPr/>
                <w:p>
                  <w:pPr>
                    <w:pStyle w:val="Compact"/>
                    <w:jc w:val="right"/>
                    <w:jc w:val="center"/>
                  </w:pPr>
                  <w:r>
                    <w:t xml:space="preserve">606.342</w:t>
                  </w:r>
                </w:p>
              </w:tc>
              <w:tc>
                <w:tcPr/>
                <w:p>
                  <w:pPr>
                    <w:pStyle w:val="Compact"/>
                    <w:jc w:val="right"/>
                    <w:jc w:val="center"/>
                  </w:pPr>
                  <w:r>
                    <w:t xml:space="preserve">0.324</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4.038</w:t>
                  </w:r>
                </w:p>
              </w:tc>
              <w:tc>
                <w:tcPr/>
                <w:p>
                  <w:pPr>
                    <w:pStyle w:val="Compact"/>
                    <w:jc w:val="right"/>
                    <w:jc w:val="center"/>
                  </w:pPr>
                  <w:r>
                    <w:t xml:space="preserve">5011</w:t>
                  </w:r>
                </w:p>
              </w:tc>
              <w:tc>
                <w:tcPr/>
                <w:p>
                  <w:pPr>
                    <w:pStyle w:val="Compact"/>
                    <w:jc w:val="right"/>
                    <w:jc w:val="center"/>
                  </w:pPr>
                  <w:r>
                    <w:t xml:space="preserve">597.414</w:t>
                  </w:r>
                </w:p>
              </w:tc>
              <w:tc>
                <w:tcPr/>
                <w:p>
                  <w:pPr>
                    <w:pStyle w:val="Compact"/>
                    <w:jc w:val="right"/>
                    <w:jc w:val="center"/>
                  </w:pPr>
                  <w:r>
                    <w:t xml:space="preserve">0.044</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3.876</w:t>
                  </w:r>
                </w:p>
              </w:tc>
              <w:tc>
                <w:tcPr/>
                <w:p>
                  <w:pPr>
                    <w:pStyle w:val="Compact"/>
                    <w:jc w:val="right"/>
                    <w:jc w:val="center"/>
                  </w:pPr>
                  <w:r>
                    <w:t xml:space="preserve">5011</w:t>
                  </w:r>
                </w:p>
              </w:tc>
              <w:tc>
                <w:tcPr/>
                <w:p>
                  <w:pPr>
                    <w:pStyle w:val="Compact"/>
                    <w:jc w:val="right"/>
                    <w:jc w:val="center"/>
                  </w:pPr>
                  <w:r>
                    <w:t xml:space="preserve">604.830</w:t>
                  </w:r>
                </w:p>
              </w:tc>
              <w:tc>
                <w:tcPr/>
                <w:p>
                  <w:pPr>
                    <w:pStyle w:val="Compact"/>
                    <w:jc w:val="right"/>
                    <w:jc w:val="center"/>
                  </w:pPr>
                  <w:r>
                    <w:t xml:space="preserve">0.049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4.419</w:t>
                  </w:r>
                </w:p>
              </w:tc>
              <w:tc>
                <w:tcPr/>
                <w:p>
                  <w:pPr>
                    <w:pStyle w:val="Compact"/>
                    <w:jc w:val="right"/>
                    <w:jc w:val="center"/>
                  </w:pPr>
                  <w:r>
                    <w:t xml:space="preserve">5011</w:t>
                  </w:r>
                </w:p>
              </w:tc>
              <w:tc>
                <w:tcPr/>
                <w:p>
                  <w:pPr>
                    <w:pStyle w:val="Compact"/>
                    <w:jc w:val="right"/>
                    <w:jc w:val="center"/>
                  </w:pPr>
                  <w:r>
                    <w:t xml:space="preserve">601.923</w:t>
                  </w:r>
                </w:p>
              </w:tc>
              <w:tc>
                <w:tcPr/>
                <w:p>
                  <w:pPr>
                    <w:pStyle w:val="Compact"/>
                    <w:jc w:val="right"/>
                    <w:jc w:val="center"/>
                  </w:pPr>
                  <w:r>
                    <w:t xml:space="preserve">0.036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13.370</w:t>
                  </w:r>
                </w:p>
              </w:tc>
              <w:tc>
                <w:tcPr/>
                <w:p>
                  <w:pPr>
                    <w:pStyle w:val="Compact"/>
                    <w:jc w:val="right"/>
                    <w:jc w:val="center"/>
                  </w:pPr>
                  <w:r>
                    <w:t xml:space="preserve">5025</w:t>
                  </w:r>
                </w:p>
              </w:tc>
              <w:tc>
                <w:tcPr/>
                <w:p>
                  <w:pPr>
                    <w:pStyle w:val="Compact"/>
                    <w:jc w:val="right"/>
                    <w:jc w:val="center"/>
                  </w:pPr>
                  <w:r>
                    <w:t xml:space="preserve">696.118</w:t>
                  </w:r>
                </w:p>
              </w:tc>
              <w:tc>
                <w:tcPr/>
                <w:p>
                  <w:pPr>
                    <w:pStyle w:val="Compact"/>
                    <w:jc w:val="right"/>
                    <w:jc w:val="center"/>
                  </w:pPr>
                  <w:r>
                    <w:t xml:space="preserve">0.010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13.218</w:t>
                  </w:r>
                </w:p>
              </w:tc>
              <w:tc>
                <w:tcPr/>
                <w:p>
                  <w:pPr>
                    <w:pStyle w:val="Compact"/>
                    <w:jc w:val="right"/>
                    <w:jc w:val="center"/>
                  </w:pPr>
                  <w:r>
                    <w:t xml:space="preserve">5025</w:t>
                  </w:r>
                </w:p>
              </w:tc>
              <w:tc>
                <w:tcPr/>
                <w:p>
                  <w:pPr>
                    <w:pStyle w:val="Compact"/>
                    <w:jc w:val="right"/>
                    <w:jc w:val="center"/>
                  </w:pPr>
                  <w:r>
                    <w:t xml:space="preserve">706.988</w:t>
                  </w:r>
                </w:p>
              </w:tc>
              <w:tc>
                <w:tcPr/>
                <w:p>
                  <w:pPr>
                    <w:pStyle w:val="Compact"/>
                    <w:jc w:val="right"/>
                    <w:jc w:val="center"/>
                  </w:pPr>
                  <w:r>
                    <w:t xml:space="preserve">0.010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12.953</w:t>
                  </w:r>
                </w:p>
              </w:tc>
              <w:tc>
                <w:tcPr/>
                <w:p>
                  <w:pPr>
                    <w:pStyle w:val="Compact"/>
                    <w:jc w:val="right"/>
                    <w:jc w:val="center"/>
                  </w:pPr>
                  <w:r>
                    <w:t xml:space="preserve">5025</w:t>
                  </w:r>
                </w:p>
              </w:tc>
              <w:tc>
                <w:tcPr/>
                <w:p>
                  <w:pPr>
                    <w:pStyle w:val="Compact"/>
                    <w:jc w:val="right"/>
                    <w:jc w:val="center"/>
                  </w:pPr>
                  <w:r>
                    <w:t xml:space="preserve">701.429</w:t>
                  </w:r>
                </w:p>
              </w:tc>
              <w:tc>
                <w:tcPr/>
                <w:p>
                  <w:pPr>
                    <w:pStyle w:val="Compact"/>
                    <w:jc w:val="right"/>
                    <w:jc w:val="center"/>
                  </w:pPr>
                  <w:r>
                    <w:t xml:space="preserve">0.012</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18.624</w:t>
                  </w:r>
                </w:p>
              </w:tc>
              <w:tc>
                <w:tcPr/>
                <w:p>
                  <w:pPr>
                    <w:pStyle w:val="Compact"/>
                    <w:jc w:val="right"/>
                    <w:jc w:val="center"/>
                  </w:pPr>
                  <w:r>
                    <w:t xml:space="preserve">5029</w:t>
                  </w:r>
                </w:p>
              </w:tc>
              <w:tc>
                <w:tcPr/>
                <w:p>
                  <w:pPr>
                    <w:pStyle w:val="Compact"/>
                    <w:jc w:val="right"/>
                    <w:jc w:val="center"/>
                  </w:pPr>
                  <w:r>
                    <w:t xml:space="preserve">709.487</w:t>
                  </w:r>
                </w:p>
              </w:tc>
              <w:tc>
                <w:tcPr/>
                <w:p>
                  <w:pPr>
                    <w:pStyle w:val="Compact"/>
                    <w:jc w:val="right"/>
                    <w:jc w:val="center"/>
                  </w:pPr>
                  <w:r>
                    <w:t xml:space="preserve">0.005</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18.719</w:t>
                  </w:r>
                </w:p>
              </w:tc>
              <w:tc>
                <w:tcPr/>
                <w:p>
                  <w:pPr>
                    <w:pStyle w:val="Compact"/>
                    <w:jc w:val="right"/>
                    <w:jc w:val="center"/>
                  </w:pPr>
                  <w:r>
                    <w:t xml:space="preserve">5029</w:t>
                  </w:r>
                </w:p>
              </w:tc>
              <w:tc>
                <w:tcPr/>
                <w:p>
                  <w:pPr>
                    <w:pStyle w:val="Compact"/>
                    <w:jc w:val="right"/>
                    <w:jc w:val="center"/>
                  </w:pPr>
                  <w:r>
                    <w:t xml:space="preserve">720.205</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19.034</w:t>
                  </w:r>
                </w:p>
              </w:tc>
              <w:tc>
                <w:tcPr/>
                <w:p>
                  <w:pPr>
                    <w:pStyle w:val="Compact"/>
                    <w:jc w:val="right"/>
                    <w:jc w:val="center"/>
                  </w:pPr>
                  <w:r>
                    <w:t xml:space="preserve">5029</w:t>
                  </w:r>
                </w:p>
              </w:tc>
              <w:tc>
                <w:tcPr/>
                <w:p>
                  <w:pPr>
                    <w:pStyle w:val="Compact"/>
                    <w:jc w:val="right"/>
                    <w:jc w:val="center"/>
                  </w:pPr>
                  <w:r>
                    <w:t xml:space="preserve">714.381</w:t>
                  </w:r>
                </w:p>
              </w:tc>
              <w:tc>
                <w:tcPr/>
                <w:p>
                  <w:pPr>
                    <w:pStyle w:val="Compact"/>
                    <w:jc w:val="right"/>
                    <w:jc w:val="center"/>
                  </w:pPr>
                  <w:r>
                    <w:t xml:space="preserve">0.004</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93.689</w:t>
                  </w:r>
                </w:p>
              </w:tc>
              <w:tc>
                <w:tcPr/>
                <w:p>
                  <w:pPr>
                    <w:pStyle w:val="Compact"/>
                    <w:jc w:val="right"/>
                    <w:jc w:val="center"/>
                  </w:pPr>
                  <w:r>
                    <w:t xml:space="preserve">5013</w:t>
                  </w:r>
                </w:p>
              </w:tc>
              <w:tc>
                <w:tcPr/>
                <w:p>
                  <w:pPr>
                    <w:pStyle w:val="Compact"/>
                    <w:jc w:val="right"/>
                    <w:jc w:val="center"/>
                  </w:pPr>
                  <w:r>
                    <w:t xml:space="preserve">602.429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97.243</w:t>
                  </w:r>
                </w:p>
              </w:tc>
              <w:tc>
                <w:tcPr/>
                <w:p>
                  <w:pPr>
                    <w:pStyle w:val="Compact"/>
                    <w:jc w:val="right"/>
                    <w:jc w:val="center"/>
                  </w:pPr>
                  <w:r>
                    <w:t xml:space="preserve">5013</w:t>
                  </w:r>
                </w:p>
              </w:tc>
              <w:tc>
                <w:tcPr/>
                <w:p>
                  <w:pPr>
                    <w:pStyle w:val="Compact"/>
                    <w:jc w:val="right"/>
                    <w:jc w:val="center"/>
                  </w:pPr>
                  <w:r>
                    <w:t xml:space="preserve">609.745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94.115</w:t>
                  </w:r>
                </w:p>
              </w:tc>
              <w:tc>
                <w:tcPr/>
                <w:p>
                  <w:pPr>
                    <w:pStyle w:val="Compact"/>
                    <w:jc w:val="right"/>
                    <w:jc w:val="center"/>
                  </w:pPr>
                  <w:r>
                    <w:t xml:space="preserve">5013</w:t>
                  </w:r>
                </w:p>
              </w:tc>
              <w:tc>
                <w:tcPr/>
                <w:p>
                  <w:pPr>
                    <w:pStyle w:val="Compact"/>
                    <w:jc w:val="right"/>
                    <w:jc w:val="center"/>
                  </w:pPr>
                  <w:r>
                    <w:t xml:space="preserve">607.314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7.299</w:t>
                  </w:r>
                </w:p>
              </w:tc>
              <w:tc>
                <w:tcPr/>
                <w:p>
                  <w:pPr>
                    <w:pStyle w:val="Compact"/>
                    <w:jc w:val="right"/>
                    <w:jc w:val="center"/>
                  </w:pPr>
                  <w:r>
                    <w:t xml:space="preserve">4984</w:t>
                  </w:r>
                </w:p>
              </w:tc>
              <w:tc>
                <w:tcPr/>
                <w:p>
                  <w:pPr>
                    <w:pStyle w:val="Compact"/>
                    <w:jc w:val="right"/>
                    <w:jc w:val="center"/>
                  </w:pPr>
                  <w:r>
                    <w:t xml:space="preserve">574.142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13.894</w:t>
                  </w:r>
                </w:p>
              </w:tc>
              <w:tc>
                <w:tcPr/>
                <w:p>
                  <w:pPr>
                    <w:pStyle w:val="Compact"/>
                    <w:jc w:val="right"/>
                    <w:jc w:val="center"/>
                  </w:pPr>
                  <w:r>
                    <w:t xml:space="preserve">4984</w:t>
                  </w:r>
                </w:p>
              </w:tc>
              <w:tc>
                <w:tcPr/>
                <w:p>
                  <w:pPr>
                    <w:pStyle w:val="Compact"/>
                    <w:jc w:val="right"/>
                    <w:jc w:val="center"/>
                  </w:pPr>
                  <w:r>
                    <w:t xml:space="preserve">559.518</w:t>
                  </w:r>
                </w:p>
              </w:tc>
              <w:tc>
                <w:tcPr/>
                <w:p>
                  <w:pPr>
                    <w:pStyle w:val="Compact"/>
                    <w:jc w:val="right"/>
                    <w:jc w:val="center"/>
                  </w:pPr>
                  <w:r>
                    <w:t xml:space="preserve">0.974</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15.042</w:t>
                  </w:r>
                </w:p>
              </w:tc>
              <w:tc>
                <w:tcPr/>
                <w:p>
                  <w:pPr>
                    <w:pStyle w:val="Compact"/>
                    <w:jc w:val="right"/>
                    <w:jc w:val="center"/>
                  </w:pPr>
                  <w:r>
                    <w:t xml:space="preserve">4984</w:t>
                  </w:r>
                </w:p>
              </w:tc>
              <w:tc>
                <w:tcPr/>
                <w:p>
                  <w:pPr>
                    <w:pStyle w:val="Compact"/>
                    <w:jc w:val="right"/>
                    <w:jc w:val="center"/>
                  </w:pPr>
                  <w:r>
                    <w:t xml:space="preserve">564.361</w:t>
                  </w:r>
                </w:p>
              </w:tc>
              <w:tc>
                <w:tcPr/>
                <w:p>
                  <w:pPr>
                    <w:pStyle w:val="Compact"/>
                    <w:jc w:val="right"/>
                    <w:jc w:val="center"/>
                  </w:pPr>
                  <w:r>
                    <w:t xml:space="preserve">0.957</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180.519</w:t>
                  </w:r>
                </w:p>
              </w:tc>
              <w:tc>
                <w:tcPr/>
                <w:p>
                  <w:pPr>
                    <w:pStyle w:val="Compact"/>
                    <w:jc w:val="right"/>
                    <w:jc w:val="center"/>
                  </w:pPr>
                  <w:r>
                    <w:t xml:space="preserve">5035</w:t>
                  </w:r>
                </w:p>
              </w:tc>
              <w:tc>
                <w:tcPr/>
                <w:p>
                  <w:pPr>
                    <w:pStyle w:val="Compact"/>
                    <w:jc w:val="right"/>
                    <w:jc w:val="center"/>
                  </w:pPr>
                  <w:r>
                    <w:t xml:space="preserve">728.112</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177.710</w:t>
                  </w:r>
                </w:p>
              </w:tc>
              <w:tc>
                <w:tcPr/>
                <w:p>
                  <w:pPr>
                    <w:pStyle w:val="Compact"/>
                    <w:jc w:val="right"/>
                    <w:jc w:val="center"/>
                  </w:pPr>
                  <w:r>
                    <w:t xml:space="preserve">5035</w:t>
                  </w:r>
                </w:p>
              </w:tc>
              <w:tc>
                <w:tcPr/>
                <w:p>
                  <w:pPr>
                    <w:pStyle w:val="Compact"/>
                    <w:jc w:val="right"/>
                    <w:jc w:val="center"/>
                  </w:pPr>
                  <w:r>
                    <w:t xml:space="preserve">738.924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182.345</w:t>
                  </w:r>
                </w:p>
              </w:tc>
              <w:tc>
                <w:tcPr/>
                <w:p>
                  <w:pPr>
                    <w:pStyle w:val="Compact"/>
                    <w:jc w:val="right"/>
                    <w:jc w:val="center"/>
                  </w:pPr>
                  <w:r>
                    <w:t xml:space="preserve">5035</w:t>
                  </w:r>
                </w:p>
              </w:tc>
              <w:tc>
                <w:tcPr/>
                <w:p>
                  <w:pPr>
                    <w:pStyle w:val="Compact"/>
                    <w:jc w:val="right"/>
                    <w:jc w:val="center"/>
                  </w:pPr>
                  <w:r>
                    <w:t xml:space="preserve">733.416</w:t>
                  </w:r>
                </w:p>
              </w:tc>
              <w:tc>
                <w:tcPr/>
                <w:p>
                  <w:pPr>
                    <w:pStyle w:val="Compact"/>
                    <w:jc w:val="right"/>
                    <w:jc w:val="center"/>
                  </w:pPr>
                  <w:r>
                    <w:t xml:space="preserve">0.000</w:t>
                  </w:r>
                </w:p>
              </w:tc>
            </w:tr>
          </w:tbl>
          <w:bookmarkEnd w:id="66"/>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2">
        <w:r>
          <w:rPr>
            <w:rStyle w:val="Hyperlink"/>
          </w:rPr>
          <w:t xml:space="preserve">Figure 7</w:t>
        </w:r>
      </w:hyperlink>
      <w:r>
        <w:t xml:space="preserve"> </w:t>
      </w:r>
      <w:r>
        <w:t xml:space="preserve">shows that…</w:t>
      </w:r>
    </w:p>
    <w:bookmarkStart w:id="71" w:name="cell-fig-season-coefs2"/>
    <w:tbl>
      <w:tblPr>
        <w:tblStyle w:val="Table"/>
        <w:tblW w:type="pct" w:w="5000"/>
        <w:tblLayout w:type="fixed"/>
        <w:tblLook w:firstRow="0" w:lastRow="0" w:firstColumn="0" w:lastColumn="0" w:noHBand="0" w:noVBand="0" w:val="0000"/>
      </w:tblPr>
      <w:tblGrid>
        <w:gridCol w:w="7920"/>
      </w:tblGrid>
      <w:tr>
        <w:tc>
          <w:tcPr/>
          <w:bookmarkStart w:id="70" w:name="fig-season-coefs2"/>
          <w:p>
            <w:pPr>
              <w:pStyle w:val="Compact"/>
              <w:jc w:val="center"/>
            </w:pPr>
            <w:r>
              <w:drawing>
                <wp:inline>
                  <wp:extent cx="4620126" cy="3696101"/>
                  <wp:effectExtent b="0" l="0" r="0" t="0"/>
                  <wp:docPr descr="" title="" id="68" name="Picture"/>
                  <a:graphic>
                    <a:graphicData uri="http://schemas.openxmlformats.org/drawingml/2006/picture">
                      <pic:pic>
                        <pic:nvPicPr>
                          <pic:cNvPr descr="index_files/figure-docx/fig-season-coefs2-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Estimated season-level fixed effects for percentage of arena capacity models.</w:t>
            </w:r>
          </w:p>
          <w:bookmarkEnd w:id="7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1"/>
    <w:p>
      <w:pPr>
        <w:pStyle w:val="BodyText"/>
      </w:pPr>
      <w:hyperlink w:anchor="fig-season-slopes2">
        <w:r>
          <w:rPr>
            <w:rStyle w:val="Hyperlink"/>
          </w:rPr>
          <w:t xml:space="preserve">Figure 8</w:t>
        </w:r>
      </w:hyperlink>
      <w:r>
        <w:t xml:space="preserve"> </w:t>
      </w:r>
      <w:r>
        <w:t xml:space="preserve">shows that…</w:t>
      </w:r>
    </w:p>
    <w:bookmarkStart w:id="76" w:name="cell-fig-season-slopes2"/>
    <w:tbl>
      <w:tblPr>
        <w:tblStyle w:val="Table"/>
        <w:tblW w:type="pct" w:w="5000"/>
        <w:tblLayout w:type="fixed"/>
        <w:tblLook w:firstRow="0" w:lastRow="0" w:firstColumn="0" w:lastColumn="0" w:noHBand="0" w:noVBand="0" w:val="0000"/>
      </w:tblPr>
      <w:tblGrid>
        <w:gridCol w:w="7920"/>
      </w:tblGrid>
      <w:tr>
        <w:tc>
          <w:tcPr/>
          <w:bookmarkStart w:id="75" w:name="fig-season-slopes2"/>
          <w:p>
            <w:pPr>
              <w:pStyle w:val="Compact"/>
              <w:jc w:val="center"/>
            </w:pPr>
            <w:r>
              <w:drawing>
                <wp:inline>
                  <wp:extent cx="4620126" cy="3696101"/>
                  <wp:effectExtent b="0" l="0" r="0" t="0"/>
                  <wp:docPr descr="" title="" id="73" name="Picture"/>
                  <a:graphic>
                    <a:graphicData uri="http://schemas.openxmlformats.org/drawingml/2006/picture">
                      <pic:pic>
                        <pic:nvPicPr>
                          <pic:cNvPr descr="index_files/figure-docx/fig-season-slopes2-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changes in slopes for percentage of arena capacity models.</w:t>
            </w:r>
          </w:p>
          <w:bookmarkEnd w:id="7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6"/>
    <w:bookmarkEnd w:id="77"/>
    <w:bookmarkEnd w:id="78"/>
    <w:bookmarkStart w:id="82" w:name="conclusion"/>
    <w:p>
      <w:pPr>
        <w:pStyle w:val="Heading2"/>
      </w:pPr>
      <w:r>
        <w:t xml:space="preserve">5 Conclusion</w:t>
      </w:r>
    </w:p>
    <w:bookmarkStart w:id="79"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79"/>
    <w:bookmarkStart w:id="80" w:name="future-work"/>
    <w:p>
      <w:pPr>
        <w:pStyle w:val="Heading3"/>
      </w:pPr>
      <w:r>
        <w:t xml:space="preserve">5.2 Future work</w:t>
      </w:r>
    </w:p>
    <w:bookmarkEnd w:id="80"/>
    <w:bookmarkStart w:id="81" w:name="discussion"/>
    <w:p>
      <w:pPr>
        <w:pStyle w:val="Heading3"/>
      </w:pPr>
      <w:r>
        <w:t xml:space="preserve">5.3 Discussion</w:t>
      </w:r>
    </w:p>
    <w:bookmarkEnd w:id="81"/>
    <w:bookmarkEnd w:id="82"/>
    <w:bookmarkStart w:id="143" w:name="references"/>
    <w:p>
      <w:pPr>
        <w:pStyle w:val="Heading2"/>
      </w:pPr>
      <w:r>
        <w:t xml:space="preserve">References</w:t>
      </w:r>
    </w:p>
    <w:bookmarkStart w:id="142" w:name="refs"/>
    <w:bookmarkStart w:id="84"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83">
        <w:r>
          <w:rPr>
            <w:rStyle w:val="Hyperlink"/>
          </w:rPr>
          <w:t xml:space="preserve">https://www.acrossthetimeline.com/wnba/attendance.html</w:t>
        </w:r>
      </w:hyperlink>
      <w:r>
        <w:t xml:space="preserve">.</w:t>
      </w:r>
      <w:r>
        <w:t xml:space="preserve"> </w:t>
      </w:r>
      <w:hyperlink r:id="rId83">
        <w:r>
          <w:rPr>
            <w:rStyle w:val="Hyperlink"/>
          </w:rPr>
          <w:t xml:space="preserve">https://www.acrossthetimeline.com/wnba/attendance.html</w:t>
        </w:r>
      </w:hyperlink>
      <w:r>
        <w:t xml:space="preserve">.</w:t>
      </w:r>
    </w:p>
    <w:bookmarkEnd w:id="84"/>
    <w:bookmarkStart w:id="86" w:name="ref-AghaBerri2023"/>
    <w:p>
      <w:pPr>
        <w:pStyle w:val="Bibliography"/>
      </w:pPr>
      <w:r>
        <w:t xml:space="preserve">Agha, Nola, and David Berri. 2023.</w:t>
      </w:r>
      <w:r>
        <w:t xml:space="preserve"> </w:t>
      </w:r>
      <w:r>
        <w:t xml:space="preserve">“Demand for Basketball: A Comparison of the WNBA and NBA.”</w:t>
      </w:r>
      <w:r>
        <w:t xml:space="preserve"> </w:t>
      </w:r>
      <w:r>
        <w:rPr>
          <w:i/>
          <w:iCs/>
        </w:rPr>
        <w:t xml:space="preserve">International Journal of Sport Finance</w:t>
      </w:r>
      <w:r>
        <w:t xml:space="preserve"> </w:t>
      </w:r>
      <w:r>
        <w:t xml:space="preserve">18 (1): 35–44.</w:t>
      </w:r>
      <w:r>
        <w:t xml:space="preserve"> </w:t>
      </w:r>
      <w:hyperlink r:id="rId85">
        <w:r>
          <w:rPr>
            <w:rStyle w:val="Hyperlink"/>
          </w:rPr>
          <w:t xml:space="preserve">https://doi.org/10.32731/IJSF/181.022023.03</w:t>
        </w:r>
      </w:hyperlink>
      <w:r>
        <w:t xml:space="preserve">.</w:t>
      </w:r>
    </w:p>
    <w:bookmarkEnd w:id="86"/>
    <w:bookmarkStart w:id="88" w:name="ref-baade1990analysis"/>
    <w:p>
      <w:pPr>
        <w:pStyle w:val="Bibliography"/>
      </w:pPr>
      <w:r>
        <w:t xml:space="preserve">Baade, Robert A, and Laura J Tiehen. 1990.</w:t>
      </w:r>
      <w:r>
        <w:t xml:space="preserve"> </w:t>
      </w:r>
      <w:r>
        <w:t xml:space="preserve">“An Analysis of Major League Baseball Attendance, 1969-1987.”</w:t>
      </w:r>
      <w:r>
        <w:t xml:space="preserve"> </w:t>
      </w:r>
      <w:r>
        <w:rPr>
          <w:i/>
          <w:iCs/>
        </w:rPr>
        <w:t xml:space="preserve">Journal of Sport and Social Issues</w:t>
      </w:r>
      <w:r>
        <w:t xml:space="preserve"> </w:t>
      </w:r>
      <w:r>
        <w:t xml:space="preserve">14 (1): 14–32.</w:t>
      </w:r>
      <w:r>
        <w:t xml:space="preserve"> </w:t>
      </w:r>
      <w:hyperlink r:id="rId87">
        <w:r>
          <w:rPr>
            <w:rStyle w:val="Hyperlink"/>
          </w:rPr>
          <w:t xml:space="preserve">https://doi.org/10.1177/019372359001400102</w:t>
        </w:r>
      </w:hyperlink>
      <w:r>
        <w:t xml:space="preserve">.</w:t>
      </w:r>
    </w:p>
    <w:bookmarkEnd w:id="88"/>
    <w:bookmarkStart w:id="90" w:name="ref-clapp2005long"/>
    <w:p>
      <w:pPr>
        <w:pStyle w:val="Bibliography"/>
      </w:pPr>
      <w:r>
        <w:t xml:space="preserve">Clapp, Christopher M, and Jahn K Hakes. 2005.</w:t>
      </w:r>
      <w:r>
        <w:t xml:space="preserve"> </w:t>
      </w:r>
      <w:r>
        <w:t xml:space="preserve">“How Long a Honeymoon? The Effect of New Stadiums on Attendance in Major League Baseball.”</w:t>
      </w:r>
      <w:r>
        <w:t xml:space="preserve"> </w:t>
      </w:r>
      <w:r>
        <w:rPr>
          <w:i/>
          <w:iCs/>
        </w:rPr>
        <w:t xml:space="preserve">Journal of Sports Economics</w:t>
      </w:r>
      <w:r>
        <w:t xml:space="preserve"> </w:t>
      </w:r>
      <w:r>
        <w:t xml:space="preserve">6 (3): 237–63.</w:t>
      </w:r>
      <w:r>
        <w:t xml:space="preserve"> </w:t>
      </w:r>
      <w:hyperlink r:id="rId89">
        <w:r>
          <w:rPr>
            <w:rStyle w:val="Hyperlink"/>
          </w:rPr>
          <w:t xml:space="preserve">https://doi.org/10.1177/1527002504265957</w:t>
        </w:r>
      </w:hyperlink>
      <w:r>
        <w:t xml:space="preserve">.</w:t>
      </w:r>
    </w:p>
    <w:bookmarkEnd w:id="90"/>
    <w:bookmarkStart w:id="92"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91">
        <w:r>
          <w:rPr>
            <w:rStyle w:val="Hyperlink"/>
          </w:rPr>
          <w:t xml:space="preserve">https://doi.org/10.1111/ecin.12061</w:t>
        </w:r>
      </w:hyperlink>
      <w:r>
        <w:t xml:space="preserve">.</w:t>
      </w:r>
    </w:p>
    <w:bookmarkEnd w:id="92"/>
    <w:bookmarkStart w:id="94"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93">
        <w:r>
          <w:rPr>
            <w:rStyle w:val="Hyperlink"/>
          </w:rPr>
          <w:t xml:space="preserve">https://doi.org/10.1177/155862350800300105</w:t>
        </w:r>
      </w:hyperlink>
      <w:r>
        <w:t xml:space="preserve">.</w:t>
      </w:r>
    </w:p>
    <w:bookmarkEnd w:id="94"/>
    <w:bookmarkStart w:id="96"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95">
        <w:r>
          <w:rPr>
            <w:rStyle w:val="Hyperlink"/>
          </w:rPr>
          <w:t xml:space="preserve">https://doi.org/10.1177/1527002508327387</w:t>
        </w:r>
      </w:hyperlink>
      <w:r>
        <w:t xml:space="preserve">.</w:t>
      </w:r>
    </w:p>
    <w:bookmarkEnd w:id="96"/>
    <w:bookmarkStart w:id="98"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97">
        <w:r>
          <w:rPr>
            <w:rStyle w:val="Hyperlink"/>
          </w:rPr>
          <w:t xml:space="preserve">https://doi.org/10.1123/jsm.2019-0404</w:t>
        </w:r>
      </w:hyperlink>
      <w:r>
        <w:t xml:space="preserve">.</w:t>
      </w:r>
    </w:p>
    <w:bookmarkEnd w:id="98"/>
    <w:bookmarkStart w:id="100"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99">
        <w:r>
          <w:rPr>
            <w:rStyle w:val="Hyperlink"/>
          </w:rPr>
          <w:t xml:space="preserve">https://doi.org/10.1123/jsm.16.4.311</w:t>
        </w:r>
      </w:hyperlink>
      <w:r>
        <w:t xml:space="preserve">.</w:t>
      </w:r>
    </w:p>
    <w:bookmarkEnd w:id="100"/>
    <w:bookmarkStart w:id="101"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01"/>
    <w:bookmarkStart w:id="103"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02">
        <w:r>
          <w:rPr>
            <w:rStyle w:val="Hyperlink"/>
          </w:rPr>
          <w:t xml:space="preserve">https://polecom.org/index.php/polecom/article/view/119</w:t>
        </w:r>
      </w:hyperlink>
      <w:r>
        <w:t xml:space="preserve">.</w:t>
      </w:r>
    </w:p>
    <w:bookmarkEnd w:id="103"/>
    <w:bookmarkStart w:id="105"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04">
        <w:r>
          <w:rPr>
            <w:rStyle w:val="Hyperlink"/>
          </w:rPr>
          <w:t xml:space="preserve">https://doi.org/10.32614/cran.package.wehoop</w:t>
        </w:r>
      </w:hyperlink>
      <w:r>
        <w:t xml:space="preserve">.</w:t>
      </w:r>
    </w:p>
    <w:bookmarkEnd w:id="105"/>
    <w:bookmarkStart w:id="107"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06">
        <w:r>
          <w:rPr>
            <w:rStyle w:val="Hyperlink"/>
          </w:rPr>
          <w:t xml:space="preserve">https://doi.org/10.1080/17430437.2017.1346620</w:t>
        </w:r>
      </w:hyperlink>
      <w:r>
        <w:t xml:space="preserve">.</w:t>
      </w:r>
    </w:p>
    <w:bookmarkEnd w:id="107"/>
    <w:bookmarkStart w:id="109" w:name="ref-hall2002testing"/>
    <w:p>
      <w:pPr>
        <w:pStyle w:val="Bibliography"/>
      </w:pPr>
      <w:r>
        <w:t xml:space="preserve">Hall, Stephen, Stefan Szymanski, and Andrew S Zimbalist. 2002.</w:t>
      </w:r>
      <w:r>
        <w:t xml:space="preserve"> </w:t>
      </w:r>
      <w:r>
        <w:t xml:space="preserve">“Testing Causality Between Team Performance and Payroll: The Cases of Major League Baseball and English Soccer.”</w:t>
      </w:r>
      <w:r>
        <w:t xml:space="preserve"> </w:t>
      </w:r>
      <w:r>
        <w:rPr>
          <w:i/>
          <w:iCs/>
        </w:rPr>
        <w:t xml:space="preserve">Journal of Sports Economics</w:t>
      </w:r>
      <w:r>
        <w:t xml:space="preserve"> </w:t>
      </w:r>
      <w:r>
        <w:t xml:space="preserve">3 (2): 149–68.</w:t>
      </w:r>
      <w:r>
        <w:t xml:space="preserve"> </w:t>
      </w:r>
      <w:hyperlink r:id="rId108">
        <w:r>
          <w:rPr>
            <w:rStyle w:val="Hyperlink"/>
          </w:rPr>
          <w:t xml:space="preserve">https://doi.org/10.1177/152700250200300204</w:t>
        </w:r>
      </w:hyperlink>
      <w:r>
        <w:t xml:space="preserve">.</w:t>
      </w:r>
    </w:p>
    <w:bookmarkEnd w:id="109"/>
    <w:bookmarkStart w:id="111" w:name="ref-HolmesSimmonsBerri2018"/>
    <w:p>
      <w:pPr>
        <w:pStyle w:val="Bibliography"/>
      </w:pPr>
      <w:r>
        <w:t xml:space="preserve">Holmes, Paul M., Rob Simmons, and David J. Berri. 2018.</w:t>
      </w:r>
      <w:r>
        <w:t xml:space="preserve"> </w:t>
      </w:r>
      <w:r>
        <w:t xml:space="preserve">“Moneyball and the Baseball Players’ Labor Market.”</w:t>
      </w:r>
      <w:r>
        <w:t xml:space="preserve"> </w:t>
      </w:r>
      <w:r>
        <w:rPr>
          <w:i/>
          <w:iCs/>
        </w:rPr>
        <w:t xml:space="preserve">International Journal of Sport Finance</w:t>
      </w:r>
      <w:r>
        <w:t xml:space="preserve"> </w:t>
      </w:r>
      <w:r>
        <w:t xml:space="preserve">13 (2): 141–55.</w:t>
      </w:r>
      <w:r>
        <w:t xml:space="preserve"> </w:t>
      </w:r>
      <w:hyperlink r:id="rId110">
        <w:r>
          <w:rPr>
            <w:rStyle w:val="Hyperlink"/>
          </w:rPr>
          <w:t xml:space="preserve">https://doi.org/10.1177/155862351801300203</w:t>
        </w:r>
      </w:hyperlink>
      <w:r>
        <w:t xml:space="preserve">.</w:t>
      </w:r>
    </w:p>
    <w:bookmarkEnd w:id="111"/>
    <w:bookmarkStart w:id="113"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12">
        <w:r>
          <w:rPr>
            <w:rStyle w:val="Hyperlink"/>
          </w:rPr>
          <w:t xml:space="preserve">https://doi.org/10.1002/mde.1308</w:t>
        </w:r>
      </w:hyperlink>
      <w:r>
        <w:t xml:space="preserve">.</w:t>
      </w:r>
    </w:p>
    <w:bookmarkEnd w:id="113"/>
    <w:bookmarkStart w:id="115"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14">
        <w:r>
          <w:rPr>
            <w:rStyle w:val="Hyperlink"/>
          </w:rPr>
          <w:t xml:space="preserve">https://doi.org/10.53728/2765-6500.1616</w:t>
        </w:r>
      </w:hyperlink>
      <w:r>
        <w:t xml:space="preserve">.</w:t>
      </w:r>
    </w:p>
    <w:bookmarkEnd w:id="115"/>
    <w:bookmarkStart w:id="117" w:name="ref-Krautmann1999"/>
    <w:p>
      <w:pPr>
        <w:pStyle w:val="Bibliography"/>
      </w:pPr>
      <w:r>
        <w:t xml:space="preserve">Krautmann, Anthony C. 1999.</w:t>
      </w:r>
      <w:r>
        <w:t xml:space="preserve"> </w:t>
      </w:r>
      <w:r>
        <w:t xml:space="preserve">“What’s Wrong with Scully-Estimates of a Player’s Marginal Revenue Product.”</w:t>
      </w:r>
      <w:r>
        <w:t xml:space="preserve"> </w:t>
      </w:r>
      <w:r>
        <w:rPr>
          <w:i/>
          <w:iCs/>
        </w:rPr>
        <w:t xml:space="preserve">Economic Inquiry</w:t>
      </w:r>
      <w:r>
        <w:t xml:space="preserve"> </w:t>
      </w:r>
      <w:r>
        <w:t xml:space="preserve">37 (2): 369–81.</w:t>
      </w:r>
      <w:r>
        <w:t xml:space="preserve"> </w:t>
      </w:r>
      <w:hyperlink r:id="rId116">
        <w:r>
          <w:rPr>
            <w:rStyle w:val="Hyperlink"/>
          </w:rPr>
          <w:t xml:space="preserve">https://doi.org/10.1111/j.1465-7295.1999.tb01435.x</w:t>
        </w:r>
      </w:hyperlink>
      <w:r>
        <w:t xml:space="preserve">.</w:t>
      </w:r>
    </w:p>
    <w:bookmarkEnd w:id="117"/>
    <w:bookmarkStart w:id="119"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18">
        <w:r>
          <w:rPr>
            <w:rStyle w:val="Hyperlink"/>
          </w:rPr>
          <w:t xml:space="preserve">https://doi.org/10.1177/1527002509337212</w:t>
        </w:r>
      </w:hyperlink>
      <w:r>
        <w:t xml:space="preserve">.</w:t>
      </w:r>
    </w:p>
    <w:bookmarkEnd w:id="119"/>
    <w:bookmarkStart w:id="121"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20">
        <w:r>
          <w:rPr>
            <w:rStyle w:val="Hyperlink"/>
          </w:rPr>
          <w:t xml:space="preserve">https://doi.org/10.1080/14660970.2022.2037218</w:t>
        </w:r>
      </w:hyperlink>
      <w:r>
        <w:t xml:space="preserve">.</w:t>
      </w:r>
    </w:p>
    <w:bookmarkEnd w:id="121"/>
    <w:bookmarkStart w:id="123"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22">
        <w:r>
          <w:rPr>
            <w:rStyle w:val="Hyperlink"/>
          </w:rPr>
          <w:t xml:space="preserve">https://www.jstor.org/stable/1924766</w:t>
        </w:r>
      </w:hyperlink>
      <w:r>
        <w:t xml:space="preserve">.</w:t>
      </w:r>
    </w:p>
    <w:bookmarkEnd w:id="123"/>
    <w:bookmarkStart w:id="124"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24"/>
    <w:bookmarkStart w:id="126"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25">
        <w:r>
          <w:rPr>
            <w:rStyle w:val="Hyperlink"/>
          </w:rPr>
          <w:t xml:space="preserve">https://doi.org/10.1002/(SICI)1099-1255(199611)11:6&lt;619::AID-JAE418&gt;3.0.CO;2-1</w:t>
        </w:r>
      </w:hyperlink>
      <w:r>
        <w:t xml:space="preserve">.</w:t>
      </w:r>
    </w:p>
    <w:bookmarkEnd w:id="126"/>
    <w:bookmarkStart w:id="128"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27">
        <w:r>
          <w:rPr>
            <w:rStyle w:val="Hyperlink"/>
          </w:rPr>
          <w:t xml:space="preserve">https://doi.org/10.3390/ijfs7010012</w:t>
        </w:r>
      </w:hyperlink>
      <w:r>
        <w:t xml:space="preserve">.</w:t>
      </w:r>
    </w:p>
    <w:bookmarkEnd w:id="128"/>
    <w:bookmarkStart w:id="129"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29"/>
    <w:bookmarkStart w:id="130" w:name="ref-Scully1974"/>
    <w:p>
      <w:pPr>
        <w:pStyle w:val="Bibliography"/>
      </w:pPr>
      <w:r>
        <w:t xml:space="preserve">Scully, Gerald W. 1974.</w:t>
      </w:r>
      <w:r>
        <w:t xml:space="preserve"> </w:t>
      </w:r>
      <w:r>
        <w:t xml:space="preserve">“Pay and Performance in Major League Baseball.”</w:t>
      </w:r>
      <w:r>
        <w:t xml:space="preserve"> </w:t>
      </w:r>
      <w:r>
        <w:rPr>
          <w:i/>
          <w:iCs/>
        </w:rPr>
        <w:t xml:space="preserve">American Economic Review</w:t>
      </w:r>
      <w:r>
        <w:t xml:space="preserve"> </w:t>
      </w:r>
      <w:r>
        <w:t xml:space="preserve">64 (6): 915–30.</w:t>
      </w:r>
    </w:p>
    <w:bookmarkEnd w:id="130"/>
    <w:bookmarkStart w:id="131" w:name="ref-vrooman2012theory"/>
    <w:p>
      <w:pPr>
        <w:pStyle w:val="Bibliography"/>
      </w:pPr>
      <w:r>
        <w:t xml:space="preserve">Vrooman, John. 2012.</w:t>
      </w:r>
      <w:r>
        <w:t xml:space="preserve"> </w:t>
      </w:r>
      <w:r>
        <w:rPr>
          <w:i/>
          <w:iCs/>
        </w:rPr>
        <w:t xml:space="preserve">Theory of the Big Dance: The Playoff Pay-Off in Pro Sports Leagues</w:t>
      </w:r>
      <w:r>
        <w:t xml:space="preserve">. New York, NY: Oxford University Press.</w:t>
      </w:r>
    </w:p>
    <w:bookmarkEnd w:id="131"/>
    <w:bookmarkStart w:id="133"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32">
        <w:r>
          <w:rPr>
            <w:rStyle w:val="Hyperlink"/>
          </w:rPr>
          <w:t xml:space="preserve">https://doi.org/10.1080/00031305.2016.1154108</w:t>
        </w:r>
      </w:hyperlink>
      <w:r>
        <w:t xml:space="preserve">.</w:t>
      </w:r>
    </w:p>
    <w:bookmarkEnd w:id="133"/>
    <w:bookmarkStart w:id="135"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34">
        <w:r>
          <w:rPr>
            <w:rStyle w:val="Hyperlink"/>
          </w:rPr>
          <w:t xml:space="preserve">https://doi.org/10.1080/00031305.2019.1583913</w:t>
        </w:r>
      </w:hyperlink>
      <w:r>
        <w:t xml:space="preserve">.</w:t>
      </w:r>
    </w:p>
    <w:bookmarkEnd w:id="135"/>
    <w:bookmarkStart w:id="137"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36">
        <w:r>
          <w:rPr>
            <w:rStyle w:val="Hyperlink"/>
          </w:rPr>
          <w:t xml:space="preserve">https://accessecon.com/pubs/eb/2003/volume1/eb-03a10003a.pdf</w:t>
        </w:r>
      </w:hyperlink>
      <w:r>
        <w:t xml:space="preserve">.</w:t>
      </w:r>
    </w:p>
    <w:bookmarkEnd w:id="137"/>
    <w:bookmarkStart w:id="139" w:name="ref-wnba2024recordseason"/>
    <w:p>
      <w:pPr>
        <w:pStyle w:val="Bibliography"/>
      </w:pPr>
      <w:r>
        <w:t xml:space="preserve">WNBA. 2024.</w:t>
      </w:r>
      <w:r>
        <w:t xml:space="preserve"> </w:t>
      </w:r>
      <w:r>
        <w:t xml:space="preserve">“WNBA Delivers Record‑setting 2024 Season.”</w:t>
      </w:r>
      <w:r>
        <w:t xml:space="preserve"> </w:t>
      </w:r>
      <w:hyperlink r:id="rId138">
        <w:r>
          <w:rPr>
            <w:rStyle w:val="Hyperlink"/>
          </w:rPr>
          <w:t xml:space="preserve">https://www.wnba.com/news/wnba-delivers-record-setting-2024-season</w:t>
        </w:r>
      </w:hyperlink>
      <w:r>
        <w:t xml:space="preserve">.</w:t>
      </w:r>
    </w:p>
    <w:bookmarkEnd w:id="139"/>
    <w:bookmarkStart w:id="140"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40"/>
    <w:bookmarkStart w:id="141" w:name="ref-Zimbalist1992"/>
    <w:p>
      <w:pPr>
        <w:pStyle w:val="Bibliography"/>
      </w:pPr>
      <w:r>
        <w:t xml:space="preserve">Zimbalist, Andrew S. 1992.</w:t>
      </w:r>
      <w:r>
        <w:t xml:space="preserve"> </w:t>
      </w:r>
      <w:r>
        <w:t xml:space="preserve">“Salaries and Performance in Major League Baseball.”</w:t>
      </w:r>
      <w:r>
        <w:t xml:space="preserve"> </w:t>
      </w:r>
      <w:r>
        <w:t xml:space="preserve">In</w:t>
      </w:r>
      <w:r>
        <w:t xml:space="preserve"> </w:t>
      </w:r>
      <w:r>
        <w:rPr>
          <w:i/>
          <w:iCs/>
        </w:rPr>
        <w:t xml:space="preserve">Diamonds Are Forever: The Business of Baseball</w:t>
      </w:r>
      <w:r>
        <w:t xml:space="preserve">. Brookings Institution.</w:t>
      </w:r>
    </w:p>
    <w:bookmarkEnd w:id="141"/>
    <w:bookmarkEnd w:id="142"/>
    <w:bookmarkEnd w:id="143"/>
    <w:bookmarkStart w:id="194" w:name="appendix"/>
    <w:p>
      <w:pPr>
        <w:pStyle w:val="Heading2"/>
      </w:pPr>
      <w:r>
        <w:t xml:space="preserve">6 Appendix</w:t>
      </w:r>
    </w:p>
    <w:bookmarkStart w:id="193" w:name="sec-resid-attend"/>
    <w:p>
      <w:pPr>
        <w:pStyle w:val="Heading3"/>
      </w:pPr>
      <w:r>
        <w:t xml:space="preserve">6.1 Residual analysis of attendance models</w:t>
      </w:r>
    </w:p>
    <w:bookmarkStart w:id="192"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r>
              <w:br/>
            </w:r>
            <w:r>
              <w:br/>
            </w:r>
            <w:r>
              <w:rPr>
                <w:rStyle w:val="VerbatimChar"/>
              </w:rPr>
              <w:t xml:space="preserve">$f2</w:t>
            </w:r>
            <w:r>
              <w:br/>
            </w:r>
            <w:r>
              <w:rPr>
                <w:rStyle w:val="VerbatimChar"/>
              </w:rPr>
              <w:t xml:space="preserve">NULL</w:t>
            </w:r>
            <w:r>
              <w:br/>
            </w:r>
            <w:r>
              <w:br/>
            </w:r>
            <w:r>
              <w:rPr>
                <w:rStyle w:val="VerbatimChar"/>
              </w:rPr>
              <w:t xml:space="preserve">$f3</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47" w:name="fig-resids-1"/>
                <w:p>
                  <w:pPr>
                    <w:pStyle w:val="Compact"/>
                    <w:jc w:val="center"/>
                    <w:jc w:val="left"/>
                  </w:pPr>
                  <w:r>
                    <w:drawing>
                      <wp:inline>
                        <wp:extent cx="4620126" cy="3696101"/>
                        <wp:effectExtent b="0" l="0" r="0" t="0"/>
                        <wp:docPr descr="" title="" id="145" name="Picture"/>
                        <a:graphic>
                          <a:graphicData uri="http://schemas.openxmlformats.org/drawingml/2006/picture">
                            <pic:pic>
                              <pic:nvPicPr>
                                <pic:cNvPr descr="index_files/figure-docx/fig-resids-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9: Residual plots for models.</w:t>
                  </w:r>
                </w:p>
                <w:bookmarkEnd w:id="14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51" w:name="fig-resids-2"/>
                <w:p>
                  <w:pPr>
                    <w:pStyle w:val="Compact"/>
                    <w:jc w:val="center"/>
                    <w:jc w:val="left"/>
                  </w:pPr>
                  <w:r>
                    <w:drawing>
                      <wp:inline>
                        <wp:extent cx="4620126" cy="3696101"/>
                        <wp:effectExtent b="0" l="0" r="0" t="0"/>
                        <wp:docPr descr="" title="" id="149" name="Picture"/>
                        <a:graphic>
                          <a:graphicData uri="http://schemas.openxmlformats.org/drawingml/2006/picture">
                            <pic:pic>
                              <pic:nvPicPr>
                                <pic:cNvPr descr="index_files/figure-docx/fig-resids-2.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10: Residual plots for models.</w:t>
                  </w:r>
                </w:p>
                <w:bookmarkEnd w:id="151"/>
              </w:tc>
            </w:tr>
          </w:tbl>
          <w:p/>
        </w:tc>
        <w:tc>
          <w:tcPr/>
          <w:tbl>
            <w:tblPr>
              <w:tblStyle w:val="Table"/>
              <w:tblW w:type="pct" w:w="5000"/>
              <w:tblLayout w:type="fixed"/>
              <w:tblLook w:firstRow="0" w:lastRow="0" w:firstColumn="0" w:lastColumn="0" w:noHBand="0" w:noVBand="0" w:val="0000"/>
            </w:tblPr>
            <w:tblGrid>
              <w:gridCol w:w="7920"/>
            </w:tblGrid>
            <w:tr>
              <w:tc>
                <w:tcPr/>
                <w:bookmarkStart w:id="155" w:name="fig-resids-3"/>
                <w:p>
                  <w:pPr>
                    <w:pStyle w:val="Compact"/>
                    <w:jc w:val="center"/>
                    <w:jc w:val="left"/>
                  </w:pPr>
                  <w:r>
                    <w:drawing>
                      <wp:inline>
                        <wp:extent cx="4620126" cy="3696101"/>
                        <wp:effectExtent b="0" l="0" r="0" t="0"/>
                        <wp:docPr descr="" title="" id="153" name="Picture"/>
                        <a:graphic>
                          <a:graphicData uri="http://schemas.openxmlformats.org/drawingml/2006/picture">
                            <pic:pic>
                              <pic:nvPicPr>
                                <pic:cNvPr descr="index_files/figure-docx/fig-resids-3.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11: Residual plots for models.</w:t>
                  </w:r>
                </w:p>
                <w:bookmarkEnd w:id="155"/>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59" w:name="fig-resids-4"/>
                <w:p>
                  <w:pPr>
                    <w:pStyle w:val="Compact"/>
                    <w:jc w:val="center"/>
                    <w:jc w:val="left"/>
                  </w:pPr>
                  <w:r>
                    <w:drawing>
                      <wp:inline>
                        <wp:extent cx="4620126" cy="3696101"/>
                        <wp:effectExtent b="0" l="0" r="0" t="0"/>
                        <wp:docPr descr="" title="" id="157" name="Picture"/>
                        <a:graphic>
                          <a:graphicData uri="http://schemas.openxmlformats.org/drawingml/2006/picture">
                            <pic:pic>
                              <pic:nvPicPr>
                                <pic:cNvPr descr="index_files/figure-docx/fig-resids-4.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12: Residual plots for models.</w:t>
                  </w:r>
                </w:p>
                <w:bookmarkEnd w:id="159"/>
              </w:tc>
            </w:tr>
          </w:tbl>
          <w:p/>
        </w:tc>
        <w:tc>
          <w:tcPr/>
          <w:tbl>
            <w:tblPr>
              <w:tblStyle w:val="Table"/>
              <w:tblW w:type="pct" w:w="5000"/>
              <w:tblLayout w:type="fixed"/>
              <w:tblLook w:firstRow="0" w:lastRow="0" w:firstColumn="0" w:lastColumn="0" w:noHBand="0" w:noVBand="0" w:val="0000"/>
            </w:tblPr>
            <w:tblGrid>
              <w:gridCol w:w="7920"/>
            </w:tblGrid>
            <w:tr>
              <w:tc>
                <w:tcPr/>
                <w:bookmarkStart w:id="163" w:name="fig-resids-5"/>
                <w:p>
                  <w:pPr>
                    <w:pStyle w:val="Compact"/>
                    <w:jc w:val="center"/>
                    <w:jc w:val="left"/>
                  </w:pPr>
                  <w:r>
                    <w:drawing>
                      <wp:inline>
                        <wp:extent cx="4620126" cy="3696101"/>
                        <wp:effectExtent b="0" l="0" r="0" t="0"/>
                        <wp:docPr descr="" title="" id="161" name="Picture"/>
                        <a:graphic>
                          <a:graphicData uri="http://schemas.openxmlformats.org/drawingml/2006/picture">
                            <pic:pic>
                              <pic:nvPicPr>
                                <pic:cNvPr descr="index_files/figure-docx/fig-resids-5.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13: Residual plots for models.</w:t>
                  </w:r>
                </w:p>
                <w:bookmarkEnd w:id="163"/>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7" w:name="fig-resids-6"/>
                <w:p>
                  <w:pPr>
                    <w:pStyle w:val="Compact"/>
                    <w:jc w:val="center"/>
                    <w:jc w:val="left"/>
                  </w:pPr>
                  <w:r>
                    <w:drawing>
                      <wp:inline>
                        <wp:extent cx="4620126" cy="3696101"/>
                        <wp:effectExtent b="0" l="0" r="0" t="0"/>
                        <wp:docPr descr="" title="" id="165" name="Picture"/>
                        <a:graphic>
                          <a:graphicData uri="http://schemas.openxmlformats.org/drawingml/2006/picture">
                            <pic:pic>
                              <pic:nvPicPr>
                                <pic:cNvPr descr="index_files/figure-docx/fig-resids-6.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14: Residual plots for models.</w:t>
                  </w:r>
                </w:p>
                <w:bookmarkEnd w:id="167"/>
              </w:tc>
            </w:tr>
          </w:tbl>
          <w:p/>
        </w:tc>
        <w:tc>
          <w:tcPr/>
          <w:tbl>
            <w:tblPr>
              <w:tblStyle w:val="Table"/>
              <w:tblW w:type="pct" w:w="5000"/>
              <w:tblLayout w:type="fixed"/>
              <w:tblLook w:firstRow="0" w:lastRow="0" w:firstColumn="0" w:lastColumn="0" w:noHBand="0" w:noVBand="0" w:val="0000"/>
            </w:tblPr>
            <w:tblGrid>
              <w:gridCol w:w="7920"/>
            </w:tblGrid>
            <w:tr>
              <w:tc>
                <w:tcPr/>
                <w:bookmarkStart w:id="171" w:name="fig-resids-7"/>
                <w:p>
                  <w:pPr>
                    <w:pStyle w:val="Compact"/>
                    <w:jc w:val="center"/>
                    <w:jc w:val="left"/>
                  </w:pPr>
                  <w:r>
                    <w:drawing>
                      <wp:inline>
                        <wp:extent cx="4620126" cy="3696101"/>
                        <wp:effectExtent b="0" l="0" r="0" t="0"/>
                        <wp:docPr descr="" title="" id="169" name="Picture"/>
                        <a:graphic>
                          <a:graphicData uri="http://schemas.openxmlformats.org/drawingml/2006/picture">
                            <pic:pic>
                              <pic:nvPicPr>
                                <pic:cNvPr descr="index_files/figure-docx/fig-resids-7.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15: Residual plots for models.</w:t>
                  </w:r>
                </w:p>
                <w:bookmarkEnd w:id="171"/>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75" w:name="fig-resids-8"/>
                <w:p>
                  <w:pPr>
                    <w:pStyle w:val="Compact"/>
                    <w:jc w:val="center"/>
                    <w:jc w:val="left"/>
                  </w:pPr>
                  <w:r>
                    <w:drawing>
                      <wp:inline>
                        <wp:extent cx="4620126" cy="3696101"/>
                        <wp:effectExtent b="0" l="0" r="0" t="0"/>
                        <wp:docPr descr="" title="" id="173" name="Picture"/>
                        <a:graphic>
                          <a:graphicData uri="http://schemas.openxmlformats.org/drawingml/2006/picture">
                            <pic:pic>
                              <pic:nvPicPr>
                                <pic:cNvPr descr="index_files/figure-docx/fig-resids-8.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16: Residual plots for models.</w:t>
                  </w:r>
                </w:p>
                <w:bookmarkEnd w:id="175"/>
              </w:tc>
            </w:tr>
          </w:tbl>
          <w:p/>
        </w:tc>
        <w:tc>
          <w:tcPr/>
          <w:tbl>
            <w:tblPr>
              <w:tblStyle w:val="Table"/>
              <w:tblW w:type="pct" w:w="5000"/>
              <w:tblLayout w:type="fixed"/>
              <w:tblLook w:firstRow="0" w:lastRow="0" w:firstColumn="0" w:lastColumn="0" w:noHBand="0" w:noVBand="0" w:val="0000"/>
            </w:tblPr>
            <w:tblGrid>
              <w:gridCol w:w="7920"/>
            </w:tblGrid>
            <w:tr>
              <w:tc>
                <w:tcPr/>
                <w:bookmarkStart w:id="179" w:name="fig-resids-9"/>
                <w:p>
                  <w:pPr>
                    <w:pStyle w:val="Compact"/>
                    <w:jc w:val="center"/>
                    <w:jc w:val="left"/>
                  </w:pPr>
                  <w:r>
                    <w:drawing>
                      <wp:inline>
                        <wp:extent cx="4620126" cy="3696101"/>
                        <wp:effectExtent b="0" l="0" r="0" t="0"/>
                        <wp:docPr descr="" title="" id="177" name="Picture"/>
                        <a:graphic>
                          <a:graphicData uri="http://schemas.openxmlformats.org/drawingml/2006/picture">
                            <pic:pic>
                              <pic:nvPicPr>
                                <pic:cNvPr descr="index_files/figure-docx/fig-resids-9.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79"/>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3" w:name="fig-resids-10"/>
                <w:p>
                  <w:pPr>
                    <w:pStyle w:val="Compact"/>
                    <w:jc w:val="center"/>
                    <w:jc w:val="left"/>
                  </w:pPr>
                  <w:r>
                    <w:drawing>
                      <wp:inline>
                        <wp:extent cx="4620126" cy="3696101"/>
                        <wp:effectExtent b="0" l="0" r="0" t="0"/>
                        <wp:docPr descr="" title="" id="181" name="Picture"/>
                        <a:graphic>
                          <a:graphicData uri="http://schemas.openxmlformats.org/drawingml/2006/picture">
                            <pic:pic>
                              <pic:nvPicPr>
                                <pic:cNvPr descr="index_files/figure-docx/fig-resids-10.png" id="182" name="Picture"/>
                                <pic:cNvPicPr>
                                  <a:picLocks noChangeArrowheads="1" noChangeAspect="1"/>
                                </pic:cNvPicPr>
                              </pic:nvPicPr>
                              <pic:blipFill>
                                <a:blip r:embed="rId18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83"/>
              </w:tc>
            </w:tr>
          </w:tbl>
          <w:p/>
        </w:tc>
        <w:tc>
          <w:tcPr/>
          <w:tbl>
            <w:tblPr>
              <w:tblStyle w:val="Table"/>
              <w:tblW w:type="pct" w:w="5000"/>
              <w:tblLayout w:type="fixed"/>
              <w:tblLook w:firstRow="0" w:lastRow="0" w:firstColumn="0" w:lastColumn="0" w:noHBand="0" w:noVBand="0" w:val="0000"/>
            </w:tblPr>
            <w:tblGrid>
              <w:gridCol w:w="7920"/>
            </w:tblGrid>
            <w:tr>
              <w:tc>
                <w:tcPr/>
                <w:bookmarkStart w:id="187" w:name="fig-resids-11"/>
                <w:p>
                  <w:pPr>
                    <w:pStyle w:val="Compact"/>
                    <w:jc w:val="center"/>
                    <w:jc w:val="left"/>
                  </w:pPr>
                  <w:r>
                    <w:drawing>
                      <wp:inline>
                        <wp:extent cx="4620126" cy="3696101"/>
                        <wp:effectExtent b="0" l="0" r="0" t="0"/>
                        <wp:docPr descr="" title="" id="185" name="Picture"/>
                        <a:graphic>
                          <a:graphicData uri="http://schemas.openxmlformats.org/drawingml/2006/picture">
                            <pic:pic>
                              <pic:nvPicPr>
                                <pic:cNvPr descr="index_files/figure-docx/fig-resids-11.png" id="186" name="Picture"/>
                                <pic:cNvPicPr>
                                  <a:picLocks noChangeArrowheads="1" noChangeAspect="1"/>
                                </pic:cNvPicPr>
                              </pic:nvPicPr>
                              <pic:blipFill>
                                <a:blip r:embed="rId18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8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1" w:name="fig-resids-12"/>
                <w:p>
                  <w:pPr>
                    <w:pStyle w:val="Compact"/>
                    <w:jc w:val="center"/>
                    <w:jc w:val="left"/>
                  </w:pPr>
                  <w:r>
                    <w:drawing>
                      <wp:inline>
                        <wp:extent cx="4620126" cy="3696101"/>
                        <wp:effectExtent b="0" l="0" r="0" t="0"/>
                        <wp:docPr descr="" title="" id="189" name="Picture"/>
                        <a:graphic>
                          <a:graphicData uri="http://schemas.openxmlformats.org/drawingml/2006/picture">
                            <pic:pic>
                              <pic:nvPicPr>
                                <pic:cNvPr descr="index_files/figure-docx/fig-resids-12.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91"/>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Note that, as in most sports leagues, there is always the possibility finagling with game attendance figures. The WNBA appears to give attendance counting instructions to teams that define attendance as turnstile count, plus season ticket sales, plus complimentary tickets and promotions. There is considerable for these factors to be manipulated, rendering the possibility of noise in the attendance figures we use.</w:t>
      </w:r>
    </w:p>
  </w:footnote>
  <w:footnote w:id="15">
    <w:p>
      <w:pPr>
        <w:pStyle w:val="FootnoteText"/>
      </w:pPr>
      <w:r>
        <w:rPr>
          <w:rStyle w:val="FootnoteReference"/>
        </w:rPr>
        <w:footnoteRef/>
      </w:r>
      <w:r>
        <w:t xml:space="preserve"> </w:t>
      </w:r>
      <w:r>
        <w:t xml:space="preserve">We were only able to collect an estimate for the</w:t>
      </w:r>
      <w:r>
        <w:t xml:space="preserve"> </w:t>
      </w:r>
      <w:r>
        <w:rPr>
          <w:i/>
          <w:iCs/>
        </w:rPr>
        <w:t xml:space="preserve">current</w:t>
      </w:r>
      <w:r>
        <w:t xml:space="preserve"> </w:t>
      </w:r>
      <w:r>
        <w:t xml:space="preserve">arena capacity, which is not necessarily the same as the arena capacity on the day of the game.</w:t>
      </w:r>
    </w:p>
  </w:footnote>
  <w:footnote w:id="44">
    <w:p>
      <w:pPr>
        <w:pStyle w:val="FootnoteText"/>
      </w:pPr>
      <w:r>
        <w:rPr>
          <w:rStyle w:val="FootnoteReference"/>
        </w:rPr>
        <w:footnoteRef/>
      </w:r>
      <w:r>
        <w:t xml:space="preserve"> </w:t>
      </w:r>
      <w:r>
        <w:t xml:space="preserve">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7" Target="media/rId37.png" /><Relationship Type="http://schemas.openxmlformats.org/officeDocument/2006/relationships/image" Id="rId23" Target="media/rId23.png" /><Relationship Type="http://schemas.openxmlformats.org/officeDocument/2006/relationships/image" Id="rId144" Target="media/rId144.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53" Target="media/rId53.png" /><Relationship Type="http://schemas.openxmlformats.org/officeDocument/2006/relationships/image" Id="rId67" Target="media/rId67.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hyperlink" Id="rId136" Target="https://accessecon.com/pubs/eb/2003/volume1/eb-03a10003a.pdf" TargetMode="External" /><Relationship Type="http://schemas.openxmlformats.org/officeDocument/2006/relationships/hyperlink" Id="rId9" Target="https://beanumber.github.io/wnbaattendance/index.qmd.html" TargetMode="External" /><Relationship Type="http://schemas.openxmlformats.org/officeDocument/2006/relationships/hyperlink" Id="rId125" Target="https://doi.org/10.1002/(SICI)1099-1255(199611)11:6&lt;619::AID-JAE418&gt;3.0.CO;2-1" TargetMode="External" /><Relationship Type="http://schemas.openxmlformats.org/officeDocument/2006/relationships/hyperlink" Id="rId112" Target="https://doi.org/10.1002/mde.1308" TargetMode="External" /><Relationship Type="http://schemas.openxmlformats.org/officeDocument/2006/relationships/hyperlink" Id="rId132" Target="https://doi.org/10.1080/00031305.2016.1154108" TargetMode="External" /><Relationship Type="http://schemas.openxmlformats.org/officeDocument/2006/relationships/hyperlink" Id="rId134" Target="https://doi.org/10.1080/00031305.2019.1583913" TargetMode="External" /><Relationship Type="http://schemas.openxmlformats.org/officeDocument/2006/relationships/hyperlink" Id="rId120" Target="https://doi.org/10.1080/14660970.2022.2037218" TargetMode="External" /><Relationship Type="http://schemas.openxmlformats.org/officeDocument/2006/relationships/hyperlink" Id="rId106" Target="https://doi.org/10.1080/17430437.2017.1346620" TargetMode="External" /><Relationship Type="http://schemas.openxmlformats.org/officeDocument/2006/relationships/hyperlink" Id="rId91" Target="https://doi.org/10.1111/ecin.12061" TargetMode="External" /><Relationship Type="http://schemas.openxmlformats.org/officeDocument/2006/relationships/hyperlink" Id="rId116" Target="https://doi.org/10.1111/j.1465-7295.1999.tb01435.x" TargetMode="External" /><Relationship Type="http://schemas.openxmlformats.org/officeDocument/2006/relationships/hyperlink" Id="rId99" Target="https://doi.org/10.1123/jsm.16.4.311" TargetMode="External" /><Relationship Type="http://schemas.openxmlformats.org/officeDocument/2006/relationships/hyperlink" Id="rId97" Target="https://doi.org/10.1123/jsm.2019-0404" TargetMode="External" /><Relationship Type="http://schemas.openxmlformats.org/officeDocument/2006/relationships/hyperlink" Id="rId87" Target="https://doi.org/10.1177/019372359001400102" TargetMode="External" /><Relationship Type="http://schemas.openxmlformats.org/officeDocument/2006/relationships/hyperlink" Id="rId108" Target="https://doi.org/10.1177/152700250200300204" TargetMode="External" /><Relationship Type="http://schemas.openxmlformats.org/officeDocument/2006/relationships/hyperlink" Id="rId89" Target="https://doi.org/10.1177/1527002504265957" TargetMode="External" /><Relationship Type="http://schemas.openxmlformats.org/officeDocument/2006/relationships/hyperlink" Id="rId95" Target="https://doi.org/10.1177/1527002508327387" TargetMode="External" /><Relationship Type="http://schemas.openxmlformats.org/officeDocument/2006/relationships/hyperlink" Id="rId118" Target="https://doi.org/10.1177/1527002509337212" TargetMode="External" /><Relationship Type="http://schemas.openxmlformats.org/officeDocument/2006/relationships/hyperlink" Id="rId93" Target="https://doi.org/10.1177/155862350800300105" TargetMode="External" /><Relationship Type="http://schemas.openxmlformats.org/officeDocument/2006/relationships/hyperlink" Id="rId110" Target="https://doi.org/10.1177/155862351801300203" TargetMode="External" /><Relationship Type="http://schemas.openxmlformats.org/officeDocument/2006/relationships/hyperlink" Id="rId104" Target="https://doi.org/10.32614/cran.package.wehoop" TargetMode="External" /><Relationship Type="http://schemas.openxmlformats.org/officeDocument/2006/relationships/hyperlink" Id="rId85" Target="https://doi.org/10.32731/IJSF/181.022023.03" TargetMode="External" /><Relationship Type="http://schemas.openxmlformats.org/officeDocument/2006/relationships/hyperlink" Id="rId127" Target="https://doi.org/10.3390/ijfs7010012" TargetMode="External" /><Relationship Type="http://schemas.openxmlformats.org/officeDocument/2006/relationships/hyperlink" Id="rId114" Target="https://doi.org/10.53728/2765-6500.1616" TargetMode="External" /><Relationship Type="http://schemas.openxmlformats.org/officeDocument/2006/relationships/hyperlink" Id="rId102" Target="https://polecom.org/index.php/polecom/article/view/119" TargetMode="External" /><Relationship Type="http://schemas.openxmlformats.org/officeDocument/2006/relationships/hyperlink" Id="rId83" Target="https://www.acrossthetimeline.com/wnba/attendance.html" TargetMode="External" /><Relationship Type="http://schemas.openxmlformats.org/officeDocument/2006/relationships/hyperlink" Id="rId122" Target="https://www.jstor.org/stable/1924766" TargetMode="External" /><Relationship Type="http://schemas.openxmlformats.org/officeDocument/2006/relationships/hyperlink" Id="rId138"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36" Target="https://accessecon.com/pubs/eb/2003/volume1/eb-03a10003a.pdf" TargetMode="External" /><Relationship Type="http://schemas.openxmlformats.org/officeDocument/2006/relationships/hyperlink" Id="rId9" Target="https://beanumber.github.io/wnbaattendance/index.qmd.html" TargetMode="External" /><Relationship Type="http://schemas.openxmlformats.org/officeDocument/2006/relationships/hyperlink" Id="rId125" Target="https://doi.org/10.1002/(SICI)1099-1255(199611)11:6&lt;619::AID-JAE418&gt;3.0.CO;2-1" TargetMode="External" /><Relationship Type="http://schemas.openxmlformats.org/officeDocument/2006/relationships/hyperlink" Id="rId112" Target="https://doi.org/10.1002/mde.1308" TargetMode="External" /><Relationship Type="http://schemas.openxmlformats.org/officeDocument/2006/relationships/hyperlink" Id="rId132" Target="https://doi.org/10.1080/00031305.2016.1154108" TargetMode="External" /><Relationship Type="http://schemas.openxmlformats.org/officeDocument/2006/relationships/hyperlink" Id="rId134" Target="https://doi.org/10.1080/00031305.2019.1583913" TargetMode="External" /><Relationship Type="http://schemas.openxmlformats.org/officeDocument/2006/relationships/hyperlink" Id="rId120" Target="https://doi.org/10.1080/14660970.2022.2037218" TargetMode="External" /><Relationship Type="http://schemas.openxmlformats.org/officeDocument/2006/relationships/hyperlink" Id="rId106" Target="https://doi.org/10.1080/17430437.2017.1346620" TargetMode="External" /><Relationship Type="http://schemas.openxmlformats.org/officeDocument/2006/relationships/hyperlink" Id="rId91" Target="https://doi.org/10.1111/ecin.12061" TargetMode="External" /><Relationship Type="http://schemas.openxmlformats.org/officeDocument/2006/relationships/hyperlink" Id="rId116" Target="https://doi.org/10.1111/j.1465-7295.1999.tb01435.x" TargetMode="External" /><Relationship Type="http://schemas.openxmlformats.org/officeDocument/2006/relationships/hyperlink" Id="rId99" Target="https://doi.org/10.1123/jsm.16.4.311" TargetMode="External" /><Relationship Type="http://schemas.openxmlformats.org/officeDocument/2006/relationships/hyperlink" Id="rId97" Target="https://doi.org/10.1123/jsm.2019-0404" TargetMode="External" /><Relationship Type="http://schemas.openxmlformats.org/officeDocument/2006/relationships/hyperlink" Id="rId87" Target="https://doi.org/10.1177/019372359001400102" TargetMode="External" /><Relationship Type="http://schemas.openxmlformats.org/officeDocument/2006/relationships/hyperlink" Id="rId108" Target="https://doi.org/10.1177/152700250200300204" TargetMode="External" /><Relationship Type="http://schemas.openxmlformats.org/officeDocument/2006/relationships/hyperlink" Id="rId89" Target="https://doi.org/10.1177/1527002504265957" TargetMode="External" /><Relationship Type="http://schemas.openxmlformats.org/officeDocument/2006/relationships/hyperlink" Id="rId95" Target="https://doi.org/10.1177/1527002508327387" TargetMode="External" /><Relationship Type="http://schemas.openxmlformats.org/officeDocument/2006/relationships/hyperlink" Id="rId118" Target="https://doi.org/10.1177/1527002509337212" TargetMode="External" /><Relationship Type="http://schemas.openxmlformats.org/officeDocument/2006/relationships/hyperlink" Id="rId93" Target="https://doi.org/10.1177/155862350800300105" TargetMode="External" /><Relationship Type="http://schemas.openxmlformats.org/officeDocument/2006/relationships/hyperlink" Id="rId110" Target="https://doi.org/10.1177/155862351801300203" TargetMode="External" /><Relationship Type="http://schemas.openxmlformats.org/officeDocument/2006/relationships/hyperlink" Id="rId104" Target="https://doi.org/10.32614/cran.package.wehoop" TargetMode="External" /><Relationship Type="http://schemas.openxmlformats.org/officeDocument/2006/relationships/hyperlink" Id="rId85" Target="https://doi.org/10.32731/IJSF/181.022023.03" TargetMode="External" /><Relationship Type="http://schemas.openxmlformats.org/officeDocument/2006/relationships/hyperlink" Id="rId127" Target="https://doi.org/10.3390/ijfs7010012" TargetMode="External" /><Relationship Type="http://schemas.openxmlformats.org/officeDocument/2006/relationships/hyperlink" Id="rId114" Target="https://doi.org/10.53728/2765-6500.1616" TargetMode="External" /><Relationship Type="http://schemas.openxmlformats.org/officeDocument/2006/relationships/hyperlink" Id="rId102" Target="https://polecom.org/index.php/polecom/article/view/119" TargetMode="External" /><Relationship Type="http://schemas.openxmlformats.org/officeDocument/2006/relationships/hyperlink" Id="rId83" Target="https://www.acrossthetimeline.com/wnba/attendance.html" TargetMode="External" /><Relationship Type="http://schemas.openxmlformats.org/officeDocument/2006/relationships/hyperlink" Id="rId122" Target="https://www.jstor.org/stable/1924766" TargetMode="External" /><Relationship Type="http://schemas.openxmlformats.org/officeDocument/2006/relationships/hyperlink" Id="rId138"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 Player Salary, Winning Percentage</cp:keywords>
  <dcterms:created xsi:type="dcterms:W3CDTF">2026-06-02T19:41:32Z</dcterms:created>
  <dcterms:modified xsi:type="dcterms:W3CDTF">2026-06-02T19:41:32Z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central question in the intersection between sports economics and sports analytics is how to quantify the effects of what happens on the court or field on a team’s revenue. In general, the literature expects that stronger teams will see higher live game attendance, but previous research has not found a statistically significant relationship between winning percentage and attendance in the WNBA (Agha and Berri 2023). Our study improves upon theirs by using a rolling win count from the past 44 games played rather than a seasonal winning-percentage to predict per game attendance. This avoids look-ahead bias, as fans cannot be expected to know a team’s future performance when deciding to attend a game. Using game-level data for all WNBA regular-season games from 2018–2024, we estimated an ordinary least squares model of per-game attendance with team and season fixed effects and a dummy variable for whether Caitlin Clark played. We then translated player win shares into expected attendance impacts by mapping individual contributions to team wins onto the estimated attendance–winning relationship. We chose to focus on attendance as a proxy for revenue following the research framework from Scully (1974), due to concerns about revenue data availability. We used attendance data from the “Across the Timeline: WNBA League Attendance Dashboard”, which records game-level attendance data for all WNBA games. We find a significant relationship between rolling win count and game attendance, with game attendance expected to increase by 112 people for each additional win in the 44 game window. This means that a player like Allisha Gray, for example, who we estimate contributed 10 wins to the Atlanta Dream in 2024, boosted attendance by approximately 1,100 attendees per game. These results highlight the importance of short-run performance in shaping fan demand and provide a framework for linking individual player performance to team-level revenue outcomes in women’s professional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2026-06-02</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