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162"/>
        <w:tblW w:w="266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double" w:color="auto" w:sz="12" w:space="0"/>
              <w:left w:val="double" w:color="auto" w:sz="12" w:space="0"/>
              <w:bottom w:val="double" w:color="auto" w:sz="12" w:space="0"/>
              <w:right w:val="double" w:color="auto" w:sz="12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b/>
                <w:sz w:val="28"/>
                <w:szCs w:val="20"/>
              </w:rPr>
            </w:pPr>
            <w:r>
              <w:rPr>
                <w:rFonts w:hint="eastAsia" w:ascii="黑体" w:hAnsi="黑体" w:eastAsia="黑体" w:cs="黑体"/>
                <w:b/>
                <w:sz w:val="28"/>
                <w:szCs w:val="20"/>
              </w:rPr>
              <w:t>内部资料 严禁外传</w:t>
            </w:r>
          </w:p>
        </w:tc>
      </w:tr>
    </w:tbl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textWrapping"/>
      </w:r>
    </w:p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基于网关</w:t>
      </w:r>
    </w:p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数控引擎概要设计</w:t>
      </w:r>
    </w:p>
    <w:p>
      <w:pPr>
        <w:ind w:firstLine="420"/>
        <w:jc w:val="center"/>
        <w:rPr>
          <w:rFonts w:hint="eastAsia" w:ascii="黑体" w:hAnsi="黑体" w:eastAsia="黑体" w:cs="黑体"/>
          <w:b/>
          <w:sz w:val="36"/>
          <w:szCs w:val="36"/>
        </w:rPr>
      </w:pPr>
      <w:r>
        <w:rPr>
          <w:rFonts w:hint="eastAsia" w:ascii="黑体" w:hAnsi="黑体" w:eastAsia="黑体" w:cs="黑体"/>
          <w:b/>
          <w:sz w:val="36"/>
          <w:szCs w:val="36"/>
        </w:rPr>
        <w:t>（v1.0.0）</w:t>
      </w:r>
    </w:p>
    <w:p>
      <w:pPr>
        <w:rPr>
          <w:rFonts w:hint="eastAsia" w:ascii="黑体" w:hAnsi="黑体" w:eastAsia="黑体" w:cs="黑体"/>
        </w:rPr>
      </w:pPr>
    </w:p>
    <w:p>
      <w:pPr>
        <w:ind w:firstLine="2520" w:firstLineChars="1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项目编号：QX-IOT-20</w:t>
      </w:r>
      <w:r>
        <w:rPr>
          <w:rFonts w:hint="eastAsia" w:ascii="黑体" w:hAnsi="黑体" w:eastAsia="黑体" w:cs="黑体"/>
          <w:lang w:val="en-US" w:eastAsia="zh-CN"/>
        </w:rPr>
        <w:t>20</w:t>
      </w:r>
      <w:r>
        <w:rPr>
          <w:rFonts w:hint="eastAsia" w:ascii="黑体" w:hAnsi="黑体" w:eastAsia="黑体" w:cs="黑体"/>
        </w:rPr>
        <w:t>.</w:t>
      </w:r>
      <w:r>
        <w:rPr>
          <w:rFonts w:hint="eastAsia" w:ascii="黑体" w:hAnsi="黑体" w:eastAsia="黑体" w:cs="黑体"/>
          <w:lang w:val="en-US" w:eastAsia="zh-CN"/>
        </w:rPr>
        <w:t>11.11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0" w:name="_Toc54277860"/>
      <w:bookmarkStart w:id="1" w:name="_Toc53387264"/>
      <w:r>
        <w:rPr>
          <w:rFonts w:hint="eastAsia" w:ascii="黑体" w:hAnsi="黑体" w:eastAsia="黑体" w:cs="黑体"/>
          <w:b/>
          <w:bCs/>
          <w:sz w:val="32"/>
          <w:szCs w:val="32"/>
        </w:rPr>
        <w:t>战略信息中心 软件开发部</w:t>
      </w:r>
      <w:bookmarkEnd w:id="0"/>
      <w:bookmarkEnd w:id="1"/>
    </w:p>
    <w:p>
      <w:pPr>
        <w:bidi w:val="0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bookmarkStart w:id="2" w:name="_Toc54277861"/>
      <w:bookmarkStart w:id="3" w:name="_Toc53387265"/>
      <w:r>
        <w:rPr>
          <w:rFonts w:hint="eastAsia" w:ascii="黑体" w:hAnsi="黑体" w:eastAsia="黑体" w:cs="黑体"/>
          <w:b/>
          <w:bCs/>
          <w:sz w:val="32"/>
          <w:szCs w:val="32"/>
        </w:rPr>
        <w:t>2020年1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月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11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日</w:t>
      </w:r>
      <w:bookmarkEnd w:id="2"/>
      <w:bookmarkEnd w:id="3"/>
    </w:p>
    <w:tbl>
      <w:tblPr>
        <w:tblStyle w:val="3"/>
        <w:tblpPr w:leftFromText="180" w:rightFromText="180" w:vertAnchor="text" w:horzAnchor="page" w:tblpX="805" w:tblpY="588"/>
        <w:tblOverlap w:val="never"/>
        <w:tblW w:w="10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73"/>
        <w:gridCol w:w="3930"/>
        <w:gridCol w:w="1402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bookmarkStart w:id="4" w:name="_Toc49430141"/>
            <w:bookmarkStart w:id="5" w:name="_Toc443835137"/>
            <w:bookmarkStart w:id="6" w:name="_Toc54277862"/>
            <w:r>
              <w:rPr>
                <w:rFonts w:hint="eastAsia" w:ascii="黑体" w:hAnsi="黑体" w:eastAsia="黑体" w:cs="黑体"/>
              </w:rPr>
              <w:t>版本编号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修订模式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修订内容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ind w:firstLine="163" w:firstLineChars="78"/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修订人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v1.0.0</w:t>
            </w: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A</w:t>
            </w: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肖晓颖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lang w:val="en-US" w:eastAsia="zh-CN"/>
              </w:rPr>
              <w:t>20201111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5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562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3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rFonts w:hint="eastAsia" w:ascii="黑体" w:hAnsi="黑体" w:eastAsia="黑体" w:cs="黑体"/>
          <w:b/>
        </w:rPr>
      </w:pPr>
      <w:r>
        <w:rPr>
          <w:rStyle w:val="6"/>
          <w:rFonts w:hint="eastAsia" w:ascii="黑体" w:hAnsi="黑体" w:eastAsia="黑体" w:cs="黑体"/>
          <w:sz w:val="32"/>
          <w:szCs w:val="32"/>
        </w:rPr>
        <w:t>文档修订记录</w:t>
      </w:r>
      <w:bookmarkEnd w:id="4"/>
      <w:bookmarkEnd w:id="5"/>
      <w:bookmarkEnd w:id="6"/>
    </w:p>
    <w:p>
      <w:pPr>
        <w:ind w:firstLine="56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*修订模式：A-新增、D-删除、M-修改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引言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编写目的</w:t>
      </w:r>
    </w:p>
    <w:p>
      <w:pPr>
        <w:rPr>
          <w:rFonts w:hint="eastAsia"/>
        </w:rPr>
      </w:pPr>
      <w:r>
        <w:rPr>
          <w:rFonts w:hint="eastAsia"/>
        </w:rPr>
        <w:t>为明确软件需求、安排项目规划与进度、组织软件开发与测试，撰写本文档。</w:t>
      </w:r>
    </w:p>
    <w:p>
      <w:pPr>
        <w:rPr>
          <w:rFonts w:hint="eastAsia"/>
        </w:rPr>
      </w:pPr>
      <w:r>
        <w:rPr>
          <w:rFonts w:hint="eastAsia"/>
        </w:rPr>
        <w:t>本文档供项目经理、设计人员、开发人员参考。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项目背景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基于千玺研发的多种设备，每个设备都 对应一套调度的程序来驱动设备，对人力物力损耗比较大的纵向开发模式；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任务概述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目的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为了解决对与纵向本地调度程序；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为了解决以后设备应用从开发过度到配置化的应用程序；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为了解决兼容多设备的调度执行；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为了解决设备更新换代后可以从配置中适应；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运行环境 </w:t>
      </w:r>
    </w:p>
    <w:p>
      <w:pPr>
        <w:pStyle w:val="2"/>
        <w:numPr>
          <w:ilvl w:val="2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硬件环境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本地终端中控机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本地终端服务器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局域网内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软件环境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条件与限制</w:t>
      </w:r>
    </w:p>
    <w:p>
      <w:pPr>
        <w:pStyle w:val="2"/>
        <w:numPr>
          <w:ilvl w:val="0"/>
          <w:numId w:val="1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数据描述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数据类型</w:t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流程数据（xml)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配置数据（数据库）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设备采集数据(数据块）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接口数据（json)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数据流向规划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7506335"/>
            <wp:effectExtent l="0" t="0" r="3175" b="6985"/>
            <wp:docPr id="2" name="图片 2" descr="未命名文件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功能需求概要</w:t>
      </w: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功能划分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前端程序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网关配置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工艺流程图绘画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云端程序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配置获取接口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配置数据管理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本地程序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同步配置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订单执行/反馈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设备点检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数据采集/报警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功能描述 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53055" cy="6996430"/>
            <wp:effectExtent l="0" t="0" r="12065" b="13970"/>
            <wp:docPr id="3" name="图片 3" descr="执行引擎与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执行引擎与网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云端配置  </w:t>
      </w: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数据结构管理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数据块配置，是为了每个设备的数据可以成块读取。如：一个short的类型可以分为16bit类型的小块；又例如几个类型基础类型可以组成大的数据库；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在网关里面 json 转义成数据块 或者 数据库转义成json 的数据结构，都需要配置的支撑；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配置界面：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4406265" cy="2167255"/>
            <wp:effectExtent l="0" t="0" r="13335" b="12065"/>
            <wp:docPr id="4" name="图片 4" descr="未命名文件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1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数据结构：</w:t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配置管理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10585"/>
            <wp:effectExtent l="0" t="0" r="2540" b="3175"/>
            <wp:docPr id="5" name="图片 5" descr="85550a7acd16c3ecdf92001814b4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5550a7acd16c3ecdf92001814b49c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这里针对每个一个设备进行配置；配置设备的ip / ID /io /方法等；每一行配置都对应一个设备；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方法功能 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属性（io点）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报警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执行反馈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0500" cy="3410585"/>
            <wp:effectExtent l="0" t="0" r="2540" b="3175"/>
            <wp:docPr id="6" name="图片 6" descr="ba6e189dff01f1d3a2bb83e2288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a6e189dff01f1d3a2bb83e228861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调试功能 </w:t>
      </w: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工艺流程配置管理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10585"/>
            <wp:effectExtent l="0" t="0" r="2540" b="3175"/>
            <wp:docPr id="7" name="图片 7" descr="4ba334c5b1192194479ed19a0de4f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ba334c5b1192194479ed19a0de4f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流程发布/禁用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流程添加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流程修改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流程删除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流程复制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节点管理（开发） </w:t>
      </w:r>
    </w:p>
    <w:p>
      <w:pPr>
        <w:pStyle w:val="2"/>
        <w:numPr>
          <w:ilvl w:val="6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节点发布/禁用 </w:t>
      </w:r>
    </w:p>
    <w:p>
      <w:pPr>
        <w:pStyle w:val="2"/>
        <w:numPr>
          <w:ilvl w:val="6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节点删除 </w:t>
      </w:r>
    </w:p>
    <w:p>
      <w:pPr>
        <w:pStyle w:val="2"/>
        <w:numPr>
          <w:ilvl w:val="6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节点修改 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5270500" cy="3410585"/>
            <wp:effectExtent l="0" t="0" r="2540" b="3175"/>
            <wp:docPr id="8" name="图片 8" descr="95c518ad51603dc7df6888136e81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5c518ad51603dc7df6888136e81ee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门店设备管理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设备管理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一个门店下有多个设备；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每个设备的执行日志；</w:t>
      </w: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单机设备管理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设备管理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每个单机设备管理；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执行日志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每个单机设备的执行日志；</w:t>
      </w: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设备类型管理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同一个类型的配置可以复用，那在配置一个设备的时候，可以选择类型设备进行快速配置；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本地程序 </w:t>
      </w: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设备点检 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数据采集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调用网关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点检执行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设备报警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本地调度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流程同步 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流程同步模块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执行引擎 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根据订单分解后的发布的流程进行执行模块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日志管理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执行日志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调用接口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集成即可，给订单系统使用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调用网关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对网关接口进行调用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4304030" cy="6130925"/>
            <wp:effectExtent l="0" t="0" r="8890" b="10795"/>
            <wp:docPr id="9" name="图片 9" descr="未命名文件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1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3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本地网关 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调用接口  </w:t>
      </w:r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给外部程序调用的接口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网关配置同步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同步云端程序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网关核心程序 </w:t>
      </w:r>
    </w:p>
    <w:p>
      <w:p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根据配置，对设备进行数据采集命令执行</w:t>
      </w:r>
    </w:p>
    <w:p>
      <w:pPr>
        <w:pStyle w:val="2"/>
        <w:numPr>
          <w:ilvl w:val="4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日志管理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执行日志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eastAsia="zh-CN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br w:type="page"/>
      </w:r>
    </w:p>
    <w:p>
      <w:pPr>
        <w:rPr>
          <w:rFonts w:hint="eastAsia" w:ascii="黑体" w:hAnsi="黑体" w:eastAsia="黑体" w:cs="黑体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流程图案例描述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drawing>
          <wp:inline distT="0" distB="0" distL="114300" distR="114300">
            <wp:extent cx="3876675" cy="7112000"/>
            <wp:effectExtent l="0" t="0" r="9525" b="5080"/>
            <wp:docPr id="10" name="图片 10" descr="89d7cbc0f77225b05a22a0a7a223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9d7cbc0f77225b05a22a0a7a223de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4E8FC"/>
    <w:multiLevelType w:val="singleLevel"/>
    <w:tmpl w:val="90D4E8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2267FD4"/>
    <w:multiLevelType w:val="multilevel"/>
    <w:tmpl w:val="B2267F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B9694108"/>
    <w:multiLevelType w:val="singleLevel"/>
    <w:tmpl w:val="B9694108"/>
    <w:lvl w:ilvl="0" w:tentative="0">
      <w:start w:val="1"/>
      <w:numFmt w:val="decimal"/>
      <w:lvlText w:val="%1."/>
      <w:lvlJc w:val="left"/>
    </w:lvl>
  </w:abstractNum>
  <w:abstractNum w:abstractNumId="3">
    <w:nsid w:val="CD8F6E06"/>
    <w:multiLevelType w:val="singleLevel"/>
    <w:tmpl w:val="CD8F6E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26DE16D"/>
    <w:multiLevelType w:val="singleLevel"/>
    <w:tmpl w:val="E26DE16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E9C143BF"/>
    <w:multiLevelType w:val="singleLevel"/>
    <w:tmpl w:val="E9C143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F4A8F7"/>
    <w:multiLevelType w:val="singleLevel"/>
    <w:tmpl w:val="EEF4A8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0A06053"/>
    <w:multiLevelType w:val="singleLevel"/>
    <w:tmpl w:val="10A06053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628A"/>
    <w:rsid w:val="01352C26"/>
    <w:rsid w:val="01475FD8"/>
    <w:rsid w:val="01793717"/>
    <w:rsid w:val="02055021"/>
    <w:rsid w:val="02D93B55"/>
    <w:rsid w:val="02F04980"/>
    <w:rsid w:val="03486AC0"/>
    <w:rsid w:val="0498454A"/>
    <w:rsid w:val="05D00EFF"/>
    <w:rsid w:val="06295F1B"/>
    <w:rsid w:val="07895492"/>
    <w:rsid w:val="07C424D0"/>
    <w:rsid w:val="080B43F3"/>
    <w:rsid w:val="080C4DB4"/>
    <w:rsid w:val="083A7676"/>
    <w:rsid w:val="08E720AC"/>
    <w:rsid w:val="09BE2071"/>
    <w:rsid w:val="0B392166"/>
    <w:rsid w:val="0BCE6E46"/>
    <w:rsid w:val="0D876618"/>
    <w:rsid w:val="10587047"/>
    <w:rsid w:val="109F5E78"/>
    <w:rsid w:val="12086AF9"/>
    <w:rsid w:val="125C0642"/>
    <w:rsid w:val="136830CF"/>
    <w:rsid w:val="13C4358D"/>
    <w:rsid w:val="147D7DBB"/>
    <w:rsid w:val="155F23FD"/>
    <w:rsid w:val="15DD4A7E"/>
    <w:rsid w:val="162871F3"/>
    <w:rsid w:val="16CD5600"/>
    <w:rsid w:val="1A8B7464"/>
    <w:rsid w:val="1BAB7B92"/>
    <w:rsid w:val="1DA13C73"/>
    <w:rsid w:val="1DB35971"/>
    <w:rsid w:val="1DD3221D"/>
    <w:rsid w:val="1DFB0E33"/>
    <w:rsid w:val="1FDE1ECE"/>
    <w:rsid w:val="20763F3F"/>
    <w:rsid w:val="20BF5AB5"/>
    <w:rsid w:val="23186FD8"/>
    <w:rsid w:val="236514BB"/>
    <w:rsid w:val="2590712D"/>
    <w:rsid w:val="26047ECF"/>
    <w:rsid w:val="27DD7501"/>
    <w:rsid w:val="29013F85"/>
    <w:rsid w:val="2B5F23CB"/>
    <w:rsid w:val="2B7E48E2"/>
    <w:rsid w:val="2CCA59C1"/>
    <w:rsid w:val="2CCC203D"/>
    <w:rsid w:val="2CDD6799"/>
    <w:rsid w:val="2D591FE7"/>
    <w:rsid w:val="2D8756EE"/>
    <w:rsid w:val="2D9A7195"/>
    <w:rsid w:val="2EF74C13"/>
    <w:rsid w:val="2F2F7FC0"/>
    <w:rsid w:val="2F8F6D23"/>
    <w:rsid w:val="2FEC00E5"/>
    <w:rsid w:val="31837F30"/>
    <w:rsid w:val="329F27C2"/>
    <w:rsid w:val="334B59EC"/>
    <w:rsid w:val="34D53201"/>
    <w:rsid w:val="3506358E"/>
    <w:rsid w:val="36952F9F"/>
    <w:rsid w:val="37857E38"/>
    <w:rsid w:val="37D178A0"/>
    <w:rsid w:val="3A014268"/>
    <w:rsid w:val="3B540B8C"/>
    <w:rsid w:val="3C117EA0"/>
    <w:rsid w:val="3CCB4425"/>
    <w:rsid w:val="3D566C44"/>
    <w:rsid w:val="3DF61875"/>
    <w:rsid w:val="3E4B1D2F"/>
    <w:rsid w:val="3E4C3CB8"/>
    <w:rsid w:val="3E691447"/>
    <w:rsid w:val="3EFB127A"/>
    <w:rsid w:val="3F3F549E"/>
    <w:rsid w:val="40146498"/>
    <w:rsid w:val="41CA1EF1"/>
    <w:rsid w:val="42C6505C"/>
    <w:rsid w:val="43F0071D"/>
    <w:rsid w:val="449A7573"/>
    <w:rsid w:val="457001FF"/>
    <w:rsid w:val="45E34BC6"/>
    <w:rsid w:val="470D1A76"/>
    <w:rsid w:val="47BD06B3"/>
    <w:rsid w:val="47C50D3E"/>
    <w:rsid w:val="47FD01E2"/>
    <w:rsid w:val="48514356"/>
    <w:rsid w:val="487F7177"/>
    <w:rsid w:val="496D4418"/>
    <w:rsid w:val="497001B7"/>
    <w:rsid w:val="49FE4329"/>
    <w:rsid w:val="4AE71E37"/>
    <w:rsid w:val="4C63420D"/>
    <w:rsid w:val="4CEE3A9B"/>
    <w:rsid w:val="4E44110F"/>
    <w:rsid w:val="4F2F3576"/>
    <w:rsid w:val="4F3C6027"/>
    <w:rsid w:val="50C213B2"/>
    <w:rsid w:val="51662A26"/>
    <w:rsid w:val="51C25931"/>
    <w:rsid w:val="52052BBD"/>
    <w:rsid w:val="52FF7071"/>
    <w:rsid w:val="53B214CA"/>
    <w:rsid w:val="561D0228"/>
    <w:rsid w:val="572C47EC"/>
    <w:rsid w:val="575E48DA"/>
    <w:rsid w:val="579C14FB"/>
    <w:rsid w:val="57AB2750"/>
    <w:rsid w:val="57D1273A"/>
    <w:rsid w:val="585003F2"/>
    <w:rsid w:val="589D74D9"/>
    <w:rsid w:val="596A4D6B"/>
    <w:rsid w:val="59841457"/>
    <w:rsid w:val="59A459C7"/>
    <w:rsid w:val="5A650C9B"/>
    <w:rsid w:val="5BBB2FA0"/>
    <w:rsid w:val="5C265542"/>
    <w:rsid w:val="5D1D64CE"/>
    <w:rsid w:val="5DA550E4"/>
    <w:rsid w:val="5E3D7C75"/>
    <w:rsid w:val="5E681B21"/>
    <w:rsid w:val="5E7F5CEA"/>
    <w:rsid w:val="5EC83D40"/>
    <w:rsid w:val="5ECF3333"/>
    <w:rsid w:val="5F98112B"/>
    <w:rsid w:val="60115510"/>
    <w:rsid w:val="61B124BA"/>
    <w:rsid w:val="61BE1EE4"/>
    <w:rsid w:val="6241658D"/>
    <w:rsid w:val="62A447F8"/>
    <w:rsid w:val="630A0441"/>
    <w:rsid w:val="63CA5DF3"/>
    <w:rsid w:val="64DD57AE"/>
    <w:rsid w:val="64E11812"/>
    <w:rsid w:val="656A3DB4"/>
    <w:rsid w:val="69140F81"/>
    <w:rsid w:val="6B386D45"/>
    <w:rsid w:val="6BA36FB8"/>
    <w:rsid w:val="6BFD0B1E"/>
    <w:rsid w:val="6D3D63AE"/>
    <w:rsid w:val="6DB44DC1"/>
    <w:rsid w:val="6E02637E"/>
    <w:rsid w:val="6EA76093"/>
    <w:rsid w:val="6F1478A5"/>
    <w:rsid w:val="70E37655"/>
    <w:rsid w:val="71DA2452"/>
    <w:rsid w:val="72931B00"/>
    <w:rsid w:val="72A54211"/>
    <w:rsid w:val="740B7A89"/>
    <w:rsid w:val="753908F0"/>
    <w:rsid w:val="754D10F8"/>
    <w:rsid w:val="756B785E"/>
    <w:rsid w:val="764C21FF"/>
    <w:rsid w:val="76565072"/>
    <w:rsid w:val="76907232"/>
    <w:rsid w:val="7705382E"/>
    <w:rsid w:val="772E071E"/>
    <w:rsid w:val="77835AFF"/>
    <w:rsid w:val="79040D92"/>
    <w:rsid w:val="79601A8A"/>
    <w:rsid w:val="79D94DE0"/>
    <w:rsid w:val="7CBD0A0D"/>
    <w:rsid w:val="7CC927B4"/>
    <w:rsid w:val="7D521248"/>
    <w:rsid w:val="7E93013E"/>
    <w:rsid w:val="7FB8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6">
    <w:name w:val="标题 1 字符"/>
    <w:basedOn w:val="5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2020-11-11T03:06:00Z</dcterms:created>
  <dc:creator>bean</dc:creator>
  <cp:lastModifiedBy>xxy</cp:lastModifiedBy>
  <dcterms:modified xsi:type="dcterms:W3CDTF">2020-11-16T09:12:05Z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