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3233F"/>
        </w:rPr>
        <w:t>Relatório de Implementação — Etapa 2</w:t>
      </w:r>
    </w:p>
    <w:p>
      <w:pPr>
        <w:spacing w:after="40"/>
        <w:jc w:val="left"/>
      </w:pPr>
      <w:r>
        <w:rPr>
          <w:b w:val="0"/>
          <w:color w:val="5A6B85"/>
          <w:sz w:val="20"/>
        </w:rPr>
        <w:t>Sistema de Gestão Hospitalar Dra. Yuska Maritan Brito</w:t>
      </w:r>
    </w:p>
    <w:p>
      <w:pPr>
        <w:spacing w:after="40"/>
        <w:jc w:val="left"/>
      </w:pPr>
      <w:r>
        <w:rPr>
          <w:b w:val="0"/>
          <w:color w:val="5A6B85"/>
          <w:sz w:val="20"/>
        </w:rPr>
        <w:t>Beatriz Pessoa e Emyle Santos · Banco de Dados</w:t>
      </w:r>
    </w:p>
    <w:p>
      <w:pPr>
        <w:pStyle w:val="Heading1"/>
      </w:pPr>
      <w:r>
        <w:rPr>
          <w:color w:val="13233F"/>
          <w:sz w:val="26"/>
        </w:rPr>
        <w:t>1. Triggers ou stored procedures: qual foi o critério</w:t>
      </w:r>
    </w:p>
    <w:p>
      <w:r>
        <w:t xml:space="preserve">A pergunta não é qual tecnologia é melhor, e sim </w:t>
      </w:r>
      <w:r>
        <w:rPr>
          <w:b/>
        </w:rPr>
        <w:t>de quem é a responsabilidade pela regra</w:t>
      </w:r>
      <w:r>
        <w:t xml:space="preserve">. Adotamos uma ordem de preferência: </w:t>
      </w:r>
      <w:r>
        <w:rPr>
          <w:i/>
        </w:rPr>
        <w:t>constraint declarativa → trigger → procedure → código da aplicação</w:t>
      </w:r>
      <w:r>
        <w:t>, descendo um degrau só quando o anterior não dá conta.</w:t>
      </w:r>
    </w:p>
    <w:p>
      <w:r>
        <w:rPr>
          <w:b/>
        </w:rPr>
        <w:t>Constraint, quando a regra cabe numa.</w:t>
      </w:r>
      <w:r>
        <w:t xml:space="preserve"> A </w:t>
      </w:r>
      <w:r>
        <w:rPr>
          <w:rFonts w:ascii="Consolas" w:hAnsi="Consolas"/>
          <w:color w:val="2F6BD6"/>
          <w:sz w:val="18"/>
        </w:rPr>
        <w:t>UNIQUE(id_unidade, dia_semana, turno, id_residente)</w:t>
      </w:r>
      <w:r>
        <w:t xml:space="preserve"> da Etapa 1 já impede o mesmo residente duas vezes no mesmo plantão. É garantida por índice, sai de graça e é segura sob concorrência.</w:t>
      </w:r>
    </w:p>
    <w:p>
      <w:r>
        <w:rPr>
          <w:b/>
        </w:rPr>
        <w:t>Trigger, para invariantes que valem para qualquer escrita.</w:t>
      </w:r>
      <w:r>
        <w:t xml:space="preserve"> Três casos:</w:t>
      </w:r>
    </w:p>
    <w:p>
      <w:pPr>
        <w:pStyle w:val="ListBullet"/>
      </w:pPr>
      <w:r>
        <w:rPr>
          <w:rFonts w:ascii="Consolas" w:hAnsi="Consolas"/>
          <w:color w:val="2F6BD6"/>
          <w:sz w:val="18"/>
        </w:rPr>
        <w:t>trg_check_sobreposicao_escala</w:t>
      </w:r>
      <w:r>
        <w:t xml:space="preserve"> cobre o que a constraint </w:t>
      </w:r>
      <w:r>
        <w:rPr>
          <w:b/>
        </w:rPr>
        <w:t>não</w:t>
      </w:r>
      <w:r>
        <w:t xml:space="preserve"> consegue expressar: o mesmo residente escalado no mesmo dia/turno em </w:t>
      </w:r>
      <w:r>
        <w:rPr>
          <w:b/>
        </w:rPr>
        <w:t>unidades diferentes</w:t>
      </w:r>
      <w:r>
        <w:t>. É uma comparação entre linhas, não uma unicidade de coluna, e por isso precisa de trigger.</w:t>
      </w:r>
    </w:p>
    <w:p>
      <w:pPr>
        <w:pStyle w:val="ListBullet"/>
      </w:pPr>
      <w:r>
        <w:rPr>
          <w:rFonts w:ascii="Consolas" w:hAnsi="Consolas"/>
          <w:color w:val="2F6BD6"/>
          <w:sz w:val="18"/>
        </w:rPr>
        <w:t>trg_audita_atendimento</w:t>
      </w:r>
      <w:r>
        <w:t xml:space="preserve"> precisa registrar toda alteração em </w:t>
      </w:r>
      <w:r>
        <w:rPr>
          <w:rFonts w:ascii="Consolas" w:hAnsi="Consolas"/>
          <w:color w:val="2F6BD6"/>
          <w:sz w:val="18"/>
        </w:rPr>
        <w:t>atendimento</w:t>
      </w:r>
      <w:r>
        <w:t xml:space="preserve">, inclusive as feitas direto no </w:t>
      </w:r>
      <w:r>
        <w:rPr>
          <w:rFonts w:ascii="Consolas" w:hAnsi="Consolas"/>
          <w:color w:val="2F6BD6"/>
          <w:sz w:val="18"/>
        </w:rPr>
        <w:t>psql</w:t>
      </w:r>
      <w:r>
        <w:t>, fora da aplicação. Uma auditoria que pode ser burlada não é auditoria. Esse é o argumento decisivo a favor do trigger aqui.</w:t>
      </w:r>
    </w:p>
    <w:p>
      <w:pPr>
        <w:pStyle w:val="ListBullet"/>
      </w:pPr>
      <w:r>
        <w:rPr>
          <w:rFonts w:ascii="Consolas" w:hAnsi="Consolas"/>
          <w:color w:val="2F6BD6"/>
          <w:sz w:val="18"/>
        </w:rPr>
        <w:t>trg_atualiza_media_procedimentos</w:t>
      </w:r>
      <w:r>
        <w:t xml:space="preserve"> mantém um dado derivado (</w:t>
      </w:r>
      <w:r>
        <w:rPr>
          <w:rFonts w:ascii="Consolas" w:hAnsi="Consolas"/>
          <w:color w:val="2F6BD6"/>
          <w:sz w:val="18"/>
        </w:rPr>
        <w:t>media_tempo_procedimento</w:t>
      </w:r>
      <w:r>
        <w:t>) que precisa acompanhar cada inserção. Deixar isso na aplicação significaria esquecer de atualizar em algum caminho de código.</w:t>
      </w:r>
    </w:p>
    <w:p>
      <w:r>
        <w:rPr>
          <w:b/>
        </w:rPr>
        <w:t>Procedure, para operações compostas que alguém invoca de propósito.</w:t>
      </w:r>
      <w:r>
        <w:t xml:space="preserve"> Um trigger não recebe parâmetros nem é chamado sob demanda; quando a operação tem entrada e é acionada por decisão do usuário, o lugar é a procedure:</w:t>
      </w:r>
    </w:p>
    <w:p>
      <w:pPr>
        <w:pStyle w:val="ListBullet"/>
      </w:pPr>
      <w:r>
        <w:rPr>
          <w:rFonts w:ascii="Consolas" w:hAnsi="Consolas"/>
          <w:color w:val="2F6BD6"/>
          <w:sz w:val="18"/>
        </w:rPr>
        <w:t>sp_registrar_atendimento_completo</w:t>
      </w:r>
      <w:r>
        <w:t xml:space="preserve"> recebe o atendimento e uma lista JSON de procedimentos e grava tudo numa transação. Não há bloco </w:t>
      </w:r>
      <w:r>
        <w:rPr>
          <w:rFonts w:ascii="Consolas" w:hAnsi="Consolas"/>
          <w:color w:val="2F6BD6"/>
          <w:sz w:val="18"/>
        </w:rPr>
        <w:t>EXCEPTION</w:t>
      </w:r>
      <w:r>
        <w:t xml:space="preserve">: um </w:t>
      </w:r>
      <w:r>
        <w:rPr>
          <w:rFonts w:ascii="Consolas" w:hAnsi="Consolas"/>
          <w:color w:val="2F6BD6"/>
          <w:sz w:val="18"/>
        </w:rPr>
        <w:t>CALL</w:t>
      </w:r>
      <w:r>
        <w:t xml:space="preserve"> já roda como transação implícita, então qualquer erro reverte também o atendimento inserido antes do laço. Um </w:t>
      </w:r>
      <w:r>
        <w:rPr>
          <w:rFonts w:ascii="Consolas" w:hAnsi="Consolas"/>
          <w:color w:val="2F6BD6"/>
          <w:sz w:val="18"/>
        </w:rPr>
        <w:t>EXCEPTION</w:t>
      </w:r>
      <w:r>
        <w:t xml:space="preserve"> que engolisse o erro faria o oposto do pedido.</w:t>
      </w:r>
    </w:p>
    <w:p>
      <w:pPr>
        <w:pStyle w:val="ListBullet"/>
      </w:pPr>
      <w:r>
        <w:rPr>
          <w:rFonts w:ascii="Consolas" w:hAnsi="Consolas"/>
          <w:color w:val="2F6BD6"/>
          <w:sz w:val="18"/>
        </w:rPr>
        <w:t>sp_reajustar_escala</w:t>
      </w:r>
      <w:r>
        <w:t xml:space="preserve"> move em lote os plantões de um residente. Ela valida </w:t>
      </w:r>
      <w:r>
        <w:rPr>
          <w:b/>
        </w:rPr>
        <w:t>antes</w:t>
      </w:r>
      <w:r>
        <w:t xml:space="preserve"> do </w:t>
      </w:r>
      <w:r>
        <w:rPr>
          <w:rFonts w:ascii="Consolas" w:hAnsi="Consolas"/>
          <w:color w:val="2F6BD6"/>
          <w:sz w:val="18"/>
        </w:rPr>
        <w:t>UPDATE</w:t>
      </w:r>
      <w:r>
        <w:t xml:space="preserve">: se qualquer escala colidir no destino, nenhuma é movida. As validações são explícitas em vez de delegadas ao </w:t>
      </w:r>
      <w:r>
        <w:rPr>
          <w:rFonts w:ascii="Consolas" w:hAnsi="Consolas"/>
          <w:color w:val="2F6BD6"/>
          <w:sz w:val="18"/>
        </w:rPr>
        <w:t>CHECK</w:t>
      </w:r>
      <w:r>
        <w:t xml:space="preserve"> da tabela, para a mensagem dizer o que houve em vez de citar uma constraint.</w:t>
      </w:r>
    </w:p>
    <w:p>
      <w:pPr>
        <w:pStyle w:val="ListBullet"/>
      </w:pPr>
      <w:r>
        <w:rPr>
          <w:rFonts w:ascii="Consolas" w:hAnsi="Consolas"/>
          <w:color w:val="2F6BD6"/>
          <w:sz w:val="18"/>
        </w:rPr>
        <w:t>sp_calcular_tempo_medio_espera</w:t>
      </w:r>
      <w:r>
        <w:t xml:space="preserve"> é um relatório sob demanda. Como procedures no PostgreSQL não têm </w:t>
      </w:r>
      <w:r>
        <w:rPr>
          <w:rFonts w:ascii="Consolas" w:hAnsi="Consolas"/>
          <w:color w:val="2F6BD6"/>
          <w:sz w:val="18"/>
        </w:rPr>
        <w:t>RETURNS TABLE</w:t>
      </w:r>
      <w:r>
        <w:t xml:space="preserve">, o resultado sai por </w:t>
      </w:r>
      <w:r>
        <w:rPr>
          <w:rFonts w:ascii="Consolas" w:hAnsi="Consolas"/>
          <w:color w:val="2F6BD6"/>
          <w:sz w:val="18"/>
        </w:rPr>
        <w:t>REFCURSOR</w:t>
      </w:r>
      <w:r>
        <w:t xml:space="preserve">, que só vive dentro da transação — por isso a aplicação faz o </w:t>
      </w:r>
      <w:r>
        <w:rPr>
          <w:rFonts w:ascii="Consolas" w:hAnsi="Consolas"/>
          <w:color w:val="2F6BD6"/>
          <w:sz w:val="18"/>
        </w:rPr>
        <w:t>CALL</w:t>
      </w:r>
      <w:r>
        <w:t xml:space="preserve"> e o </w:t>
      </w:r>
      <w:r>
        <w:rPr>
          <w:rFonts w:ascii="Consolas" w:hAnsi="Consolas"/>
          <w:color w:val="2F6BD6"/>
          <w:sz w:val="18"/>
        </w:rPr>
        <w:t>FETCH</w:t>
      </w:r>
      <w:r>
        <w:t xml:space="preserve"> na mesma sessão, antes do commit.</w:t>
      </w:r>
    </w:p>
    <w:p>
      <w:r>
        <w:rPr>
          <w:b/>
        </w:rPr>
        <w:t>Views</w:t>
      </w:r>
      <w:r>
        <w:t xml:space="preserve"> ficaram com as consultas de leitura reaproveitáveis (</w:t>
      </w:r>
      <w:r>
        <w:rPr>
          <w:rFonts w:ascii="Consolas" w:hAnsi="Consolas"/>
          <w:color w:val="2F6BD6"/>
          <w:sz w:val="18"/>
        </w:rPr>
        <w:t>vw_pacientes_internados</w:t>
      </w:r>
      <w:r>
        <w:t xml:space="preserve">, </w:t>
      </w:r>
      <w:r>
        <w:rPr>
          <w:rFonts w:ascii="Consolas" w:hAnsi="Consolas"/>
          <w:color w:val="2F6BD6"/>
          <w:sz w:val="18"/>
        </w:rPr>
        <w:t>vw_residentes_sem_supervisor</w:t>
      </w:r>
      <w:r>
        <w:t xml:space="preserve">, </w:t>
      </w:r>
      <w:r>
        <w:rPr>
          <w:rFonts w:ascii="Consolas" w:hAnsi="Consolas"/>
          <w:color w:val="2F6BD6"/>
          <w:sz w:val="18"/>
        </w:rPr>
        <w:t>vw_estatisticas_atendimentos_mensal</w:t>
      </w:r>
      <w:r>
        <w:t>): não têm efeito colateral nem parâmetro, e podem ser consultadas como se fossem tabelas.</w:t>
      </w:r>
    </w:p>
    <w:p>
      <w:pPr>
        <w:pStyle w:val="Heading1"/>
      </w:pPr>
      <w:r>
        <w:rPr>
          <w:color w:val="13233F"/>
          <w:sz w:val="26"/>
        </w:rPr>
        <w:t>2. Escolha da ORM: SQLAlchemy</w:t>
      </w:r>
    </w:p>
    <w:p>
      <w:r>
        <w:t xml:space="preserve">Escolhemos </w:t>
      </w:r>
      <w:r>
        <w:rPr>
          <w:b/>
        </w:rPr>
        <w:t>SQLAlchemy</w:t>
      </w:r>
      <w:r>
        <w:t xml:space="preserve"> por um motivo concreto além da recomendação do enunciado: ele permite descer ao SQL sem sair da sessão. Views e procedures não são entidades mapeáveis, e com </w:t>
      </w:r>
      <w:r>
        <w:rPr>
          <w:rFonts w:ascii="Consolas" w:hAnsi="Consolas"/>
          <w:color w:val="2F6BD6"/>
          <w:sz w:val="18"/>
        </w:rPr>
        <w:t>session.execute()</w:t>
      </w:r>
      <w:r>
        <w:t xml:space="preserve"> conseguimos consumi-las </w:t>
      </w:r>
      <w:r>
        <w:rPr>
          <w:b/>
        </w:rPr>
        <w:t>dentro da mesma transação</w:t>
      </w:r>
      <w:r>
        <w:t xml:space="preserve"> do restante da operação. O Django ORM obrigaria a reescrever a aplicação inteira em Django por causa de uma camada de dados.</w:t>
      </w:r>
    </w:p>
    <w:p>
      <w:r>
        <w:rPr>
          <w:b/>
        </w:rPr>
        <w:t>O problema da especialização.</w:t>
      </w:r>
      <w:r>
        <w:t xml:space="preserve"> O schema da Etapa 1 modela </w:t>
      </w:r>
      <w:r>
        <w:rPr>
          <w:rFonts w:ascii="Consolas" w:hAnsi="Consolas"/>
          <w:color w:val="2F6BD6"/>
          <w:sz w:val="18"/>
        </w:rPr>
        <w:t>PESSOA → PACIENTE / PROFISSIONAL → PRECEPTOR / RESIDENTE</w:t>
      </w:r>
      <w:r>
        <w:t xml:space="preserve"> com FK-como-PK, mas </w:t>
      </w:r>
      <w:r>
        <w:rPr>
          <w:b/>
        </w:rPr>
        <w:t>sem coluna discriminadora</w:t>
      </w:r>
      <w:r>
        <w:t xml:space="preserve">. A herança de tabelas do SQLAlchemy precisa dessa coluna para saber qual subclasse instanciar. Adicioná-la mudaria um schema já entregue e avaliado, então mapeamos a especialização por </w:t>
      </w:r>
      <w:r>
        <w:rPr>
          <w:b/>
        </w:rPr>
        <w:t>composição</w:t>
      </w:r>
      <w:r>
        <w:t>: cada subtipo tem um relacionamento 1:1 com o supertipo (</w:t>
      </w:r>
      <w:r>
        <w:rPr>
          <w:rFonts w:ascii="Consolas" w:hAnsi="Consolas"/>
          <w:color w:val="2F6BD6"/>
          <w:sz w:val="18"/>
        </w:rPr>
        <w:t>Paciente.pessoa</w:t>
      </w:r>
      <w:r>
        <w:t xml:space="preserve">), e </w:t>
      </w:r>
      <w:r>
        <w:rPr>
          <w:rFonts w:ascii="Consolas" w:hAnsi="Consolas"/>
          <w:color w:val="2F6BD6"/>
          <w:sz w:val="18"/>
        </w:rPr>
        <w:t>Residente.pessoa</w:t>
      </w:r>
      <w:r>
        <w:t xml:space="preserve"> é uma </w:t>
      </w:r>
      <w:r>
        <w:rPr>
          <w:rFonts w:ascii="Consolas" w:hAnsi="Consolas"/>
          <w:color w:val="2F6BD6"/>
          <w:sz w:val="18"/>
        </w:rPr>
        <w:t>@property</w:t>
      </w:r>
      <w:r>
        <w:t xml:space="preserve"> que atravessa </w:t>
      </w:r>
      <w:r>
        <w:rPr>
          <w:rFonts w:ascii="Consolas" w:hAnsi="Consolas"/>
          <w:color w:val="2F6BD6"/>
          <w:sz w:val="18"/>
        </w:rPr>
        <w:t>profissional</w:t>
      </w:r>
      <w:r>
        <w:t>. Perdemos consultas polimórficas — que o sistema não usa — e mantivemos o schema fiel.</w:t>
      </w:r>
    </w:p>
    <w:p>
      <w:pPr>
        <w:pStyle w:val="Heading1"/>
      </w:pPr>
      <w:r>
        <w:rPr>
          <w:color w:val="13233F"/>
          <w:sz w:val="26"/>
        </w:rPr>
        <w:t>3. Lazy vs. eager loading: decidido por tela e medido</w:t>
      </w:r>
    </w:p>
    <w:p>
      <w:r>
        <w:t>A escolha foi feita relacionamento a relacionamento, olhando o que cada tela exibe:</w:t>
      </w:r>
    </w:p>
    <w:p>
      <w:pPr>
        <w:pStyle w:val="ListBullet"/>
      </w:pPr>
      <w:r>
        <w:rPr>
          <w:b/>
        </w:rPr>
        <w:t>`joined`</w:t>
      </w:r>
      <w:r>
        <w:t xml:space="preserve"> nos 1:1 sempre exibidos juntos (</w:t>
      </w:r>
      <w:r>
        <w:rPr>
          <w:rFonts w:ascii="Consolas" w:hAnsi="Consolas"/>
          <w:color w:val="2F6BD6"/>
          <w:sz w:val="18"/>
        </w:rPr>
        <w:t>Paciente.pessoa</w:t>
      </w:r>
      <w:r>
        <w:t xml:space="preserve">, </w:t>
      </w:r>
      <w:r>
        <w:rPr>
          <w:rFonts w:ascii="Consolas" w:hAnsi="Consolas"/>
          <w:color w:val="2F6BD6"/>
          <w:sz w:val="18"/>
        </w:rPr>
        <w:t>Escala.unidade</w:t>
      </w:r>
      <w:r>
        <w:t>): com lazy, toda listagem faria uma query extra por linha.</w:t>
      </w:r>
    </w:p>
    <w:p>
      <w:pPr>
        <w:pStyle w:val="ListBullet"/>
      </w:pPr>
      <w:r>
        <w:rPr>
          <w:b/>
        </w:rPr>
        <w:t>`selectin`</w:t>
      </w:r>
      <w:r>
        <w:t xml:space="preserve"> na coleção </w:t>
      </w:r>
      <w:r>
        <w:rPr>
          <w:rFonts w:ascii="Consolas" w:hAnsi="Consolas"/>
          <w:color w:val="2F6BD6"/>
          <w:sz w:val="18"/>
        </w:rPr>
        <w:t>Paciente.alergias</w:t>
      </w:r>
      <w:r>
        <w:t xml:space="preserve">: com </w:t>
      </w:r>
      <w:r>
        <w:rPr>
          <w:rFonts w:ascii="Consolas" w:hAnsi="Consolas"/>
          <w:color w:val="2F6BD6"/>
          <w:sz w:val="18"/>
        </w:rPr>
        <w:t>joined</w:t>
      </w:r>
      <w:r>
        <w:t xml:space="preserve">, o JOIN multiplicaria as linhas do paciente (uma por alergia); </w:t>
      </w:r>
      <w:r>
        <w:rPr>
          <w:rFonts w:ascii="Consolas" w:hAnsi="Consolas"/>
          <w:color w:val="2F6BD6"/>
          <w:sz w:val="18"/>
        </w:rPr>
        <w:t>selectin</w:t>
      </w:r>
      <w:r>
        <w:t xml:space="preserve"> resolve em uma segunda query só.</w:t>
      </w:r>
    </w:p>
    <w:p>
      <w:pPr>
        <w:pStyle w:val="ListBullet"/>
      </w:pPr>
      <w:r>
        <w:rPr>
          <w:b/>
        </w:rPr>
        <w:t>lazy</w:t>
      </w:r>
      <w:r>
        <w:t xml:space="preserve"> nos caminhos que nenhuma tela percorre (</w:t>
      </w:r>
      <w:r>
        <w:rPr>
          <w:rFonts w:ascii="Consolas" w:hAnsi="Consolas"/>
          <w:color w:val="2F6BD6"/>
          <w:sz w:val="18"/>
        </w:rPr>
        <w:t>Alergia.pacientes</w:t>
      </w:r>
      <w:r>
        <w:t xml:space="preserve">, </w:t>
      </w:r>
      <w:r>
        <w:rPr>
          <w:rFonts w:ascii="Consolas" w:hAnsi="Consolas"/>
          <w:color w:val="2F6BD6"/>
          <w:sz w:val="18"/>
        </w:rPr>
        <w:t>Unidade.escalas</w:t>
      </w:r>
      <w:r>
        <w:t>).</w:t>
      </w:r>
    </w:p>
    <w:p>
      <w:r>
        <w:t xml:space="preserve">Medindo os </w:t>
      </w:r>
      <w:r>
        <w:rPr>
          <w:rFonts w:ascii="Consolas" w:hAnsi="Consolas"/>
          <w:color w:val="2F6BD6"/>
          <w:sz w:val="18"/>
        </w:rPr>
        <w:t>SELECT</w:t>
      </w:r>
      <w:r>
        <w:t xml:space="preserve"> emitidos: listar 6 pacientes com alergias custa </w:t>
      </w:r>
      <w:r>
        <w:rPr>
          <w:b/>
        </w:rPr>
        <w:t>2 queries</w:t>
      </w:r>
      <w:r>
        <w:t xml:space="preserve"> (seriam 7 com lazy), e listar 10 escalas com unidade, residente e preceptor encadeados custa </w:t>
      </w:r>
      <w:r>
        <w:rPr>
          <w:b/>
        </w:rPr>
        <w:t>1 query</w:t>
      </w:r>
      <w:r>
        <w:t xml:space="preserve"> (seriam mais de 30).</w:t>
      </w:r>
    </w:p>
    <w:p>
      <w:r>
        <w:t xml:space="preserve">Essa escolha teve uma consequência que só apareceu depois: </w:t>
      </w:r>
      <w:r>
        <w:rPr>
          <w:rFonts w:ascii="Consolas" w:hAnsi="Consolas"/>
          <w:color w:val="2F6BD6"/>
          <w:sz w:val="18"/>
        </w:rPr>
        <w:t>Residente.profissional</w:t>
      </w:r>
      <w:r>
        <w:t xml:space="preserve"> é eager </w:t>
      </w:r>
      <w:r>
        <w:rPr>
          <w:rFonts w:ascii="Consolas" w:hAnsi="Consolas"/>
          <w:color w:val="2F6BD6"/>
          <w:sz w:val="18"/>
        </w:rPr>
        <w:t>joined</w:t>
      </w:r>
      <w:r>
        <w:t xml:space="preserve">, o que transforma a consulta em </w:t>
      </w:r>
      <w:r>
        <w:rPr>
          <w:rFonts w:ascii="Consolas" w:hAnsi="Consolas"/>
          <w:color w:val="2F6BD6"/>
          <w:sz w:val="18"/>
        </w:rPr>
        <w:t>LEFT OUTER JOIN</w:t>
      </w:r>
      <w:r>
        <w:t xml:space="preserve"> — e o PostgreSQL </w:t>
      </w:r>
      <w:r>
        <w:rPr>
          <w:b/>
        </w:rPr>
        <w:t>recusa</w:t>
      </w:r>
      <w:r>
        <w:t xml:space="preserve"> </w:t>
      </w:r>
      <w:r>
        <w:rPr>
          <w:rFonts w:ascii="Consolas" w:hAnsi="Consolas"/>
          <w:color w:val="2F6BD6"/>
          <w:sz w:val="18"/>
        </w:rPr>
        <w:t>FOR UPDATE</w:t>
      </w:r>
      <w:r>
        <w:t xml:space="preserve"> sobre o lado anulável de um outer join. Na demo de lock pessimista foi preciso desligar o eager com </w:t>
      </w:r>
      <w:r>
        <w:rPr>
          <w:rFonts w:ascii="Consolas" w:hAnsi="Consolas"/>
          <w:color w:val="2F6BD6"/>
          <w:sz w:val="18"/>
        </w:rPr>
        <w:t>lazyload()</w:t>
      </w:r>
      <w:r>
        <w:t xml:space="preserve"> naquela query específica.</w:t>
      </w:r>
    </w:p>
    <w:p>
      <w:pPr>
        <w:pStyle w:val="Heading1"/>
      </w:pPr>
      <w:r>
        <w:rPr>
          <w:color w:val="13233F"/>
          <w:sz w:val="26"/>
        </w:rPr>
        <w:t>4. Concorrência: lock pessimista e otimista</w:t>
      </w:r>
    </w:p>
    <w:p>
      <w:r>
        <w:t xml:space="preserve">O enunciado pedia um dos dois; implementamos os dois, cada um com um cenário de contraste que mostra o que acontece </w:t>
      </w:r>
      <w:r>
        <w:rPr>
          <w:b/>
        </w:rPr>
        <w:t>sem</w:t>
      </w:r>
      <w:r>
        <w:t xml:space="preserve"> o mecanismo.</w:t>
      </w:r>
    </w:p>
    <w:p>
      <w:r>
        <w:rPr>
          <w:b/>
        </w:rPr>
        <w:t>Pessimista</w:t>
      </w:r>
      <w:r>
        <w:t xml:space="preserve"> (</w:t>
      </w:r>
      <w:r>
        <w:rPr>
          <w:rFonts w:ascii="Consolas" w:hAnsi="Consolas"/>
          <w:color w:val="2F6BD6"/>
          <w:sz w:val="18"/>
        </w:rPr>
        <w:t>orm/concorrencia_pessimista.py</w:t>
      </w:r>
      <w:r>
        <w:t xml:space="preserve">). A escala disputada ainda não existe — é ela que está sendo inserida —, então não há linha de escala para travar. Travamos a linha do </w:t>
      </w:r>
      <w:r>
        <w:rPr>
          <w:b/>
        </w:rPr>
        <w:t>residente</w:t>
      </w:r>
      <w:r>
        <w:t xml:space="preserve">, que é o recurso realmente disputado, com </w:t>
      </w:r>
      <w:r>
        <w:rPr>
          <w:rFonts w:ascii="Consolas" w:hAnsi="Consolas"/>
          <w:color w:val="2F6BD6"/>
          <w:sz w:val="18"/>
        </w:rPr>
        <w:t>SELECT ... FOR UPDATE</w:t>
      </w:r>
      <w:r>
        <w:t xml:space="preserve">. Sem o lock, as duas transações verificam "não existe", as duas inserem, e uma estoura na constraint. Com o lock, a segunda espera (~156 ms), relê, vê que a escala já existe e desiste sem erro: a </w:t>
      </w:r>
      <w:r>
        <w:rPr>
          <w:rFonts w:ascii="Consolas" w:hAnsi="Consolas"/>
          <w:color w:val="2F6BD6"/>
          <w:sz w:val="18"/>
        </w:rPr>
        <w:t>UNIQUE</w:t>
      </w:r>
      <w:r>
        <w:t xml:space="preserve"> nunca chega a ser acionada. Isso depende do PostgreSQL rodar em </w:t>
      </w:r>
      <w:r>
        <w:rPr>
          <w:b/>
        </w:rPr>
        <w:t>READ COMMITTED</w:t>
      </w:r>
      <w:r>
        <w:t xml:space="preserve">, em que cada comando tira um snapshot novo; em </w:t>
      </w:r>
      <w:r>
        <w:rPr>
          <w:rFonts w:ascii="Consolas" w:hAnsi="Consolas"/>
          <w:color w:val="2F6BD6"/>
          <w:sz w:val="18"/>
        </w:rPr>
        <w:t>REPEATABLE READ</w:t>
      </w:r>
      <w:r>
        <w:t xml:space="preserve"> a transação que esperou manteria o snapshot antigo, não veria a escala recém-criada e cairia na constraint mesmo com o lock.</w:t>
      </w:r>
    </w:p>
    <w:p>
      <w:r>
        <w:rPr>
          <w:b/>
        </w:rPr>
        <w:t>Otimista</w:t>
      </w:r>
      <w:r>
        <w:t xml:space="preserve"> (</w:t>
      </w:r>
      <w:r>
        <w:rPr>
          <w:rFonts w:ascii="Consolas" w:hAnsi="Consolas"/>
          <w:color w:val="2F6BD6"/>
          <w:sz w:val="18"/>
        </w:rPr>
        <w:t>orm/concorrencia_otimista.py</w:t>
      </w:r>
      <w:r>
        <w:t xml:space="preserve">). Uma coluna </w:t>
      </w:r>
      <w:r>
        <w:rPr>
          <w:rFonts w:ascii="Consolas" w:hAnsi="Consolas"/>
          <w:color w:val="2F6BD6"/>
          <w:sz w:val="18"/>
        </w:rPr>
        <w:t>version_id</w:t>
      </w:r>
      <w:r>
        <w:t xml:space="preserve"> em </w:t>
      </w:r>
      <w:r>
        <w:rPr>
          <w:rFonts w:ascii="Consolas" w:hAnsi="Consolas"/>
          <w:color w:val="2F6BD6"/>
          <w:sz w:val="18"/>
        </w:rPr>
        <w:t>escala</w:t>
      </w:r>
      <w:r>
        <w:t xml:space="preserve">, mapeada com o </w:t>
      </w:r>
      <w:r>
        <w:rPr>
          <w:rFonts w:ascii="Consolas" w:hAnsi="Consolas"/>
          <w:color w:val="2F6BD6"/>
          <w:sz w:val="18"/>
        </w:rPr>
        <w:t>version_id_col</w:t>
      </w:r>
      <w:r>
        <w:t xml:space="preserve"> do SQLAlchemy, que adiciona </w:t>
      </w:r>
      <w:r>
        <w:rPr>
          <w:rFonts w:ascii="Consolas" w:hAnsi="Consolas"/>
          <w:color w:val="2F6BD6"/>
          <w:sz w:val="18"/>
        </w:rPr>
        <w:t>WHERE version_id = ?</w:t>
      </w:r>
      <w:r>
        <w:t xml:space="preserve"> a cada </w:t>
      </w:r>
      <w:r>
        <w:rPr>
          <w:rFonts w:ascii="Consolas" w:hAnsi="Consolas"/>
          <w:color w:val="2F6BD6"/>
          <w:sz w:val="18"/>
        </w:rPr>
        <w:t>UPDATE</w:t>
      </w:r>
      <w:r>
        <w:t xml:space="preserve">. O contraste aqui é ainda mais didático: </w:t>
      </w:r>
      <w:r>
        <w:rPr>
          <w:b/>
        </w:rPr>
        <w:t>sem</w:t>
      </w:r>
      <w:r>
        <w:t xml:space="preserve"> versionamento as duas transações commitam com sucesso, ninguém recebe erro, e mesmo assim uma das escritas é sobrescrita em silêncio — um </w:t>
      </w:r>
      <w:r>
        <w:rPr>
          <w:i/>
        </w:rPr>
        <w:t>lost update</w:t>
      </w:r>
      <w:r>
        <w:t xml:space="preserve">. Com versionamento, a segunda a commitar recebe </w:t>
      </w:r>
      <w:r>
        <w:rPr>
          <w:rFonts w:ascii="Consolas" w:hAnsi="Consolas"/>
          <w:color w:val="2F6BD6"/>
          <w:sz w:val="18"/>
        </w:rPr>
        <w:t>StaleDataError</w:t>
      </w:r>
      <w:r>
        <w:t xml:space="preserve"> e desfaz tudo.</w:t>
      </w:r>
    </w:p>
    <w:p>
      <w:r>
        <w:rPr>
          <w:b/>
        </w:rPr>
        <w:t>Quando usar cada um.</w:t>
      </w:r>
      <w:r>
        <w:t xml:space="preserve"> O pessimista serializa de fato e evita retrabalho, mas faz a segunda transação esperar e segura lock no banco — cabe em transações curtas e disputa provável, como escalar um residente. O otimista não bloqueia ninguém, mas transfere o custo para o cliente, que precisa reler e tentar de novo — cabe quando o conflito é raro. O critério prático é o custo relativo entre esperar e refazer.</w:t>
      </w:r>
    </w:p>
    <w:p>
      <w:pPr>
        <w:pStyle w:val="Heading1"/>
      </w:pPr>
      <w:r>
        <w:rPr>
          <w:color w:val="13233F"/>
          <w:sz w:val="26"/>
        </w:rPr>
        <w:t>5. Mudanças de schema exigidas pela Etapa 2</w:t>
      </w:r>
    </w:p>
    <w:p>
      <w:r>
        <w:t>A Etapa 2 pediu recursos que o schema da Etapa 1 não comportava: duas tabelas novas (</w:t>
      </w:r>
      <w:r>
        <w:rPr>
          <w:rFonts w:ascii="Consolas" w:hAnsi="Consolas"/>
          <w:color w:val="2F6BD6"/>
          <w:sz w:val="18"/>
        </w:rPr>
        <w:t>internacao</w:t>
      </w:r>
      <w:r>
        <w:t xml:space="preserve">, </w:t>
      </w:r>
      <w:r>
        <w:rPr>
          <w:rFonts w:ascii="Consolas" w:hAnsi="Consolas"/>
          <w:color w:val="2F6BD6"/>
          <w:sz w:val="18"/>
        </w:rPr>
        <w:t>auditoria_atendimento</w:t>
      </w:r>
      <w:r>
        <w:t>) e quatro colunas (</w:t>
      </w:r>
      <w:r>
        <w:rPr>
          <w:rFonts w:ascii="Consolas" w:hAnsi="Consolas"/>
          <w:color w:val="2F6BD6"/>
          <w:sz w:val="18"/>
        </w:rPr>
        <w:t>procedimento.media_tempo_procedimento</w:t>
      </w:r>
      <w:r>
        <w:t xml:space="preserve">, </w:t>
      </w:r>
      <w:r>
        <w:rPr>
          <w:rFonts w:ascii="Consolas" w:hAnsi="Consolas"/>
          <w:color w:val="2F6BD6"/>
          <w:sz w:val="18"/>
        </w:rPr>
        <w:t>procedimento_realizado.hora_inicio</w:t>
      </w:r>
      <w:r>
        <w:t xml:space="preserve">, </w:t>
      </w:r>
      <w:r>
        <w:rPr>
          <w:rFonts w:ascii="Consolas" w:hAnsi="Consolas"/>
          <w:color w:val="2F6BD6"/>
          <w:sz w:val="18"/>
        </w:rPr>
        <w:t>atendimento.id_unidade</w:t>
      </w:r>
      <w:r>
        <w:t xml:space="preserve">, </w:t>
      </w:r>
      <w:r>
        <w:rPr>
          <w:rFonts w:ascii="Consolas" w:hAnsi="Consolas"/>
          <w:color w:val="2F6BD6"/>
          <w:sz w:val="18"/>
        </w:rPr>
        <w:t>escala.version_id</w:t>
      </w:r>
      <w:r>
        <w:t>).</w:t>
      </w:r>
    </w:p>
    <w:p>
      <w:r>
        <w:rPr>
          <w:rFonts w:ascii="Consolas" w:hAnsi="Consolas"/>
          <w:color w:val="2F6BD6"/>
          <w:sz w:val="18"/>
        </w:rPr>
        <w:t>atendimento.id_unidade</w:t>
      </w:r>
      <w:r>
        <w:t xml:space="preserve"> merece registro: o enunciado pede o tempo médio de espera "para cada unidade" e estatísticas "por mês e por unidade", mas o schema que ele mesmo define na Etapa 1 não liga atendimento a unidade. Sem essa FK, as duas agregações não teriam por onde agrupar.</w:t>
      </w:r>
    </w:p>
    <w:p>
      <w:r>
        <w:t xml:space="preserve">Duas decisões de projeto nessas tabelas: </w:t>
      </w:r>
      <w:r>
        <w:rPr>
          <w:rFonts w:ascii="Consolas" w:hAnsi="Consolas"/>
          <w:color w:val="2F6BD6"/>
          <w:sz w:val="18"/>
        </w:rPr>
        <w:t>auditoria_atendimento</w:t>
      </w:r>
      <w:r>
        <w:t xml:space="preserve"> </w:t>
      </w:r>
      <w:r>
        <w:rPr>
          <w:b/>
        </w:rPr>
        <w:t>não tem FK</w:t>
      </w:r>
      <w:r>
        <w:t xml:space="preserve"> para </w:t>
      </w:r>
      <w:r>
        <w:rPr>
          <w:rFonts w:ascii="Consolas" w:hAnsi="Consolas"/>
          <w:color w:val="2F6BD6"/>
          <w:sz w:val="18"/>
        </w:rPr>
        <w:t>atendimento</w:t>
      </w:r>
      <w:r>
        <w:t xml:space="preserve"> — com FK (mesmo </w:t>
      </w:r>
      <w:r>
        <w:rPr>
          <w:rFonts w:ascii="Consolas" w:hAnsi="Consolas"/>
          <w:color w:val="2F6BD6"/>
          <w:sz w:val="18"/>
        </w:rPr>
        <w:t>ON DELETE CASCADE</w:t>
      </w:r>
      <w:r>
        <w:t xml:space="preserve">), apagar um atendimento apagaria o próprio registro do DELETE, e o rastro se autodestruiria. E </w:t>
      </w:r>
      <w:r>
        <w:rPr>
          <w:rFonts w:ascii="Consolas" w:hAnsi="Consolas"/>
          <w:color w:val="2F6BD6"/>
          <w:sz w:val="18"/>
        </w:rPr>
        <w:t>vw_pacientes_internados</w:t>
      </w:r>
      <w:r>
        <w:t xml:space="preserve"> usa </w:t>
      </w:r>
      <w:r>
        <w:rPr>
          <w:rFonts w:ascii="Consolas" w:hAnsi="Consolas"/>
          <w:color w:val="2F6BD6"/>
          <w:sz w:val="18"/>
        </w:rPr>
        <w:t>ROW_NUMBER()</w:t>
      </w:r>
      <w:r>
        <w:t xml:space="preserve"> para olhar apenas a internação </w:t>
      </w:r>
      <w:r>
        <w:rPr>
          <w:b/>
        </w:rPr>
        <w:t>mais recente</w:t>
      </w:r>
      <w:r>
        <w:t xml:space="preserve"> de cada paciente: uma consulta ingênua por "existe internação em aberto" traria também quem tem uma internação antiga que ninguém fechou.</w:t>
      </w:r>
    </w:p>
    <w:p>
      <w:r>
        <w:t>Todos os scripts são reexecutáveis (</w:t>
      </w:r>
      <w:r>
        <w:rPr>
          <w:rFonts w:ascii="Consolas" w:hAnsi="Consolas"/>
          <w:color w:val="2F6BD6"/>
          <w:sz w:val="18"/>
        </w:rPr>
        <w:t>IF NOT EXISTS</w:t>
      </w:r>
      <w:r>
        <w:t xml:space="preserve">, </w:t>
      </w:r>
      <w:r>
        <w:rPr>
          <w:rFonts w:ascii="Consolas" w:hAnsi="Consolas"/>
          <w:color w:val="2F6BD6"/>
          <w:sz w:val="18"/>
        </w:rPr>
        <w:t>CREATE OR REPLACE</w:t>
      </w:r>
      <w:r>
        <w:t xml:space="preserve">, </w:t>
      </w:r>
      <w:r>
        <w:rPr>
          <w:rFonts w:ascii="Consolas" w:hAnsi="Consolas"/>
          <w:color w:val="2F6BD6"/>
          <w:sz w:val="18"/>
        </w:rPr>
        <w:t>INSERT</w:t>
      </w:r>
      <w:r>
        <w:t xml:space="preserve"> condicional), para que rodar a instalação duas vezes não duplique dados nem quebre.</w:t>
      </w:r>
    </w:p>
    <w:p>
      <w:pPr>
        <w:pStyle w:val="Heading1"/>
      </w:pPr>
      <w:r>
        <w:rPr>
          <w:color w:val="13233F"/>
          <w:sz w:val="26"/>
        </w:rPr>
        <w:t>6. Repositório e interface</w:t>
      </w:r>
    </w:p>
    <w:p>
      <w:r>
        <w:t xml:space="preserve">O histórico separa as etapas: 28 commits da Etapa 1 e 14 da Etapa 2, a partir de </w:t>
      </w:r>
      <w:r>
        <w:rPr>
          <w:rFonts w:ascii="Consolas" w:hAnsi="Consolas"/>
          <w:color w:val="2F6BD6"/>
          <w:sz w:val="18"/>
        </w:rPr>
        <w:t>9a08c85</w:t>
      </w:r>
      <w:r>
        <w:t>. Toda funcionalidade da Etapa 2 é alcançável pela interface — internações, auditoria com destaque dos campos alterados, as três views, as procedures e as consultas avançadas —, e cada bloco indica de qual recurso do banco veio o dado. As duas demos de concorrência rodam por linha de comando, por precisarem de duas transações simultâneas com log da ordem de execução.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  <w:jc w:val="both"/>
    </w:pPr>
    <w:rPr>
      <w:rFonts w:ascii="Calibri" w:hAnsi="Calibri"/>
      <w:color w:val="1323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