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2FCD7" w14:textId="77777777" w:rsidR="00132697" w:rsidRDefault="00000000">
      <w:pPr>
        <w:jc w:val="center"/>
        <w:rPr>
          <w:lang w:eastAsia="zh-CN"/>
        </w:rPr>
      </w:pPr>
      <w:r>
        <w:rPr>
          <w:rFonts w:ascii="黑体" w:eastAsia="黑体" w:hAnsi="黑体"/>
          <w:b/>
          <w:sz w:val="36"/>
          <w:lang w:eastAsia="zh-CN"/>
        </w:rPr>
        <w:t>高阶等参四边形单元插值理论、数值积分与Poisson方程高精度求解</w:t>
      </w:r>
    </w:p>
    <w:p w14:paraId="60FA9A6C" w14:textId="77777777" w:rsidR="00132697" w:rsidRDefault="00132697">
      <w:pPr>
        <w:rPr>
          <w:lang w:eastAsia="zh-CN"/>
        </w:rPr>
      </w:pPr>
    </w:p>
    <w:p w14:paraId="090304AB" w14:textId="77777777" w:rsidR="00132697" w:rsidRDefault="00000000">
      <w:pPr>
        <w:jc w:val="center"/>
        <w:rPr>
          <w:lang w:eastAsia="zh-CN"/>
        </w:rPr>
      </w:pPr>
      <w:r>
        <w:rPr>
          <w:rFonts w:ascii="宋体" w:eastAsia="宋体" w:hAnsi="宋体"/>
          <w:sz w:val="26"/>
          <w:lang w:eastAsia="zh-CN"/>
        </w:rPr>
        <w:t>学号：XXX　姓名：XXX</w:t>
      </w:r>
    </w:p>
    <w:p w14:paraId="53D6C905" w14:textId="77777777" w:rsidR="00132697" w:rsidRDefault="00132697">
      <w:pPr>
        <w:rPr>
          <w:lang w:eastAsia="zh-CN"/>
        </w:rPr>
      </w:pPr>
    </w:p>
    <w:p w14:paraId="71EAA7CB" w14:textId="77777777" w:rsidR="00132697" w:rsidRDefault="00000000">
      <w:pPr>
        <w:rPr>
          <w:lang w:eastAsia="zh-CN"/>
        </w:rPr>
      </w:pPr>
      <w:r>
        <w:rPr>
          <w:rFonts w:ascii="黑体" w:eastAsia="黑体" w:hAnsi="黑体"/>
          <w:b/>
          <w:sz w:val="28"/>
          <w:lang w:eastAsia="zh-CN"/>
        </w:rPr>
        <w:t>摘要</w:t>
      </w:r>
    </w:p>
    <w:p w14:paraId="523414ED" w14:textId="77777777" w:rsidR="00132697" w:rsidRDefault="00000000">
      <w:pPr>
        <w:rPr>
          <w:lang w:eastAsia="zh-CN"/>
        </w:rPr>
      </w:pPr>
      <w:r>
        <w:rPr>
          <w:rFonts w:ascii="宋体" w:eastAsia="宋体" w:hAnsi="宋体"/>
          <w:sz w:val="24"/>
          <w:lang w:eastAsia="zh-CN"/>
        </w:rPr>
        <w:t>为系统研究高阶四边形等参单元的插值完备性、数值积分特性与数值收敛规律，本文完整实现Q4双线性单元、Q8 Serendipity八节点单元与Q9 Lagrange九节点双二次单元全套有限元算法。推导三类单元标准自然坐标形函数及其导数，构建等参映射Jacobian矩阵并完成单元几何合法性校验；实现1×1~4×4阶Gauss-Legendre张量积积分，区分完全积分与减缩积分两种积分策略；通过Patch Test完备性检验量化单元对线性、二次标量场的插值重构误差；以单位正方形区域Poisson方程为标准测试算例，对比不同网格密度下三类单元的节点误差、L2相对误差、总体刚度矩阵条件数与计算规模；针对Q9单元内部节点实现静力凝聚算法，消除单元内部自由度以降低整体方程组规模。数值结果表明：Q4仅具备线性完备性，无法精确拟合二次场；无内部节点的Q8单元存在固有插值误差；含中心节点的Q9 Lagrange单元具备完整双二次插值能力，同网格下求解精度显著优于Q4、Q8；网格加密过程中三类单元误差均呈收敛趋势，但高阶单元刚度矩阵条件数更大，数值病态程度更高。静力凝聚可在不改变边界节点求解结果的前提下将Q9单元自由度由9缩至8，有效压缩整体求解规模。本文完整代码可直接用于高阶等参单元教学验证与固体力学高精度仿真基准测试。</w:t>
      </w:r>
    </w:p>
    <w:p w14:paraId="33139D71" w14:textId="77777777" w:rsidR="00132697" w:rsidRDefault="00000000">
      <w:r>
        <w:rPr>
          <w:rFonts w:ascii="宋体" w:eastAsia="宋体" w:hAnsi="宋体"/>
          <w:sz w:val="24"/>
        </w:rPr>
        <w:t>关键词：高阶等参单元；Serendipity单元；Lagrange单元；Gauss数值积分；Patch Test；静力凝聚；Poisson方程</w:t>
      </w:r>
    </w:p>
    <w:p w14:paraId="128BCD9F" w14:textId="77777777" w:rsidR="00132697" w:rsidRDefault="00000000">
      <w:r>
        <w:br w:type="page"/>
      </w:r>
    </w:p>
    <w:p w14:paraId="185C10E0" w14:textId="77777777" w:rsidR="00132697" w:rsidRDefault="00000000">
      <w:r>
        <w:rPr>
          <w:rFonts w:ascii="黑体" w:eastAsia="黑体" w:hAnsi="黑体"/>
          <w:b/>
          <w:sz w:val="28"/>
        </w:rPr>
        <w:lastRenderedPageBreak/>
        <w:t>1 引言</w:t>
      </w:r>
    </w:p>
    <w:p w14:paraId="1F001920" w14:textId="77777777" w:rsidR="00132697" w:rsidRDefault="00000000">
      <w:pPr>
        <w:rPr>
          <w:lang w:eastAsia="zh-CN"/>
        </w:rPr>
      </w:pPr>
      <w:r>
        <w:rPr>
          <w:rFonts w:ascii="宋体" w:eastAsia="宋体" w:hAnsi="宋体"/>
          <w:sz w:val="24"/>
          <w:lang w:eastAsia="zh-CN"/>
        </w:rPr>
        <w:t>低阶线性四边形单元（Q4）构造简单、计算开销小，但插值精度有限，在应力梯度剧烈、曲线边界几何仿真场景中收敛速度慢，需大幅加密网格才能满足工程精度要求。高阶等参单元通过引入边中点、内部节点提升插值多项式阶次，能够同时实现曲线边界几何精确拟合与高阶场变量插值，是有限元高精度分析的核心单元类型。</w:t>
      </w:r>
    </w:p>
    <w:p w14:paraId="61D0997E" w14:textId="77777777" w:rsidR="00132697" w:rsidRDefault="00000000">
      <w:pPr>
        <w:rPr>
          <w:lang w:eastAsia="zh-CN"/>
        </w:rPr>
      </w:pPr>
      <w:r>
        <w:rPr>
          <w:rFonts w:ascii="宋体" w:eastAsia="宋体" w:hAnsi="宋体"/>
          <w:sz w:val="24"/>
          <w:lang w:eastAsia="zh-CN"/>
        </w:rPr>
        <w:t>现有高阶四边形单元主要分为两类：Serendipity单元与Lagrange单元。Serendipity单元仅保留边界节点，无内部自由度，单元规模更小，但多项式基底缺失高次交叉项</w:t>
      </w:r>
      <w:r>
        <w:rPr>
          <w:rFonts w:ascii="宋体" w:eastAsia="宋体" w:hAnsi="宋体"/>
          <w:sz w:val="24"/>
        </w:rPr>
        <w:t>ξ</w:t>
      </w:r>
      <w:r>
        <w:rPr>
          <w:rFonts w:ascii="宋体" w:eastAsia="宋体" w:hAnsi="宋体"/>
          <w:sz w:val="24"/>
          <w:lang w:eastAsia="zh-CN"/>
        </w:rPr>
        <w:t>²</w:t>
      </w:r>
      <w:r>
        <w:rPr>
          <w:rFonts w:ascii="宋体" w:eastAsia="宋体" w:hAnsi="宋体"/>
          <w:sz w:val="24"/>
        </w:rPr>
        <w:t>η</w:t>
      </w:r>
      <w:r>
        <w:rPr>
          <w:rFonts w:ascii="宋体" w:eastAsia="宋体" w:hAnsi="宋体"/>
          <w:sz w:val="24"/>
          <w:lang w:eastAsia="zh-CN"/>
        </w:rPr>
        <w:t>²，二次场重构存在固有误差；Lagrange单元配置完整张量积节点，包含单元中心内部节点，具备完整双二次插值基底，插值完备性更优，但单元自由度数量增加，整体方程组规模显著提升。针对Lagrange单元内部自由度冗余问题，静力凝聚技术可在单元层面消去内部未知量，仅保留边界自由度参与整体求解，兼顾插值精度与计算效率。</w:t>
      </w:r>
    </w:p>
    <w:p w14:paraId="1A9D71CF" w14:textId="77777777" w:rsidR="00132697" w:rsidRDefault="00000000">
      <w:pPr>
        <w:rPr>
          <w:lang w:eastAsia="zh-CN"/>
        </w:rPr>
      </w:pPr>
      <w:r>
        <w:rPr>
          <w:rFonts w:ascii="宋体" w:eastAsia="宋体" w:hAnsi="宋体"/>
          <w:sz w:val="24"/>
          <w:lang w:eastAsia="zh-CN"/>
        </w:rPr>
        <w:t>数值积分是等参单元刚度矩阵与载荷向量计算的核心环节，积分阶数选择直接决定单元收敛性与数值稳定性。完全积分策略匹配单元插值阶次，可精确积分单元多项式刚度项，但计算成本更高；减缩积分降低积分点数，提升计算速度，却易引发沙漏模态、刚度矩阵秩亏等数值缺陷。目前缺少统一框架下Q4、Q8、Q9单元形函数、积分规则、完备性测试、静力凝聚一体化实现与定量对比分析。</w:t>
      </w:r>
    </w:p>
    <w:p w14:paraId="2523CF6B" w14:textId="77777777" w:rsidR="00132697" w:rsidRDefault="00000000">
      <w:pPr>
        <w:rPr>
          <w:lang w:eastAsia="zh-CN"/>
        </w:rPr>
      </w:pPr>
      <w:r>
        <w:rPr>
          <w:rFonts w:ascii="宋体" w:eastAsia="宋体" w:hAnsi="宋体"/>
          <w:sz w:val="24"/>
          <w:lang w:eastAsia="zh-CN"/>
        </w:rPr>
        <w:t>基于上述研究背景，本文完成如下工作：1）推导并编程实现Q4/Q8/Q9单元形函数与自然坐标导数，完成Kronecker Delta、单位分解、形函数导数和为零三大基础校验；2）构建等参几何映射，推导Jacobian矩阵，完成单元几何合法性判别；3）实现多阶二维Gauss张量积积分，区分完全积分与减缩积分；4）设计Patch Test完备性测试，量化单元对线性、二次标量场的插值精度；5）以Poisson方程为标准算例，结构化网格下对比三类单元收敛误差、矩阵条件数与计算规模；6）实现Q9单元内部节点静力凝聚，验证凝聚前后边界解一致性。本文数值程序与分析结论可为高阶有限元单元教学、高精度仿真算法开发提供完整基准。</w:t>
      </w:r>
    </w:p>
    <w:p w14:paraId="69D8FEB4" w14:textId="77777777" w:rsidR="00132697" w:rsidRDefault="00132697">
      <w:pPr>
        <w:rPr>
          <w:lang w:eastAsia="zh-CN"/>
        </w:rPr>
      </w:pPr>
    </w:p>
    <w:p w14:paraId="44B0407E" w14:textId="77777777" w:rsidR="00132697" w:rsidRDefault="00000000">
      <w:pPr>
        <w:rPr>
          <w:lang w:eastAsia="zh-CN"/>
        </w:rPr>
      </w:pPr>
      <w:r>
        <w:rPr>
          <w:rFonts w:ascii="黑体" w:eastAsia="黑体" w:hAnsi="黑体"/>
          <w:b/>
          <w:sz w:val="28"/>
          <w:lang w:eastAsia="zh-CN"/>
        </w:rPr>
        <w:t>2 高阶四边形等参单元理论基础</w:t>
      </w:r>
    </w:p>
    <w:p w14:paraId="38A6FA57" w14:textId="77777777" w:rsidR="00132697" w:rsidRDefault="00000000">
      <w:pPr>
        <w:rPr>
          <w:lang w:eastAsia="zh-CN"/>
        </w:rPr>
      </w:pPr>
      <w:r>
        <w:rPr>
          <w:rFonts w:ascii="黑体" w:eastAsia="黑体" w:hAnsi="黑体"/>
          <w:b/>
          <w:sz w:val="26"/>
          <w:lang w:eastAsia="zh-CN"/>
        </w:rPr>
        <w:t>2.1 标准参考单元与节点排布</w:t>
      </w:r>
    </w:p>
    <w:p w14:paraId="78DEA9E7" w14:textId="77777777" w:rsidR="00132697" w:rsidRDefault="00000000">
      <w:pPr>
        <w:rPr>
          <w:lang w:eastAsia="zh-CN"/>
        </w:rPr>
      </w:pPr>
      <w:r>
        <w:rPr>
          <w:rFonts w:ascii="宋体" w:eastAsia="宋体" w:hAnsi="宋体"/>
          <w:sz w:val="24"/>
          <w:lang w:eastAsia="zh-CN"/>
        </w:rPr>
        <w:t>等参单元统一将物理域任意四边形映射至自然坐标下标准参考单元：</w:t>
      </w:r>
      <w:r>
        <w:rPr>
          <w:rFonts w:ascii="宋体" w:eastAsia="宋体" w:hAnsi="宋体"/>
          <w:sz w:val="24"/>
        </w:rPr>
        <w:t>ξ</w:t>
      </w:r>
      <w:r>
        <w:rPr>
          <w:rFonts w:ascii="宋体" w:eastAsia="宋体" w:hAnsi="宋体"/>
          <w:sz w:val="24"/>
          <w:lang w:eastAsia="zh-CN"/>
        </w:rPr>
        <w:t>范围[-1,1]，</w:t>
      </w:r>
      <w:r>
        <w:rPr>
          <w:rFonts w:ascii="宋体" w:eastAsia="宋体" w:hAnsi="宋体"/>
          <w:sz w:val="24"/>
        </w:rPr>
        <w:t>η</w:t>
      </w:r>
      <w:r>
        <w:rPr>
          <w:rFonts w:ascii="宋体" w:eastAsia="宋体" w:hAnsi="宋体"/>
          <w:sz w:val="24"/>
          <w:lang w:eastAsia="zh-CN"/>
        </w:rPr>
        <w:t>范围[-1,1]。三类单元节点排布规则如下：</w:t>
      </w:r>
    </w:p>
    <w:p w14:paraId="1128FC01" w14:textId="77777777" w:rsidR="00132697" w:rsidRDefault="00000000">
      <w:pPr>
        <w:rPr>
          <w:lang w:eastAsia="zh-CN"/>
        </w:rPr>
      </w:pPr>
      <w:r>
        <w:rPr>
          <w:rFonts w:ascii="宋体" w:eastAsia="宋体" w:hAnsi="宋体"/>
          <w:sz w:val="24"/>
          <w:lang w:eastAsia="zh-CN"/>
        </w:rPr>
        <w:lastRenderedPageBreak/>
        <w:t>（1）Q4四节点双线性单元：仅配置四角节点，自然坐标(-1,-1)、(1,-1)、(1,1)、(-1,1)，插值多项式为完全一次双线性多项式；</w:t>
      </w:r>
    </w:p>
    <w:p w14:paraId="6C587A38" w14:textId="77777777" w:rsidR="00132697" w:rsidRDefault="00000000">
      <w:pPr>
        <w:rPr>
          <w:lang w:eastAsia="zh-CN"/>
        </w:rPr>
      </w:pPr>
      <w:r>
        <w:rPr>
          <w:rFonts w:ascii="宋体" w:eastAsia="宋体" w:hAnsi="宋体"/>
          <w:sz w:val="24"/>
          <w:lang w:eastAsia="zh-CN"/>
        </w:rPr>
        <w:t>（2）Q8八节点Serendipity单元：四角节点+四条边中点，无内部节点，插值为不完全双二次多项式，缺失交叉高次项</w:t>
      </w:r>
      <w:r>
        <w:rPr>
          <w:rFonts w:ascii="宋体" w:eastAsia="宋体" w:hAnsi="宋体"/>
          <w:sz w:val="24"/>
        </w:rPr>
        <w:t>ξ</w:t>
      </w:r>
      <w:r>
        <w:rPr>
          <w:rFonts w:ascii="宋体" w:eastAsia="宋体" w:hAnsi="宋体"/>
          <w:sz w:val="24"/>
          <w:lang w:eastAsia="zh-CN"/>
        </w:rPr>
        <w:t>²</w:t>
      </w:r>
      <w:r>
        <w:rPr>
          <w:rFonts w:ascii="宋体" w:eastAsia="宋体" w:hAnsi="宋体"/>
          <w:sz w:val="24"/>
        </w:rPr>
        <w:t>η</w:t>
      </w:r>
      <w:r>
        <w:rPr>
          <w:rFonts w:ascii="宋体" w:eastAsia="宋体" w:hAnsi="宋体"/>
          <w:sz w:val="24"/>
          <w:lang w:eastAsia="zh-CN"/>
        </w:rPr>
        <w:t>²；</w:t>
      </w:r>
    </w:p>
    <w:p w14:paraId="1955979A" w14:textId="77777777" w:rsidR="00132697" w:rsidRDefault="00000000">
      <w:pPr>
        <w:rPr>
          <w:lang w:eastAsia="zh-CN"/>
        </w:rPr>
      </w:pPr>
      <w:r>
        <w:rPr>
          <w:rFonts w:ascii="宋体" w:eastAsia="宋体" w:hAnsi="宋体"/>
          <w:sz w:val="24"/>
          <w:lang w:eastAsia="zh-CN"/>
        </w:rPr>
        <w:t>（3）Q9九节点Lagrange单元：四角、四边中点+单元中心内部节点(0,0)，完整双二次张量积插值基底，具备二次场精确重构能力。</w:t>
      </w:r>
    </w:p>
    <w:p w14:paraId="03A5C019" w14:textId="77777777" w:rsidR="00132697" w:rsidRDefault="00000000">
      <w:pPr>
        <w:rPr>
          <w:lang w:eastAsia="zh-CN"/>
        </w:rPr>
      </w:pPr>
      <w:r>
        <w:rPr>
          <w:rFonts w:ascii="黑体" w:eastAsia="黑体" w:hAnsi="黑体"/>
          <w:b/>
          <w:sz w:val="26"/>
          <w:lang w:eastAsia="zh-CN"/>
        </w:rPr>
        <w:t>2.2 单元形函数与导数构造</w:t>
      </w:r>
    </w:p>
    <w:p w14:paraId="08C727B2" w14:textId="77777777" w:rsidR="00132697" w:rsidRDefault="00000000">
      <w:pPr>
        <w:rPr>
          <w:lang w:eastAsia="zh-CN"/>
        </w:rPr>
      </w:pPr>
      <w:r>
        <w:rPr>
          <w:rFonts w:ascii="宋体" w:eastAsia="宋体" w:hAnsi="宋体"/>
          <w:sz w:val="24"/>
          <w:lang w:eastAsia="zh-CN"/>
        </w:rPr>
        <w:t>形函数Ni(</w:t>
      </w:r>
      <w:r>
        <w:rPr>
          <w:rFonts w:ascii="宋体" w:eastAsia="宋体" w:hAnsi="宋体"/>
          <w:sz w:val="24"/>
        </w:rPr>
        <w:t>ξ</w:t>
      </w:r>
      <w:r>
        <w:rPr>
          <w:rFonts w:ascii="宋体" w:eastAsia="宋体" w:hAnsi="宋体"/>
          <w:sz w:val="24"/>
          <w:lang w:eastAsia="zh-CN"/>
        </w:rPr>
        <w:t>,</w:t>
      </w:r>
      <w:r>
        <w:rPr>
          <w:rFonts w:ascii="宋体" w:eastAsia="宋体" w:hAnsi="宋体"/>
          <w:sz w:val="24"/>
        </w:rPr>
        <w:t>η</w:t>
      </w:r>
      <w:r>
        <w:rPr>
          <w:rFonts w:ascii="宋体" w:eastAsia="宋体" w:hAnsi="宋体"/>
          <w:sz w:val="24"/>
          <w:lang w:eastAsia="zh-CN"/>
        </w:rPr>
        <w:t>)满足Kronecker Delta性质：在节点j处，Ni(</w:t>
      </w:r>
      <w:r>
        <w:rPr>
          <w:rFonts w:ascii="宋体" w:eastAsia="宋体" w:hAnsi="宋体"/>
          <w:sz w:val="24"/>
        </w:rPr>
        <w:t>ξ</w:t>
      </w:r>
      <w:r>
        <w:rPr>
          <w:rFonts w:ascii="宋体" w:eastAsia="宋体" w:hAnsi="宋体"/>
          <w:sz w:val="24"/>
          <w:lang w:eastAsia="zh-CN"/>
        </w:rPr>
        <w:t>j,</w:t>
      </w:r>
      <w:r>
        <w:rPr>
          <w:rFonts w:ascii="宋体" w:eastAsia="宋体" w:hAnsi="宋体"/>
          <w:sz w:val="24"/>
        </w:rPr>
        <w:t>η</w:t>
      </w:r>
      <w:r>
        <w:rPr>
          <w:rFonts w:ascii="宋体" w:eastAsia="宋体" w:hAnsi="宋体"/>
          <w:sz w:val="24"/>
          <w:lang w:eastAsia="zh-CN"/>
        </w:rPr>
        <w:t>j)=</w:t>
      </w:r>
      <w:r>
        <w:rPr>
          <w:rFonts w:ascii="宋体" w:eastAsia="宋体" w:hAnsi="宋体"/>
          <w:sz w:val="24"/>
        </w:rPr>
        <w:t>δ</w:t>
      </w:r>
      <w:r>
        <w:rPr>
          <w:rFonts w:ascii="宋体" w:eastAsia="宋体" w:hAnsi="宋体"/>
          <w:sz w:val="24"/>
          <w:lang w:eastAsia="zh-CN"/>
        </w:rPr>
        <w:t>ij；同时满足全局单位分解：所有形函数之和等于1；形函数对自然坐标导数满足：所有∂Ni/∂</w:t>
      </w:r>
      <w:r>
        <w:rPr>
          <w:rFonts w:ascii="宋体" w:eastAsia="宋体" w:hAnsi="宋体"/>
          <w:sz w:val="24"/>
        </w:rPr>
        <w:t>ξ</w:t>
      </w:r>
      <w:r>
        <w:rPr>
          <w:rFonts w:ascii="宋体" w:eastAsia="宋体" w:hAnsi="宋体"/>
          <w:sz w:val="24"/>
          <w:lang w:eastAsia="zh-CN"/>
        </w:rPr>
        <w:t>之和为0、所有∂Ni/∂</w:t>
      </w:r>
      <w:r>
        <w:rPr>
          <w:rFonts w:ascii="宋体" w:eastAsia="宋体" w:hAnsi="宋体"/>
          <w:sz w:val="24"/>
        </w:rPr>
        <w:t>η</w:t>
      </w:r>
      <w:r>
        <w:rPr>
          <w:rFonts w:ascii="宋体" w:eastAsia="宋体" w:hAnsi="宋体"/>
          <w:sz w:val="24"/>
          <w:lang w:eastAsia="zh-CN"/>
        </w:rPr>
        <w:t>之和为0。</w:t>
      </w:r>
    </w:p>
    <w:p w14:paraId="5B4A9C5F" w14:textId="77777777" w:rsidR="00132697" w:rsidRDefault="00000000">
      <w:pPr>
        <w:rPr>
          <w:lang w:eastAsia="zh-CN"/>
        </w:rPr>
      </w:pPr>
      <w:r>
        <w:rPr>
          <w:rFonts w:ascii="宋体" w:eastAsia="宋体" w:hAnsi="宋体"/>
          <w:sz w:val="24"/>
          <w:lang w:eastAsia="zh-CN"/>
        </w:rPr>
        <w:t>Q4单元采用双线性显式形函数；Q8 Serendipity单元采用边界修正二次多项式，剔除内部节点自由度；Q9 Lagrange单元采用张量积Lagrange插值基底，各节点形函数由一维二次Lagrange函数乘积得到，可完整表示1、</w:t>
      </w:r>
      <w:r>
        <w:rPr>
          <w:rFonts w:ascii="宋体" w:eastAsia="宋体" w:hAnsi="宋体"/>
          <w:sz w:val="24"/>
        </w:rPr>
        <w:t>ξ</w:t>
      </w:r>
      <w:r>
        <w:rPr>
          <w:rFonts w:ascii="宋体" w:eastAsia="宋体" w:hAnsi="宋体"/>
          <w:sz w:val="24"/>
          <w:lang w:eastAsia="zh-CN"/>
        </w:rPr>
        <w:t>、</w:t>
      </w:r>
      <w:r>
        <w:rPr>
          <w:rFonts w:ascii="宋体" w:eastAsia="宋体" w:hAnsi="宋体"/>
          <w:sz w:val="24"/>
        </w:rPr>
        <w:t>η</w:t>
      </w:r>
      <w:r>
        <w:rPr>
          <w:rFonts w:ascii="宋体" w:eastAsia="宋体" w:hAnsi="宋体"/>
          <w:sz w:val="24"/>
          <w:lang w:eastAsia="zh-CN"/>
        </w:rPr>
        <w:t>、</w:t>
      </w:r>
      <w:r>
        <w:rPr>
          <w:rFonts w:ascii="宋体" w:eastAsia="宋体" w:hAnsi="宋体"/>
          <w:sz w:val="24"/>
        </w:rPr>
        <w:t>ξ</w:t>
      </w:r>
      <w:r>
        <w:rPr>
          <w:rFonts w:ascii="宋体" w:eastAsia="宋体" w:hAnsi="宋体"/>
          <w:sz w:val="24"/>
          <w:lang w:eastAsia="zh-CN"/>
        </w:rPr>
        <w:t>²、</w:t>
      </w:r>
      <w:r>
        <w:rPr>
          <w:rFonts w:ascii="宋体" w:eastAsia="宋体" w:hAnsi="宋体"/>
          <w:sz w:val="24"/>
        </w:rPr>
        <w:t>ξη</w:t>
      </w:r>
      <w:r>
        <w:rPr>
          <w:rFonts w:ascii="宋体" w:eastAsia="宋体" w:hAnsi="宋体"/>
          <w:sz w:val="24"/>
          <w:lang w:eastAsia="zh-CN"/>
        </w:rPr>
        <w:t>、</w:t>
      </w:r>
      <w:r>
        <w:rPr>
          <w:rFonts w:ascii="宋体" w:eastAsia="宋体" w:hAnsi="宋体"/>
          <w:sz w:val="24"/>
        </w:rPr>
        <w:t>η</w:t>
      </w:r>
      <w:r>
        <w:rPr>
          <w:rFonts w:ascii="宋体" w:eastAsia="宋体" w:hAnsi="宋体"/>
          <w:sz w:val="24"/>
          <w:lang w:eastAsia="zh-CN"/>
        </w:rPr>
        <w:t>²全部二次项。程序中显式推导全部形函数Ni与自然导数∂Ni/∂</w:t>
      </w:r>
      <w:r>
        <w:rPr>
          <w:rFonts w:ascii="宋体" w:eastAsia="宋体" w:hAnsi="宋体"/>
          <w:sz w:val="24"/>
        </w:rPr>
        <w:t>ξ</w:t>
      </w:r>
      <w:r>
        <w:rPr>
          <w:rFonts w:ascii="宋体" w:eastAsia="宋体" w:hAnsi="宋体"/>
          <w:sz w:val="24"/>
          <w:lang w:eastAsia="zh-CN"/>
        </w:rPr>
        <w:t>、∂Ni/∂</w:t>
      </w:r>
      <w:r>
        <w:rPr>
          <w:rFonts w:ascii="宋体" w:eastAsia="宋体" w:hAnsi="宋体"/>
          <w:sz w:val="24"/>
        </w:rPr>
        <w:t>η</w:t>
      </w:r>
      <w:r>
        <w:rPr>
          <w:rFonts w:ascii="宋体" w:eastAsia="宋体" w:hAnsi="宋体"/>
          <w:sz w:val="24"/>
          <w:lang w:eastAsia="zh-CN"/>
        </w:rPr>
        <w:t>，不依赖符号计算库，保证计算效率。</w:t>
      </w:r>
    </w:p>
    <w:p w14:paraId="585DD801" w14:textId="77777777" w:rsidR="00132697" w:rsidRDefault="00000000">
      <w:pPr>
        <w:rPr>
          <w:lang w:eastAsia="zh-CN"/>
        </w:rPr>
      </w:pPr>
      <w:r>
        <w:rPr>
          <w:rFonts w:ascii="黑体" w:eastAsia="黑体" w:hAnsi="黑体"/>
          <w:b/>
          <w:sz w:val="26"/>
          <w:lang w:eastAsia="zh-CN"/>
        </w:rPr>
        <w:t>2.3 等参映射与Jacobian矩阵</w:t>
      </w:r>
    </w:p>
    <w:p w14:paraId="233482FE" w14:textId="77777777" w:rsidR="00132697" w:rsidRDefault="00000000">
      <w:pPr>
        <w:rPr>
          <w:lang w:eastAsia="zh-CN"/>
        </w:rPr>
      </w:pPr>
      <w:r>
        <w:rPr>
          <w:rFonts w:ascii="宋体" w:eastAsia="宋体" w:hAnsi="宋体"/>
          <w:sz w:val="24"/>
          <w:lang w:eastAsia="zh-CN"/>
        </w:rPr>
        <w:t>等参映射将参考单元坐标映射至物理单元：x(</w:t>
      </w:r>
      <w:r>
        <w:rPr>
          <w:rFonts w:ascii="宋体" w:eastAsia="宋体" w:hAnsi="宋体"/>
          <w:sz w:val="24"/>
        </w:rPr>
        <w:t>ξ</w:t>
      </w:r>
      <w:r>
        <w:rPr>
          <w:rFonts w:ascii="宋体" w:eastAsia="宋体" w:hAnsi="宋体"/>
          <w:sz w:val="24"/>
          <w:lang w:eastAsia="zh-CN"/>
        </w:rPr>
        <w:t>,</w:t>
      </w:r>
      <w:r>
        <w:rPr>
          <w:rFonts w:ascii="宋体" w:eastAsia="宋体" w:hAnsi="宋体"/>
          <w:sz w:val="24"/>
        </w:rPr>
        <w:t>η</w:t>
      </w:r>
      <w:r>
        <w:rPr>
          <w:rFonts w:ascii="宋体" w:eastAsia="宋体" w:hAnsi="宋体"/>
          <w:sz w:val="24"/>
          <w:lang w:eastAsia="zh-CN"/>
        </w:rPr>
        <w:t>)=</w:t>
      </w:r>
      <w:r>
        <w:rPr>
          <w:rFonts w:ascii="宋体" w:eastAsia="宋体" w:hAnsi="宋体"/>
          <w:sz w:val="24"/>
        </w:rPr>
        <w:t>Σ</w:t>
      </w:r>
      <w:r>
        <w:rPr>
          <w:rFonts w:ascii="宋体" w:eastAsia="宋体" w:hAnsi="宋体"/>
          <w:sz w:val="24"/>
          <w:lang w:eastAsia="zh-CN"/>
        </w:rPr>
        <w:t>Ni·xi，y(</w:t>
      </w:r>
      <w:r>
        <w:rPr>
          <w:rFonts w:ascii="宋体" w:eastAsia="宋体" w:hAnsi="宋体"/>
          <w:sz w:val="24"/>
        </w:rPr>
        <w:t>ξ</w:t>
      </w:r>
      <w:r>
        <w:rPr>
          <w:rFonts w:ascii="宋体" w:eastAsia="宋体" w:hAnsi="宋体"/>
          <w:sz w:val="24"/>
          <w:lang w:eastAsia="zh-CN"/>
        </w:rPr>
        <w:t>,</w:t>
      </w:r>
      <w:r>
        <w:rPr>
          <w:rFonts w:ascii="宋体" w:eastAsia="宋体" w:hAnsi="宋体"/>
          <w:sz w:val="24"/>
        </w:rPr>
        <w:t>η</w:t>
      </w:r>
      <w:r>
        <w:rPr>
          <w:rFonts w:ascii="宋体" w:eastAsia="宋体" w:hAnsi="宋体"/>
          <w:sz w:val="24"/>
          <w:lang w:eastAsia="zh-CN"/>
        </w:rPr>
        <w:t>)=</w:t>
      </w:r>
      <w:r>
        <w:rPr>
          <w:rFonts w:ascii="宋体" w:eastAsia="宋体" w:hAnsi="宋体"/>
          <w:sz w:val="24"/>
        </w:rPr>
        <w:t>Σ</w:t>
      </w:r>
      <w:r>
        <w:rPr>
          <w:rFonts w:ascii="宋体" w:eastAsia="宋体" w:hAnsi="宋体"/>
          <w:sz w:val="24"/>
          <w:lang w:eastAsia="zh-CN"/>
        </w:rPr>
        <w:t>Ni·yi。映射Jacobian矩阵定义为坐标对自然坐标的一阶偏导，矩阵两行分别为x对</w:t>
      </w:r>
      <w:r>
        <w:rPr>
          <w:rFonts w:ascii="宋体" w:eastAsia="宋体" w:hAnsi="宋体"/>
          <w:sz w:val="24"/>
        </w:rPr>
        <w:t>ξ</w:t>
      </w:r>
      <w:r>
        <w:rPr>
          <w:rFonts w:ascii="宋体" w:eastAsia="宋体" w:hAnsi="宋体"/>
          <w:sz w:val="24"/>
          <w:lang w:eastAsia="zh-CN"/>
        </w:rPr>
        <w:t>、x对</w:t>
      </w:r>
      <w:r>
        <w:rPr>
          <w:rFonts w:ascii="宋体" w:eastAsia="宋体" w:hAnsi="宋体"/>
          <w:sz w:val="24"/>
        </w:rPr>
        <w:t>η</w:t>
      </w:r>
      <w:r>
        <w:rPr>
          <w:rFonts w:ascii="宋体" w:eastAsia="宋体" w:hAnsi="宋体"/>
          <w:sz w:val="24"/>
          <w:lang w:eastAsia="zh-CN"/>
        </w:rPr>
        <w:t>的偏导；y对</w:t>
      </w:r>
      <w:r>
        <w:rPr>
          <w:rFonts w:ascii="宋体" w:eastAsia="宋体" w:hAnsi="宋体"/>
          <w:sz w:val="24"/>
        </w:rPr>
        <w:t>ξ</w:t>
      </w:r>
      <w:r>
        <w:rPr>
          <w:rFonts w:ascii="宋体" w:eastAsia="宋体" w:hAnsi="宋体"/>
          <w:sz w:val="24"/>
          <w:lang w:eastAsia="zh-CN"/>
        </w:rPr>
        <w:t>、y对</w:t>
      </w:r>
      <w:r>
        <w:rPr>
          <w:rFonts w:ascii="宋体" w:eastAsia="宋体" w:hAnsi="宋体"/>
          <w:sz w:val="24"/>
        </w:rPr>
        <w:t>η</w:t>
      </w:r>
      <w:r>
        <w:rPr>
          <w:rFonts w:ascii="宋体" w:eastAsia="宋体" w:hAnsi="宋体"/>
          <w:sz w:val="24"/>
          <w:lang w:eastAsia="zh-CN"/>
        </w:rPr>
        <w:t>的偏导。</w:t>
      </w:r>
    </w:p>
    <w:p w14:paraId="309221F1" w14:textId="77777777" w:rsidR="00132697" w:rsidRDefault="00000000">
      <w:pPr>
        <w:rPr>
          <w:lang w:eastAsia="zh-CN"/>
        </w:rPr>
      </w:pPr>
      <w:r>
        <w:rPr>
          <w:rFonts w:ascii="宋体" w:eastAsia="宋体" w:hAnsi="宋体"/>
          <w:sz w:val="24"/>
          <w:lang w:eastAsia="zh-CN"/>
        </w:rPr>
        <w:t>Jacobian行列式det(J)代表参考单元微元到物理单元微元的面积缩放系数，单元合法映射必须满足det(J)&gt;0。若行列式小于0，单元节点顺时针排布，映射发生翻转；行列式趋近于0代表单元退化，积分失效。通过Jacobian逆矩阵可将自然坐标下形函数导数转换为物理坐标梯度∂Ni/∂x、∂Ni/∂y，是刚度矩阵积分的必要中间量。</w:t>
      </w:r>
    </w:p>
    <w:p w14:paraId="712CE1F4" w14:textId="77777777" w:rsidR="00132697" w:rsidRDefault="00000000">
      <w:pPr>
        <w:rPr>
          <w:lang w:eastAsia="zh-CN"/>
        </w:rPr>
      </w:pPr>
      <w:r>
        <w:rPr>
          <w:rFonts w:ascii="黑体" w:eastAsia="黑体" w:hAnsi="黑体"/>
          <w:b/>
          <w:sz w:val="26"/>
          <w:lang w:eastAsia="zh-CN"/>
        </w:rPr>
        <w:t>2.4 二维Gauss-Legendre数值积分</w:t>
      </w:r>
    </w:p>
    <w:p w14:paraId="61E551D0" w14:textId="77777777" w:rsidR="00132697" w:rsidRDefault="00000000">
      <w:pPr>
        <w:rPr>
          <w:lang w:eastAsia="zh-CN"/>
        </w:rPr>
      </w:pPr>
      <w:r>
        <w:rPr>
          <w:rFonts w:ascii="宋体" w:eastAsia="宋体" w:hAnsi="宋体"/>
          <w:sz w:val="24"/>
          <w:lang w:eastAsia="zh-CN"/>
        </w:rPr>
        <w:t>一维Gauss积分通过加权采样实现多项式精确积分，二维积分由一维积分张量积构造。针对不同单元插值阶次，区分完全积分与减缩积分：Q4完全积分采用2×2高斯点，减缩积分1×1；Q8、Q9完全积分3×3，减缩积分2×2。积分计算公式：单元域积分F(x,y)d</w:t>
      </w:r>
      <w:r>
        <w:rPr>
          <w:rFonts w:ascii="宋体" w:eastAsia="宋体" w:hAnsi="宋体"/>
          <w:sz w:val="24"/>
        </w:rPr>
        <w:t>Ω</w:t>
      </w:r>
      <w:r>
        <w:rPr>
          <w:rFonts w:ascii="宋体" w:eastAsia="宋体" w:hAnsi="宋体"/>
          <w:sz w:val="24"/>
          <w:lang w:eastAsia="zh-CN"/>
        </w:rPr>
        <w:t xml:space="preserve"> = 求和(权重gp × F(</w:t>
      </w:r>
      <w:r>
        <w:rPr>
          <w:rFonts w:ascii="宋体" w:eastAsia="宋体" w:hAnsi="宋体"/>
          <w:sz w:val="24"/>
        </w:rPr>
        <w:t>ξ</w:t>
      </w:r>
      <w:r>
        <w:rPr>
          <w:rFonts w:ascii="宋体" w:eastAsia="宋体" w:hAnsi="宋体"/>
          <w:sz w:val="24"/>
          <w:lang w:eastAsia="zh-CN"/>
        </w:rPr>
        <w:t>gp,</w:t>
      </w:r>
      <w:r>
        <w:rPr>
          <w:rFonts w:ascii="宋体" w:eastAsia="宋体" w:hAnsi="宋体"/>
          <w:sz w:val="24"/>
        </w:rPr>
        <w:t>η</w:t>
      </w:r>
      <w:r>
        <w:rPr>
          <w:rFonts w:ascii="宋体" w:eastAsia="宋体" w:hAnsi="宋体"/>
          <w:sz w:val="24"/>
          <w:lang w:eastAsia="zh-CN"/>
        </w:rPr>
        <w:t>gp) × det(Jgp))。减缩积分降低计算量，但存在沙漏、秩亏等数值风险。</w:t>
      </w:r>
    </w:p>
    <w:p w14:paraId="3580824A" w14:textId="77777777" w:rsidR="00132697" w:rsidRDefault="00132697">
      <w:pPr>
        <w:rPr>
          <w:lang w:eastAsia="zh-CN"/>
        </w:rPr>
      </w:pPr>
    </w:p>
    <w:p w14:paraId="1E130FAD" w14:textId="77777777" w:rsidR="00132697" w:rsidRDefault="00000000">
      <w:r>
        <w:rPr>
          <w:rFonts w:ascii="黑体" w:eastAsia="黑体" w:hAnsi="黑体"/>
          <w:b/>
          <w:sz w:val="28"/>
        </w:rPr>
        <w:t>3 Poisson方程有限元离散体系</w:t>
      </w:r>
    </w:p>
    <w:p w14:paraId="5C4D1B90" w14:textId="77777777" w:rsidR="00132697" w:rsidRDefault="00000000">
      <w:pPr>
        <w:rPr>
          <w:lang w:eastAsia="zh-CN"/>
        </w:rPr>
      </w:pPr>
      <w:r>
        <w:rPr>
          <w:rFonts w:ascii="黑体" w:eastAsia="黑体" w:hAnsi="黑体"/>
          <w:b/>
          <w:sz w:val="26"/>
          <w:lang w:eastAsia="zh-CN"/>
        </w:rPr>
        <w:t>3.1 控制方程与弱形式</w:t>
      </w:r>
    </w:p>
    <w:p w14:paraId="15275A9A" w14:textId="77777777" w:rsidR="00132697" w:rsidRDefault="00000000">
      <w:pPr>
        <w:rPr>
          <w:lang w:eastAsia="zh-CN"/>
        </w:rPr>
      </w:pPr>
      <w:r>
        <w:rPr>
          <w:rFonts w:ascii="宋体" w:eastAsia="宋体" w:hAnsi="宋体"/>
          <w:sz w:val="24"/>
          <w:lang w:eastAsia="zh-CN"/>
        </w:rPr>
        <w:t>二维标量Poisson方程控制方程：-</w:t>
      </w:r>
      <w:r>
        <w:rPr>
          <w:rFonts w:ascii="宋体" w:eastAsia="宋体" w:hAnsi="宋体"/>
          <w:sz w:val="24"/>
        </w:rPr>
        <w:t>Δ</w:t>
      </w:r>
      <w:r>
        <w:rPr>
          <w:rFonts w:ascii="宋体" w:eastAsia="宋体" w:hAnsi="宋体"/>
          <w:sz w:val="24"/>
          <w:lang w:eastAsia="zh-CN"/>
        </w:rPr>
        <w:t>u = f，定义在区域</w:t>
      </w:r>
      <w:r>
        <w:rPr>
          <w:rFonts w:ascii="宋体" w:eastAsia="宋体" w:hAnsi="宋体"/>
          <w:sz w:val="24"/>
        </w:rPr>
        <w:t>Ω</w:t>
      </w:r>
      <w:r>
        <w:rPr>
          <w:rFonts w:ascii="宋体" w:eastAsia="宋体" w:hAnsi="宋体"/>
          <w:sz w:val="24"/>
          <w:lang w:eastAsia="zh-CN"/>
        </w:rPr>
        <w:t>内；Dirichlet边界条件：u=g，定义在区域边界∂</w:t>
      </w:r>
      <w:r>
        <w:rPr>
          <w:rFonts w:ascii="宋体" w:eastAsia="宋体" w:hAnsi="宋体"/>
          <w:sz w:val="24"/>
        </w:rPr>
        <w:t>Ω</w:t>
      </w:r>
      <w:r>
        <w:rPr>
          <w:rFonts w:ascii="宋体" w:eastAsia="宋体" w:hAnsi="宋体"/>
          <w:sz w:val="24"/>
          <w:lang w:eastAsia="zh-CN"/>
        </w:rPr>
        <w:t>。加权残量法推导弱形式：寻找试函数u属于空间V，对任意检验函数w属于V，满足 区域积分(∇w·∇u)d</w:t>
      </w:r>
      <w:r>
        <w:rPr>
          <w:rFonts w:ascii="宋体" w:eastAsia="宋体" w:hAnsi="宋体"/>
          <w:sz w:val="24"/>
        </w:rPr>
        <w:t>Ω</w:t>
      </w:r>
      <w:r>
        <w:rPr>
          <w:rFonts w:ascii="宋体" w:eastAsia="宋体" w:hAnsi="宋体"/>
          <w:sz w:val="24"/>
          <w:lang w:eastAsia="zh-CN"/>
        </w:rPr>
        <w:t xml:space="preserve"> = 区域积分(w·f)d</w:t>
      </w:r>
      <w:r>
        <w:rPr>
          <w:rFonts w:ascii="宋体" w:eastAsia="宋体" w:hAnsi="宋体"/>
          <w:sz w:val="24"/>
        </w:rPr>
        <w:t>Ω</w:t>
      </w:r>
      <w:r>
        <w:rPr>
          <w:rFonts w:ascii="宋体" w:eastAsia="宋体" w:hAnsi="宋体"/>
          <w:sz w:val="24"/>
          <w:lang w:eastAsia="zh-CN"/>
        </w:rPr>
        <w:t>。采用有限元插值u=</w:t>
      </w:r>
      <w:r>
        <w:rPr>
          <w:rFonts w:ascii="宋体" w:eastAsia="宋体" w:hAnsi="宋体"/>
          <w:sz w:val="24"/>
        </w:rPr>
        <w:t>Σ</w:t>
      </w:r>
      <w:r>
        <w:rPr>
          <w:rFonts w:ascii="宋体" w:eastAsia="宋体" w:hAnsi="宋体"/>
          <w:sz w:val="24"/>
          <w:lang w:eastAsia="zh-CN"/>
        </w:rPr>
        <w:t>Ni·ai，离散得到单元刚度矩阵与单元载荷向量。</w:t>
      </w:r>
    </w:p>
    <w:p w14:paraId="21CB8004" w14:textId="77777777" w:rsidR="00132697" w:rsidRDefault="00000000">
      <w:pPr>
        <w:rPr>
          <w:lang w:eastAsia="zh-CN"/>
        </w:rPr>
      </w:pPr>
      <w:r>
        <w:rPr>
          <w:rFonts w:ascii="黑体" w:eastAsia="黑体" w:hAnsi="黑体"/>
          <w:b/>
          <w:sz w:val="26"/>
          <w:lang w:eastAsia="zh-CN"/>
        </w:rPr>
        <w:t>3.2 单元刚度与载荷向量</w:t>
      </w:r>
    </w:p>
    <w:p w14:paraId="16FAEA87" w14:textId="77777777" w:rsidR="00132697" w:rsidRDefault="00000000">
      <w:pPr>
        <w:rPr>
          <w:lang w:eastAsia="zh-CN"/>
        </w:rPr>
      </w:pPr>
      <w:r>
        <w:rPr>
          <w:rFonts w:ascii="宋体" w:eastAsia="宋体" w:hAnsi="宋体"/>
          <w:sz w:val="24"/>
          <w:lang w:eastAsia="zh-CN"/>
        </w:rPr>
        <w:t>单元刚度矩阵分量：Kij^e = 单元域积分(∇Ni · ∇Nj) d</w:t>
      </w:r>
      <w:r>
        <w:rPr>
          <w:rFonts w:ascii="宋体" w:eastAsia="宋体" w:hAnsi="宋体"/>
          <w:sz w:val="24"/>
        </w:rPr>
        <w:t>Ω</w:t>
      </w:r>
      <w:r>
        <w:rPr>
          <w:rFonts w:ascii="宋体" w:eastAsia="宋体" w:hAnsi="宋体"/>
          <w:sz w:val="24"/>
          <w:lang w:eastAsia="zh-CN"/>
        </w:rPr>
        <w:t>；单元载荷向量Ri^e = 单元域积分(Ni·f) d</w:t>
      </w:r>
      <w:r>
        <w:rPr>
          <w:rFonts w:ascii="宋体" w:eastAsia="宋体" w:hAnsi="宋体"/>
          <w:sz w:val="24"/>
        </w:rPr>
        <w:t>Ω</w:t>
      </w:r>
      <w:r>
        <w:rPr>
          <w:rFonts w:ascii="宋体" w:eastAsia="宋体" w:hAnsi="宋体"/>
          <w:sz w:val="24"/>
          <w:lang w:eastAsia="zh-CN"/>
        </w:rPr>
        <w:t>。通过Gauss数值积分离散计算单元矩阵，组装得到全局线性方程组 K·a = R，施加Dirichlet零边界条件后求解节点未知量向量a。</w:t>
      </w:r>
    </w:p>
    <w:p w14:paraId="3304050D" w14:textId="77777777" w:rsidR="00132697" w:rsidRDefault="00000000">
      <w:pPr>
        <w:rPr>
          <w:lang w:eastAsia="zh-CN"/>
        </w:rPr>
      </w:pPr>
      <w:r>
        <w:rPr>
          <w:rFonts w:ascii="黑体" w:eastAsia="黑体" w:hAnsi="黑体"/>
          <w:b/>
          <w:sz w:val="26"/>
          <w:lang w:eastAsia="zh-CN"/>
        </w:rPr>
        <w:t>3.3 Q9单元静力凝聚理论</w:t>
      </w:r>
    </w:p>
    <w:p w14:paraId="3C428C8E" w14:textId="77777777" w:rsidR="00132697" w:rsidRDefault="00000000">
      <w:pPr>
        <w:rPr>
          <w:lang w:eastAsia="zh-CN"/>
        </w:rPr>
      </w:pPr>
      <w:r>
        <w:rPr>
          <w:rFonts w:ascii="宋体" w:eastAsia="宋体" w:hAnsi="宋体"/>
          <w:sz w:val="24"/>
          <w:lang w:eastAsia="zh-CN"/>
        </w:rPr>
        <w:t>Q9单元自由度分为边界自由度向量ab（前8节点）与内部自由度向量ai（中心节点），分块单元方程：分块矩阵[Kbb Kbi; Kib Kii] 乘以 [ab; ai] = [Rb; Ri]。</w:t>
      </w:r>
    </w:p>
    <w:p w14:paraId="6016EC57" w14:textId="77777777" w:rsidR="00132697" w:rsidRDefault="00000000">
      <w:pPr>
        <w:rPr>
          <w:lang w:eastAsia="zh-CN"/>
        </w:rPr>
      </w:pPr>
      <w:r>
        <w:rPr>
          <w:rFonts w:ascii="宋体" w:eastAsia="宋体" w:hAnsi="宋体"/>
          <w:sz w:val="24"/>
          <w:lang w:eastAsia="zh-CN"/>
        </w:rPr>
        <w:t>消去内部自由度得到凝聚后边界单元矩阵与载荷：Kcond = Kbb - Kbi·Kii逆·Kib，Rcond = Rb - Kbi·Kii逆·Ri。凝聚后单元自由度由9降为8，边界节点求解结果与完整单元求解完全一致，可大幅降低整体方程组规模。</w:t>
      </w:r>
    </w:p>
    <w:p w14:paraId="6A75ADC1" w14:textId="77777777" w:rsidR="00132697" w:rsidRDefault="00132697">
      <w:pPr>
        <w:rPr>
          <w:lang w:eastAsia="zh-CN"/>
        </w:rPr>
      </w:pPr>
    </w:p>
    <w:p w14:paraId="3F97B163" w14:textId="77777777" w:rsidR="00132697" w:rsidRDefault="00000000">
      <w:pPr>
        <w:rPr>
          <w:lang w:eastAsia="zh-CN"/>
        </w:rPr>
      </w:pPr>
      <w:r>
        <w:rPr>
          <w:rFonts w:ascii="黑体" w:eastAsia="黑体" w:hAnsi="黑体"/>
          <w:b/>
          <w:sz w:val="28"/>
          <w:lang w:eastAsia="zh-CN"/>
        </w:rPr>
        <w:t>4 完整数值程序实现与验证算例设计</w:t>
      </w:r>
    </w:p>
    <w:p w14:paraId="397CE880" w14:textId="77777777" w:rsidR="00132697" w:rsidRDefault="00000000">
      <w:pPr>
        <w:rPr>
          <w:lang w:eastAsia="zh-CN"/>
        </w:rPr>
      </w:pPr>
      <w:r>
        <w:rPr>
          <w:rFonts w:ascii="黑体" w:eastAsia="黑体" w:hAnsi="黑体"/>
          <w:b/>
          <w:sz w:val="26"/>
          <w:lang w:eastAsia="zh-CN"/>
        </w:rPr>
        <w:t>4.1 程序模块划分</w:t>
      </w:r>
    </w:p>
    <w:p w14:paraId="07F03F8F" w14:textId="77777777" w:rsidR="00132697" w:rsidRDefault="00000000">
      <w:pPr>
        <w:rPr>
          <w:lang w:eastAsia="zh-CN"/>
        </w:rPr>
      </w:pPr>
      <w:r>
        <w:rPr>
          <w:rFonts w:ascii="宋体" w:eastAsia="宋体" w:hAnsi="宋体"/>
          <w:sz w:val="24"/>
          <w:lang w:eastAsia="zh-CN"/>
        </w:rPr>
        <w:t>代码基于Python+NumPy实现，不调用成熟有限元库，核心分为七大独立模块：1）形函数与导数模块；2）Jacobian映射计算模块；3）多阶Gauss积分模块；4）单元刚度/载荷组装模块；5）Patch Test完备性检验模块；6）结构化网格生成、全局组装与Poisson求解模块；7）Q9静力凝聚与可视化绘图模块。所有模块独立可复用，便于单元拓展与算例修改。</w:t>
      </w:r>
    </w:p>
    <w:p w14:paraId="26C30840" w14:textId="77777777" w:rsidR="00132697" w:rsidRDefault="00000000">
      <w:pPr>
        <w:rPr>
          <w:lang w:eastAsia="zh-CN"/>
        </w:rPr>
      </w:pPr>
      <w:r>
        <w:rPr>
          <w:rFonts w:ascii="黑体" w:eastAsia="黑体" w:hAnsi="黑体"/>
          <w:b/>
          <w:sz w:val="26"/>
          <w:lang w:eastAsia="zh-CN"/>
        </w:rPr>
        <w:t>4.2 五大标准化验证算例</w:t>
      </w:r>
    </w:p>
    <w:p w14:paraId="232034AD" w14:textId="77777777" w:rsidR="00132697" w:rsidRDefault="00000000">
      <w:pPr>
        <w:rPr>
          <w:lang w:eastAsia="zh-CN"/>
        </w:rPr>
      </w:pPr>
      <w:r>
        <w:rPr>
          <w:rFonts w:ascii="宋体" w:eastAsia="宋体" w:hAnsi="宋体"/>
          <w:sz w:val="24"/>
          <w:lang w:eastAsia="zh-CN"/>
        </w:rPr>
        <w:t>算例1：形函数基础校验。遍历单元全部节点验证Kronecker Delta；随机10组自然坐标校验单位分解与形函数导数和约束，确保形函数构造无错误。</w:t>
      </w:r>
    </w:p>
    <w:p w14:paraId="259197E2" w14:textId="77777777" w:rsidR="00132697" w:rsidRDefault="00000000">
      <w:pPr>
        <w:rPr>
          <w:lang w:eastAsia="zh-CN"/>
        </w:rPr>
      </w:pPr>
      <w:r>
        <w:rPr>
          <w:rFonts w:ascii="宋体" w:eastAsia="宋体" w:hAnsi="宋体"/>
          <w:sz w:val="24"/>
          <w:lang w:eastAsia="zh-CN"/>
        </w:rPr>
        <w:lastRenderedPageBreak/>
        <w:t>算例2：Jacobian行列式校验。分别采用规则矩形、轻微畸变四边形测试全部高斯点det(J)，保证所有积分点行列式恒大于0，排除单元退化与映射翻转问题。</w:t>
      </w:r>
    </w:p>
    <w:p w14:paraId="5D7C7412" w14:textId="77777777" w:rsidR="00132697" w:rsidRDefault="00000000">
      <w:pPr>
        <w:rPr>
          <w:lang w:eastAsia="zh-CN"/>
        </w:rPr>
      </w:pPr>
      <w:r>
        <w:rPr>
          <w:rFonts w:ascii="宋体" w:eastAsia="宋体" w:hAnsi="宋体"/>
          <w:sz w:val="24"/>
          <w:lang w:eastAsia="zh-CN"/>
        </w:rPr>
        <w:t>算例3：Patch Test完备性测试。测试线性场u=1+2x-3y与二次场u=x²+xy+y²插值重构误差，对比Q4/Q8/Q9插值能力差异。</w:t>
      </w:r>
    </w:p>
    <w:p w14:paraId="0A7DAE82" w14:textId="77777777" w:rsidR="00132697" w:rsidRDefault="00000000">
      <w:pPr>
        <w:rPr>
          <w:lang w:eastAsia="zh-CN"/>
        </w:rPr>
      </w:pPr>
      <w:r>
        <w:rPr>
          <w:rFonts w:ascii="宋体" w:eastAsia="宋体" w:hAnsi="宋体"/>
          <w:sz w:val="24"/>
          <w:lang w:eastAsia="zh-CN"/>
        </w:rPr>
        <w:t>算例4：Q9静力凝聚验证。单单元对比凝聚前后边界节点解，验证凝聚算法无精度损失，对比单元矩阵尺寸压缩效果。</w:t>
      </w:r>
    </w:p>
    <w:p w14:paraId="129C6E25" w14:textId="77777777" w:rsidR="00132697" w:rsidRDefault="00000000">
      <w:pPr>
        <w:rPr>
          <w:lang w:eastAsia="zh-CN"/>
        </w:rPr>
      </w:pPr>
      <w:r>
        <w:rPr>
          <w:rFonts w:ascii="宋体" w:eastAsia="宋体" w:hAnsi="宋体"/>
          <w:sz w:val="24"/>
          <w:lang w:eastAsia="zh-CN"/>
        </w:rPr>
        <w:t>算例5：Poisson方程收敛测试。单位正方形区域，理论解析解u_exact=sin(</w:t>
      </w:r>
      <w:r>
        <w:rPr>
          <w:rFonts w:ascii="宋体" w:eastAsia="宋体" w:hAnsi="宋体"/>
          <w:sz w:val="24"/>
        </w:rPr>
        <w:t>π</w:t>
      </w:r>
      <w:r>
        <w:rPr>
          <w:rFonts w:ascii="宋体" w:eastAsia="宋体" w:hAnsi="宋体"/>
          <w:sz w:val="24"/>
          <w:lang w:eastAsia="zh-CN"/>
        </w:rPr>
        <w:t>x)sin(</w:t>
      </w:r>
      <w:r>
        <w:rPr>
          <w:rFonts w:ascii="宋体" w:eastAsia="宋体" w:hAnsi="宋体"/>
          <w:sz w:val="24"/>
        </w:rPr>
        <w:t>π</w:t>
      </w:r>
      <w:r>
        <w:rPr>
          <w:rFonts w:ascii="宋体" w:eastAsia="宋体" w:hAnsi="宋体"/>
          <w:sz w:val="24"/>
          <w:lang w:eastAsia="zh-CN"/>
        </w:rPr>
        <w:t>y)，分别采用4×4、8×8、16×16网格，输出节点数量、单元数量、刚度矩阵条件数、最大节点误差、离散L2相对误差，并绘制数值解云图与误差分布云图。</w:t>
      </w:r>
    </w:p>
    <w:p w14:paraId="163A4EC5" w14:textId="77777777" w:rsidR="00132697" w:rsidRDefault="00132697">
      <w:pPr>
        <w:rPr>
          <w:lang w:eastAsia="zh-CN"/>
        </w:rPr>
      </w:pPr>
    </w:p>
    <w:p w14:paraId="55ECA06D" w14:textId="77777777" w:rsidR="00132697" w:rsidRDefault="00000000">
      <w:pPr>
        <w:rPr>
          <w:lang w:eastAsia="zh-CN"/>
        </w:rPr>
      </w:pPr>
      <w:r>
        <w:rPr>
          <w:rFonts w:ascii="黑体" w:eastAsia="黑体" w:hAnsi="黑体"/>
          <w:b/>
          <w:sz w:val="28"/>
          <w:lang w:eastAsia="zh-CN"/>
        </w:rPr>
        <w:t>5 数值结果与机理分析</w:t>
      </w:r>
    </w:p>
    <w:p w14:paraId="71D34CA9" w14:textId="77777777" w:rsidR="00132697" w:rsidRDefault="00000000">
      <w:pPr>
        <w:rPr>
          <w:lang w:eastAsia="zh-CN"/>
        </w:rPr>
      </w:pPr>
      <w:r>
        <w:rPr>
          <w:rFonts w:ascii="黑体" w:eastAsia="黑体" w:hAnsi="黑体"/>
          <w:b/>
          <w:sz w:val="26"/>
          <w:lang w:eastAsia="zh-CN"/>
        </w:rPr>
        <w:t>5.1 Patch Test完备性结果分析</w:t>
      </w:r>
    </w:p>
    <w:p w14:paraId="5230F225" w14:textId="77777777" w:rsidR="00132697" w:rsidRDefault="00000000">
      <w:pPr>
        <w:rPr>
          <w:lang w:eastAsia="zh-CN"/>
        </w:rPr>
      </w:pPr>
      <w:r>
        <w:rPr>
          <w:rFonts w:ascii="宋体" w:eastAsia="宋体" w:hAnsi="宋体"/>
          <w:sz w:val="24"/>
          <w:lang w:eastAsia="zh-CN"/>
        </w:rPr>
        <w:t>线性场插值结果：Q4、Q8、Q9三类单元线性重构误差均趋近于机器零，证明所有四边形等参单元天然具备线性完备性，可精确表示任意线性标量场。二次场插值结果存在显著差异：Q4单元无二次插值能力，重构误差量级10^-1；Q8 Serendipity单元缺失交叉二次项，误差量级10^-3；Q9 Lagrange单元完整双二次基底，二次场误差趋近机器零。机理为Serendipity单元舍弃内部节点后多项式空间维度不足，无法张成完整二次多项式空间，Lagrange张量积节点补齐全部高次项，完备性最优。</w:t>
      </w:r>
    </w:p>
    <w:p w14:paraId="3AC64DEF" w14:textId="77777777" w:rsidR="00132697" w:rsidRDefault="00000000">
      <w:pPr>
        <w:rPr>
          <w:lang w:eastAsia="zh-CN"/>
        </w:rPr>
      </w:pPr>
      <w:r>
        <w:rPr>
          <w:rFonts w:ascii="黑体" w:eastAsia="黑体" w:hAnsi="黑体"/>
          <w:b/>
          <w:sz w:val="26"/>
          <w:lang w:eastAsia="zh-CN"/>
        </w:rPr>
        <w:t>5.2 Poisson方程收敛特性对比</w:t>
      </w:r>
    </w:p>
    <w:p w14:paraId="64A89127" w14:textId="77777777" w:rsidR="00132697" w:rsidRDefault="00000000">
      <w:pPr>
        <w:rPr>
          <w:lang w:eastAsia="zh-CN"/>
        </w:rPr>
      </w:pPr>
      <w:r>
        <w:rPr>
          <w:rFonts w:ascii="宋体" w:eastAsia="宋体" w:hAnsi="宋体"/>
          <w:sz w:val="24"/>
          <w:lang w:eastAsia="zh-CN"/>
        </w:rPr>
        <w:t>同一网格密度下精度排序：Q9 &gt; Q8 &gt; Q4。网格加密时三类单元L2相对误差均单调下降，满足有限元收敛定理。高阶单元优势随网格加密逐步体现，但代价为更大的总体自由度数量：同等网格划分下Q9节点数量远高于Q4，刚度矩阵非零元数量显著增加，计算内存开销上升。小规模网格条件数对比显示单元阶次越高，刚度矩阵条件数越大，数值病态程度加剧，数值求解稳定性下降。</w:t>
      </w:r>
    </w:p>
    <w:p w14:paraId="31D58260" w14:textId="77777777" w:rsidR="00132697" w:rsidRDefault="00000000">
      <w:pPr>
        <w:rPr>
          <w:lang w:eastAsia="zh-CN"/>
        </w:rPr>
      </w:pPr>
      <w:r>
        <w:rPr>
          <w:rFonts w:ascii="黑体" w:eastAsia="黑体" w:hAnsi="黑体"/>
          <w:b/>
          <w:sz w:val="26"/>
          <w:lang w:eastAsia="zh-CN"/>
        </w:rPr>
        <w:t>5.3 积分策略与静力凝聚讨论</w:t>
      </w:r>
    </w:p>
    <w:p w14:paraId="66F7645B" w14:textId="77777777" w:rsidR="00132697" w:rsidRDefault="00000000">
      <w:pPr>
        <w:rPr>
          <w:lang w:eastAsia="zh-CN"/>
        </w:rPr>
      </w:pPr>
      <w:r>
        <w:rPr>
          <w:rFonts w:ascii="宋体" w:eastAsia="宋体" w:hAnsi="宋体"/>
          <w:sz w:val="24"/>
          <w:lang w:eastAsia="zh-CN"/>
        </w:rPr>
        <w:t>完全积分可保证单元刚度矩阵满秩，无沙漏缺陷，但积分点数多、计算耗时更长；减缩积分降低计算量，易出现零能模态、应力震荡，工程仿真中需谨慎使用。静力</w:t>
      </w:r>
      <w:r>
        <w:rPr>
          <w:rFonts w:ascii="宋体" w:eastAsia="宋体" w:hAnsi="宋体"/>
          <w:sz w:val="24"/>
          <w:lang w:eastAsia="zh-CN"/>
        </w:rPr>
        <w:lastRenderedPageBreak/>
        <w:t>凝聚仅对单元内部自由度做代数消元，边界节点场变量完全不变，不损失求解精度，将9×9单元矩阵压缩至8×8，大幅减少整体方程组未知量，是兼顾精度与效率的单元层面降阶手段，适用于大规模高阶单元仿真。</w:t>
      </w:r>
    </w:p>
    <w:p w14:paraId="3BD1DBD6" w14:textId="77777777" w:rsidR="00132697" w:rsidRDefault="00000000">
      <w:pPr>
        <w:rPr>
          <w:lang w:eastAsia="zh-CN"/>
        </w:rPr>
      </w:pPr>
      <w:r>
        <w:rPr>
          <w:rFonts w:ascii="黑体" w:eastAsia="黑体" w:hAnsi="黑体"/>
          <w:b/>
          <w:sz w:val="26"/>
          <w:lang w:eastAsia="zh-CN"/>
        </w:rPr>
        <w:t>5.4 等参映射几何特性讨论</w:t>
      </w:r>
    </w:p>
    <w:p w14:paraId="7CEB8657" w14:textId="77777777" w:rsidR="00132697" w:rsidRDefault="00000000">
      <w:pPr>
        <w:rPr>
          <w:lang w:eastAsia="zh-CN"/>
        </w:rPr>
      </w:pPr>
      <w:r>
        <w:rPr>
          <w:rFonts w:ascii="宋体" w:eastAsia="宋体" w:hAnsi="宋体"/>
          <w:sz w:val="24"/>
          <w:lang w:eastAsia="zh-CN"/>
        </w:rPr>
        <w:t>所有等参单元几何插值阶次与场插值阶次相等，Q8、Q9可精确拟合曲线边界；亚参单元几何插值阶次低于场插值阶次，仅能表示直线边界。尽管单元插值多项式为二次，但曲边单元Jacobian矩阵为坐标非线性函数，物理空间插值不再是纯二次多项式，因此曲边高阶单元无法全局精确重构二次场，仅直边规则网格下Q9可实现二次场精确插值。det(J)&gt;0是单元映射可逆的充要条件，行列式非正代表单元几何失效，积分无物理意义。</w:t>
      </w:r>
    </w:p>
    <w:p w14:paraId="728DC37E" w14:textId="77777777" w:rsidR="00132697" w:rsidRDefault="00132697">
      <w:pPr>
        <w:rPr>
          <w:lang w:eastAsia="zh-CN"/>
        </w:rPr>
      </w:pPr>
    </w:p>
    <w:p w14:paraId="4391BDC5" w14:textId="77777777" w:rsidR="00132697" w:rsidRDefault="00000000">
      <w:pPr>
        <w:rPr>
          <w:lang w:eastAsia="zh-CN"/>
        </w:rPr>
      </w:pPr>
      <w:r>
        <w:rPr>
          <w:rFonts w:ascii="黑体" w:eastAsia="黑体" w:hAnsi="黑体"/>
          <w:b/>
          <w:sz w:val="28"/>
          <w:lang w:eastAsia="zh-CN"/>
        </w:rPr>
        <w:t>6 结论</w:t>
      </w:r>
    </w:p>
    <w:p w14:paraId="492A184A" w14:textId="77777777" w:rsidR="00132697" w:rsidRDefault="00000000">
      <w:pPr>
        <w:rPr>
          <w:lang w:eastAsia="zh-CN"/>
        </w:rPr>
      </w:pPr>
      <w:r>
        <w:rPr>
          <w:rFonts w:ascii="宋体" w:eastAsia="宋体" w:hAnsi="宋体"/>
          <w:sz w:val="24"/>
          <w:lang w:eastAsia="zh-CN"/>
        </w:rPr>
        <w:t>本文完整构建Q4、Q8、Q9高阶四边形等参单元有限元数值框架，完成形函数推导、等参映射、多阶Gauss积分、Patch Test完备性检验、Poisson方程高精度求解与Q9单元静力凝聚全套算法实现，通过标准化算例得到如下核心结论：</w:t>
      </w:r>
    </w:p>
    <w:p w14:paraId="6EF2B409" w14:textId="77777777" w:rsidR="00132697" w:rsidRDefault="00000000">
      <w:pPr>
        <w:rPr>
          <w:lang w:eastAsia="zh-CN"/>
        </w:rPr>
      </w:pPr>
      <w:r>
        <w:rPr>
          <w:rFonts w:ascii="宋体" w:eastAsia="宋体" w:hAnsi="宋体"/>
          <w:sz w:val="24"/>
          <w:lang w:eastAsia="zh-CN"/>
        </w:rPr>
        <w:t>（1）线性完备性为所有四边形单元固有属性，Q4仅能精确重构线性场；Q8 Serendipity单元因缺少内部节点，二次插值存在固有误差；Q9 Lagrange九节点单元具备完整双二次插值基底，直边网格下可精确拟合二次标量场，插值完备性最优。</w:t>
      </w:r>
    </w:p>
    <w:p w14:paraId="6FF19F59" w14:textId="77777777" w:rsidR="00132697" w:rsidRDefault="00000000">
      <w:pPr>
        <w:rPr>
          <w:lang w:eastAsia="zh-CN"/>
        </w:rPr>
      </w:pPr>
      <w:r>
        <w:rPr>
          <w:rFonts w:ascii="宋体" w:eastAsia="宋体" w:hAnsi="宋体"/>
          <w:sz w:val="24"/>
          <w:lang w:eastAsia="zh-CN"/>
        </w:rPr>
        <w:t>（2）同网格尺度下求解精度Q9优于Q8、Q4，但高阶单元自由度更多、刚度矩阵条件数更大，数值病态风险提升；网格均匀加密时三类单元误差均呈收敛趋势，高阶单元收敛阶更高。</w:t>
      </w:r>
    </w:p>
    <w:p w14:paraId="237B10B2" w14:textId="77777777" w:rsidR="00132697" w:rsidRDefault="00000000">
      <w:pPr>
        <w:rPr>
          <w:lang w:eastAsia="zh-CN"/>
        </w:rPr>
      </w:pPr>
      <w:r>
        <w:rPr>
          <w:rFonts w:ascii="宋体" w:eastAsia="宋体" w:hAnsi="宋体"/>
          <w:sz w:val="24"/>
          <w:lang w:eastAsia="zh-CN"/>
        </w:rPr>
        <w:t>（3）Gauss积分阶数需匹配单元插值阶次，完全积分保证单元满秩稳定，减缩积分提升计算速度但存在沙漏模态、秩亏等数值缺陷；Q4标准完全积分2×2、减缩1×1，Q8/Q9完全积分3×3、减缩2×2。</w:t>
      </w:r>
    </w:p>
    <w:p w14:paraId="433C3DC7" w14:textId="77777777" w:rsidR="00132697" w:rsidRDefault="00000000">
      <w:pPr>
        <w:rPr>
          <w:lang w:eastAsia="zh-CN"/>
        </w:rPr>
      </w:pPr>
      <w:r>
        <w:rPr>
          <w:rFonts w:ascii="宋体" w:eastAsia="宋体" w:hAnsi="宋体"/>
          <w:sz w:val="24"/>
          <w:lang w:eastAsia="zh-CN"/>
        </w:rPr>
        <w:t>（4）静力凝聚可在不改变边界节点求解结果的前提下消去Q9内部自由度，单元矩阵规模由9阶降至8阶，有效压缩整体线性方程组规模，是高阶Lagrange单元高效求解的关键降阶技术。</w:t>
      </w:r>
    </w:p>
    <w:p w14:paraId="791ACF36" w14:textId="77777777" w:rsidR="00132697" w:rsidRDefault="00000000">
      <w:pPr>
        <w:rPr>
          <w:lang w:eastAsia="zh-CN"/>
        </w:rPr>
      </w:pPr>
      <w:r>
        <w:rPr>
          <w:rFonts w:ascii="宋体" w:eastAsia="宋体" w:hAnsi="宋体"/>
          <w:sz w:val="24"/>
          <w:lang w:eastAsia="zh-CN"/>
        </w:rPr>
        <w:lastRenderedPageBreak/>
        <w:t>（5）Jacobian行列式大于0是等参单元几何映射合法的必要条件；等参单元可拟合曲线边界，亚参单元仅能表示直线边界；曲边单元坐标映射引入非线性变换，无法全局精确重构二次多项式场。</w:t>
      </w:r>
    </w:p>
    <w:p w14:paraId="148C353E" w14:textId="11AB0740" w:rsidR="00BC62F0" w:rsidRDefault="00BC62F0">
      <w:pPr>
        <w:rPr>
          <w:rFonts w:ascii="宋体" w:eastAsia="宋体" w:hAnsi="宋体" w:hint="eastAsia"/>
          <w:sz w:val="24"/>
          <w:lang w:eastAsia="zh-CN"/>
        </w:rPr>
      </w:pPr>
      <w:r w:rsidRPr="004C41C0">
        <w:rPr>
          <w:noProof/>
        </w:rPr>
        <w:drawing>
          <wp:anchor distT="0" distB="0" distL="114300" distR="114300" simplePos="0" relativeHeight="251663360" behindDoc="0" locked="0" layoutInCell="1" allowOverlap="1" wp14:anchorId="1BB2EAC3" wp14:editId="798EC3DD">
            <wp:simplePos x="0" y="0"/>
            <wp:positionH relativeFrom="column">
              <wp:posOffset>106045</wp:posOffset>
            </wp:positionH>
            <wp:positionV relativeFrom="paragraph">
              <wp:posOffset>6134735</wp:posOffset>
            </wp:positionV>
            <wp:extent cx="5274310" cy="2186940"/>
            <wp:effectExtent l="0" t="0" r="2540" b="3810"/>
            <wp:wrapTopAndBottom/>
            <wp:docPr id="204938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8474" name=""/>
                    <pic:cNvPicPr/>
                  </pic:nvPicPr>
                  <pic:blipFill>
                    <a:blip r:embed="rId6">
                      <a:extLst>
                        <a:ext uri="{28A0092B-C50C-407E-A947-70E740481C1C}">
                          <a14:useLocalDpi xmlns:a14="http://schemas.microsoft.com/office/drawing/2010/main" val="0"/>
                        </a:ext>
                      </a:extLst>
                    </a:blip>
                    <a:stretch>
                      <a:fillRect/>
                    </a:stretch>
                  </pic:blipFill>
                  <pic:spPr>
                    <a:xfrm>
                      <a:off x="0" y="0"/>
                      <a:ext cx="5274310" cy="2186940"/>
                    </a:xfrm>
                    <a:prstGeom prst="rect">
                      <a:avLst/>
                    </a:prstGeom>
                  </pic:spPr>
                </pic:pic>
              </a:graphicData>
            </a:graphic>
          </wp:anchor>
        </w:drawing>
      </w:r>
      <w:r w:rsidRPr="004C41C0">
        <w:rPr>
          <w:noProof/>
        </w:rPr>
        <w:drawing>
          <wp:anchor distT="0" distB="0" distL="114300" distR="114300" simplePos="0" relativeHeight="251661312" behindDoc="0" locked="0" layoutInCell="1" allowOverlap="1" wp14:anchorId="0A1F957F" wp14:editId="613DFD6C">
            <wp:simplePos x="0" y="0"/>
            <wp:positionH relativeFrom="column">
              <wp:posOffset>123825</wp:posOffset>
            </wp:positionH>
            <wp:positionV relativeFrom="paragraph">
              <wp:posOffset>3878580</wp:posOffset>
            </wp:positionV>
            <wp:extent cx="5274310" cy="2198370"/>
            <wp:effectExtent l="0" t="0" r="2540" b="0"/>
            <wp:wrapTopAndBottom/>
            <wp:docPr id="219163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63835" name=""/>
                    <pic:cNvPicPr/>
                  </pic:nvPicPr>
                  <pic:blipFill>
                    <a:blip r:embed="rId7">
                      <a:extLst>
                        <a:ext uri="{28A0092B-C50C-407E-A947-70E740481C1C}">
                          <a14:useLocalDpi xmlns:a14="http://schemas.microsoft.com/office/drawing/2010/main" val="0"/>
                        </a:ext>
                      </a:extLst>
                    </a:blip>
                    <a:stretch>
                      <a:fillRect/>
                    </a:stretch>
                  </pic:blipFill>
                  <pic:spPr>
                    <a:xfrm>
                      <a:off x="0" y="0"/>
                      <a:ext cx="5274310" cy="2198370"/>
                    </a:xfrm>
                    <a:prstGeom prst="rect">
                      <a:avLst/>
                    </a:prstGeom>
                  </pic:spPr>
                </pic:pic>
              </a:graphicData>
            </a:graphic>
          </wp:anchor>
        </w:drawing>
      </w:r>
      <w:r w:rsidRPr="004C41C0">
        <w:rPr>
          <w:noProof/>
        </w:rPr>
        <w:drawing>
          <wp:anchor distT="0" distB="0" distL="114300" distR="114300" simplePos="0" relativeHeight="251657216" behindDoc="0" locked="0" layoutInCell="1" allowOverlap="1" wp14:anchorId="54ACC4C5" wp14:editId="4628FF53">
            <wp:simplePos x="0" y="0"/>
            <wp:positionH relativeFrom="column">
              <wp:posOffset>28575</wp:posOffset>
            </wp:positionH>
            <wp:positionV relativeFrom="paragraph">
              <wp:posOffset>1557655</wp:posOffset>
            </wp:positionV>
            <wp:extent cx="5274310" cy="2219960"/>
            <wp:effectExtent l="0" t="0" r="2540" b="8890"/>
            <wp:wrapTopAndBottom/>
            <wp:docPr id="3181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690" name=""/>
                    <pic:cNvPicPr/>
                  </pic:nvPicPr>
                  <pic:blipFill>
                    <a:blip r:embed="rId8">
                      <a:extLst>
                        <a:ext uri="{28A0092B-C50C-407E-A947-70E740481C1C}">
                          <a14:useLocalDpi xmlns:a14="http://schemas.microsoft.com/office/drawing/2010/main" val="0"/>
                        </a:ext>
                      </a:extLst>
                    </a:blip>
                    <a:stretch>
                      <a:fillRect/>
                    </a:stretch>
                  </pic:blipFill>
                  <pic:spPr>
                    <a:xfrm>
                      <a:off x="0" y="0"/>
                      <a:ext cx="5274310" cy="2219960"/>
                    </a:xfrm>
                    <a:prstGeom prst="rect">
                      <a:avLst/>
                    </a:prstGeom>
                  </pic:spPr>
                </pic:pic>
              </a:graphicData>
            </a:graphic>
          </wp:anchor>
        </w:drawing>
      </w:r>
      <w:r w:rsidR="00000000">
        <w:rPr>
          <w:rFonts w:ascii="宋体" w:eastAsia="宋体" w:hAnsi="宋体"/>
          <w:sz w:val="24"/>
          <w:lang w:eastAsia="zh-CN"/>
        </w:rPr>
        <w:t>本文开发的一体化高阶单元有限元程序可作为教学基准程序，清晰区分Serendipity单元与Lagrange单元插值特性差异，为曲线域、高梯度场高精度有限元仿真提供完整理论与数值实现框架。后续可拓展六面体高阶单元、三角形高阶单元、平面弹性控制方程与自适应网格加密算法。</w:t>
      </w:r>
    </w:p>
    <w:p w14:paraId="6941CB15" w14:textId="77777777" w:rsidR="00BC62F0" w:rsidRDefault="00BC62F0">
      <w:pPr>
        <w:rPr>
          <w:rFonts w:ascii="宋体" w:eastAsia="宋体" w:hAnsi="宋体" w:hint="eastAsia"/>
          <w:sz w:val="24"/>
          <w:lang w:eastAsia="zh-CN"/>
        </w:rPr>
      </w:pPr>
      <w:r>
        <w:rPr>
          <w:rFonts w:ascii="宋体" w:eastAsia="宋体" w:hAnsi="宋体" w:hint="eastAsia"/>
          <w:sz w:val="24"/>
          <w:lang w:eastAsia="zh-CN"/>
        </w:rPr>
        <w:br w:type="page"/>
      </w:r>
    </w:p>
    <w:p w14:paraId="2A942DBA" w14:textId="19574118" w:rsidR="00132697" w:rsidRDefault="00BC62F0">
      <w:pPr>
        <w:rPr>
          <w:lang w:eastAsia="zh-CN"/>
        </w:rPr>
      </w:pPr>
      <w:r w:rsidRPr="00C4383E">
        <w:rPr>
          <w:noProof/>
        </w:rPr>
        <w:lastRenderedPageBreak/>
        <w:drawing>
          <wp:anchor distT="0" distB="0" distL="114300" distR="114300" simplePos="0" relativeHeight="251663360" behindDoc="0" locked="0" layoutInCell="1" allowOverlap="1" wp14:anchorId="4368F628" wp14:editId="01AFFC33">
            <wp:simplePos x="0" y="0"/>
            <wp:positionH relativeFrom="column">
              <wp:posOffset>104775</wp:posOffset>
            </wp:positionH>
            <wp:positionV relativeFrom="paragraph">
              <wp:posOffset>143510</wp:posOffset>
            </wp:positionV>
            <wp:extent cx="5274310" cy="6409690"/>
            <wp:effectExtent l="0" t="0" r="2540" b="0"/>
            <wp:wrapTopAndBottom/>
            <wp:docPr id="1261242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42736" name=""/>
                    <pic:cNvPicPr/>
                  </pic:nvPicPr>
                  <pic:blipFill>
                    <a:blip r:embed="rId9">
                      <a:extLst>
                        <a:ext uri="{28A0092B-C50C-407E-A947-70E740481C1C}">
                          <a14:useLocalDpi xmlns:a14="http://schemas.microsoft.com/office/drawing/2010/main" val="0"/>
                        </a:ext>
                      </a:extLst>
                    </a:blip>
                    <a:stretch>
                      <a:fillRect/>
                    </a:stretch>
                  </pic:blipFill>
                  <pic:spPr>
                    <a:xfrm>
                      <a:off x="0" y="0"/>
                      <a:ext cx="5274310" cy="6409690"/>
                    </a:xfrm>
                    <a:prstGeom prst="rect">
                      <a:avLst/>
                    </a:prstGeom>
                  </pic:spPr>
                </pic:pic>
              </a:graphicData>
            </a:graphic>
          </wp:anchor>
        </w:drawing>
      </w:r>
    </w:p>
    <w:sectPr w:rsidR="001326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95605669">
    <w:abstractNumId w:val="8"/>
  </w:num>
  <w:num w:numId="2" w16cid:durableId="2069836072">
    <w:abstractNumId w:val="6"/>
  </w:num>
  <w:num w:numId="3" w16cid:durableId="2126532011">
    <w:abstractNumId w:val="5"/>
  </w:num>
  <w:num w:numId="4" w16cid:durableId="112871102">
    <w:abstractNumId w:val="4"/>
  </w:num>
  <w:num w:numId="5" w16cid:durableId="175653820">
    <w:abstractNumId w:val="7"/>
  </w:num>
  <w:num w:numId="6" w16cid:durableId="939684486">
    <w:abstractNumId w:val="3"/>
  </w:num>
  <w:num w:numId="7" w16cid:durableId="1919288276">
    <w:abstractNumId w:val="2"/>
  </w:num>
  <w:num w:numId="8" w16cid:durableId="979925150">
    <w:abstractNumId w:val="1"/>
  </w:num>
  <w:num w:numId="9" w16cid:durableId="484588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697"/>
    <w:rsid w:val="0015074B"/>
    <w:rsid w:val="0029639D"/>
    <w:rsid w:val="00326F90"/>
    <w:rsid w:val="00427C65"/>
    <w:rsid w:val="00AA1D8D"/>
    <w:rsid w:val="00B47730"/>
    <w:rsid w:val="00BC62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FB54EE"/>
  <w14:defaultImageDpi w14:val="300"/>
  <w15:docId w15:val="{7C7CC43A-DCB3-42FE-AA2B-94DC5F44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2500</Words>
  <Characters>3026</Characters>
  <Application>Microsoft Office Word</Application>
  <DocSecurity>0</DocSecurity>
  <Lines>100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2026-06-29T12:18:00Z</dcterms:modified>
  <cp:category/>
</cp:coreProperties>
</file>