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DE" w:rsidRPr="00865FFE" w:rsidRDefault="00F27509" w:rsidP="00CB773D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color w:val="000000"/>
          <w:kern w:val="0"/>
          <w:szCs w:val="24"/>
        </w:rPr>
      </w:pPr>
      <w:bookmarkStart w:id="0" w:name="_Hlk510018884"/>
      <w:r>
        <w:rPr>
          <w:rFonts w:ascii="標楷體" w:eastAsia="標楷體" w:hAnsi="標楷體" w:hint="eastAsia"/>
          <w:b/>
          <w:bCs/>
          <w:color w:val="0000FF"/>
          <w:sz w:val="48"/>
          <w:szCs w:val="48"/>
        </w:rPr>
        <w:t>單位資料檔</w:t>
      </w:r>
      <w:r w:rsidR="00925ADE" w:rsidRPr="00865FFE">
        <w:rPr>
          <w:rFonts w:ascii="標楷體" w:eastAsia="標楷體" w:hAnsi="標楷體" w:cs="新細明體"/>
          <w:b/>
          <w:bCs/>
          <w:color w:val="0000FF"/>
          <w:kern w:val="0"/>
          <w:sz w:val="48"/>
          <w:szCs w:val="48"/>
        </w:rPr>
        <w:t>載入作業說明</w:t>
      </w:r>
      <w:bookmarkEnd w:id="0"/>
    </w:p>
    <w:p w:rsidR="00925ADE" w:rsidRDefault="00925ADE" w:rsidP="00925AD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注意：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  <w:t>1.Excel檔中，第一列(row</w:t>
      </w:r>
      <w:r w:rsidR="006A63D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 xml:space="preserve"> 碼)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為欄位名稱，其資料依序必須為</w:t>
      </w: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br/>
      </w: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3266"/>
        <w:gridCol w:w="4100"/>
      </w:tblGrid>
      <w:tr w:rsidR="00CF31F7" w:rsidRPr="005D7449" w:rsidTr="00496ACA">
        <w:trPr>
          <w:trHeight w:val="390"/>
        </w:trPr>
        <w:tc>
          <w:tcPr>
            <w:tcW w:w="3266" w:type="dxa"/>
            <w:shd w:val="clear" w:color="000000" w:fill="FFE599"/>
            <w:vAlign w:val="center"/>
            <w:hideMark/>
          </w:tcPr>
          <w:p w:rsidR="00CF31F7" w:rsidRPr="005D7449" w:rsidRDefault="00CF31F7" w:rsidP="004547B2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5D744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中文名稱</w:t>
            </w:r>
          </w:p>
        </w:tc>
        <w:tc>
          <w:tcPr>
            <w:tcW w:w="4100" w:type="dxa"/>
            <w:shd w:val="clear" w:color="000000" w:fill="FFE599"/>
            <w:vAlign w:val="center"/>
            <w:hideMark/>
          </w:tcPr>
          <w:p w:rsidR="00CF31F7" w:rsidRPr="005D7449" w:rsidRDefault="00CF31F7" w:rsidP="004547B2">
            <w:pPr>
              <w:widowControl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r w:rsidRPr="005D7449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資料型態</w:t>
            </w:r>
          </w:p>
        </w:tc>
      </w:tr>
      <w:tr w:rsidR="00CF31F7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CF31F7" w:rsidRPr="000653B7" w:rsidRDefault="00CF31F7" w:rsidP="004547B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單位代碼</w:t>
            </w:r>
          </w:p>
        </w:tc>
        <w:tc>
          <w:tcPr>
            <w:tcW w:w="4100" w:type="dxa"/>
            <w:noWrap/>
            <w:vAlign w:val="center"/>
            <w:hideMark/>
          </w:tcPr>
          <w:p w:rsidR="00CF31F7" w:rsidRPr="000653B7" w:rsidRDefault="00CF31F7" w:rsidP="004547B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(6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  <w:r w:rsidR="008A2FA9">
              <w:rPr>
                <w:rFonts w:ascii="標楷體" w:hAnsi="標楷體" w:cs="Tahoma" w:hint="eastAsia"/>
                <w:sz w:val="22"/>
              </w:rPr>
              <w:t xml:space="preserve"> </w:t>
            </w:r>
            <w:r w:rsidR="008A2FA9">
              <w:rPr>
                <w:rFonts w:ascii="標楷體" w:hAnsi="標楷體" w:cs="Tahoma" w:hint="eastAsia"/>
                <w:sz w:val="22"/>
              </w:rPr>
              <w:t>，不可空白</w:t>
            </w:r>
          </w:p>
        </w:tc>
      </w:tr>
      <w:tr w:rsidR="00CF31F7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單位名稱</w:t>
            </w:r>
          </w:p>
        </w:tc>
        <w:tc>
          <w:tcPr>
            <w:tcW w:w="4100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(200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  <w:r w:rsidR="008A2FA9">
              <w:rPr>
                <w:rFonts w:ascii="標楷體" w:hAnsi="標楷體" w:cs="Tahoma" w:hint="eastAsia"/>
                <w:sz w:val="22"/>
              </w:rPr>
              <w:t xml:space="preserve"> </w:t>
            </w:r>
            <w:r w:rsidR="008A2FA9">
              <w:rPr>
                <w:rFonts w:ascii="標楷體" w:hAnsi="標楷體" w:cs="Tahoma" w:hint="eastAsia"/>
                <w:sz w:val="22"/>
              </w:rPr>
              <w:t>，不可空白</w:t>
            </w:r>
            <w:bookmarkStart w:id="1" w:name="_GoBack"/>
            <w:bookmarkEnd w:id="1"/>
          </w:p>
        </w:tc>
      </w:tr>
      <w:tr w:rsidR="00CF31F7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傳真號碼</w:t>
            </w:r>
          </w:p>
        </w:tc>
        <w:tc>
          <w:tcPr>
            <w:tcW w:w="4100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(50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CF31F7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部門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地址</w:t>
            </w:r>
          </w:p>
        </w:tc>
        <w:tc>
          <w:tcPr>
            <w:tcW w:w="4100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(1000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CF31F7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主官階級名稱</w:t>
            </w:r>
          </w:p>
        </w:tc>
        <w:tc>
          <w:tcPr>
            <w:tcW w:w="4100" w:type="dxa"/>
            <w:noWrap/>
            <w:vAlign w:val="center"/>
            <w:hideMark/>
          </w:tcPr>
          <w:p w:rsidR="00CF31F7" w:rsidRPr="000653B7" w:rsidRDefault="00CF31F7" w:rsidP="006A63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(30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隸屬之採購單位代碼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AC0DE4" w:rsidRDefault="00EB0F6E" w:rsidP="00EB0F6E">
            <w:pPr>
              <w:rPr>
                <w:rFonts w:ascii="標楷體" w:hAnsi="標楷體" w:cs="Tahoma" w:hint="eastAsia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AC0DE4">
              <w:rPr>
                <w:rFonts w:ascii="標楷體" w:hAnsi="標楷體" w:cs="Tahoma" w:hint="eastAsia"/>
                <w:sz w:val="22"/>
              </w:rPr>
              <w:t>(50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碼</w:t>
            </w:r>
            <w:r w:rsidRPr="00AC0DE4">
              <w:rPr>
                <w:rFonts w:ascii="標楷體" w:hAnsi="標楷體" w:cs="Tahoma" w:hint="eastAsia"/>
                <w:sz w:val="22"/>
              </w:rPr>
              <w:t>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隸屬之採購單位主官職稱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AC0DE4" w:rsidRDefault="00EB0F6E" w:rsidP="00EB0F6E">
            <w:pPr>
              <w:rPr>
                <w:rFonts w:ascii="標楷體" w:hAnsi="標楷體" w:cs="Tahoma" w:hint="eastAsia"/>
                <w:sz w:val="22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AC0DE4">
              <w:rPr>
                <w:rFonts w:ascii="標楷體" w:hAnsi="標楷體" w:cs="Tahoma" w:hint="eastAsia"/>
                <w:sz w:val="22"/>
              </w:rPr>
              <w:t>(20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碼</w:t>
            </w:r>
            <w:r w:rsidRPr="00AC0DE4">
              <w:rPr>
                <w:rFonts w:ascii="標楷體" w:hAnsi="標楷體" w:cs="Tahoma" w:hint="eastAsia"/>
                <w:sz w:val="22"/>
              </w:rPr>
              <w:t>)</w:t>
            </w:r>
            <w:r>
              <w:rPr>
                <w:rFonts w:ascii="標楷體" w:hAnsi="標楷體" w:cs="Tahoma" w:hint="eastAsia"/>
                <w:sz w:val="22"/>
              </w:rPr>
              <w:t xml:space="preserve"> 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單位郵政信箱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(50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單位簡稱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(200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B1C13">
              <w:rPr>
                <w:rFonts w:hint="eastAsia"/>
                <w:color w:val="FF0000"/>
                <w:sz w:val="22"/>
              </w:rPr>
              <w:t>採購</w:t>
            </w:r>
            <w:r w:rsidRPr="001E5439">
              <w:rPr>
                <w:rFonts w:hint="eastAsia"/>
                <w:color w:val="000000"/>
                <w:sz w:val="22"/>
              </w:rPr>
              <w:t>上級單位代碼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AC0DE4">
              <w:rPr>
                <w:rFonts w:ascii="標楷體" w:hAnsi="標楷體" w:cs="Tahoma" w:hint="eastAsia"/>
                <w:sz w:val="22"/>
              </w:rPr>
              <w:t>(6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碼</w:t>
            </w:r>
            <w:r w:rsidRPr="00AC0DE4">
              <w:rPr>
                <w:rFonts w:ascii="標楷體" w:hAnsi="標楷體" w:cs="Tahoma" w:hint="eastAsia"/>
                <w:sz w:val="22"/>
              </w:rPr>
              <w:t>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</w:tcPr>
          <w:p w:rsidR="00EB0F6E" w:rsidRPr="006B1C13" w:rsidRDefault="00EB0F6E" w:rsidP="00EB0F6E">
            <w:pPr>
              <w:widowControl/>
              <w:rPr>
                <w:color w:val="FF0000"/>
                <w:sz w:val="22"/>
              </w:rPr>
            </w:pPr>
            <w:r w:rsidRPr="006B1C13">
              <w:rPr>
                <w:rFonts w:hint="eastAsia"/>
                <w:color w:val="FF0000"/>
                <w:sz w:val="22"/>
              </w:rPr>
              <w:t>接轉</w:t>
            </w:r>
            <w:r w:rsidRPr="001E5439">
              <w:rPr>
                <w:rFonts w:hint="eastAsia"/>
                <w:color w:val="000000"/>
                <w:sz w:val="22"/>
              </w:rPr>
              <w:t>上級單位代碼</w:t>
            </w:r>
          </w:p>
        </w:tc>
        <w:tc>
          <w:tcPr>
            <w:tcW w:w="4100" w:type="dxa"/>
            <w:noWrap/>
            <w:vAlign w:val="center"/>
          </w:tcPr>
          <w:p w:rsidR="00EB0F6E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AC0DE4">
              <w:rPr>
                <w:rFonts w:ascii="標楷體" w:hAnsi="標楷體" w:cs="Tahoma" w:hint="eastAsia"/>
                <w:sz w:val="22"/>
              </w:rPr>
              <w:t>(6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碼</w:t>
            </w:r>
            <w:r w:rsidRPr="00AC0DE4">
              <w:rPr>
                <w:rFonts w:ascii="標楷體" w:hAnsi="標楷體" w:cs="Tahoma" w:hint="eastAsia"/>
                <w:sz w:val="22"/>
              </w:rPr>
              <w:t>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B698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採購單位類別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(2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B698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接轉單位類別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(2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是否為採購單位(Y/N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(2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電話號碼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(50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  <w:tr w:rsidR="00EB0F6E" w:rsidRPr="00AD58A3" w:rsidTr="00496ACA">
        <w:trPr>
          <w:trHeight w:val="330"/>
        </w:trPr>
        <w:tc>
          <w:tcPr>
            <w:tcW w:w="3266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單位狀況</w:t>
            </w:r>
          </w:p>
        </w:tc>
        <w:tc>
          <w:tcPr>
            <w:tcW w:w="4100" w:type="dxa"/>
            <w:noWrap/>
            <w:vAlign w:val="center"/>
            <w:hideMark/>
          </w:tcPr>
          <w:p w:rsidR="00EB0F6E" w:rsidRPr="000653B7" w:rsidRDefault="00EB0F6E" w:rsidP="00EB0F6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文數字</w:t>
            </w:r>
            <w:r w:rsidRPr="000653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(1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碼)</w:t>
            </w:r>
          </w:p>
        </w:tc>
      </w:tr>
    </w:tbl>
    <w:p w:rsidR="006A63DE" w:rsidRDefault="00925ADE" w:rsidP="00925ADE">
      <w:pPr>
        <w:widowControl/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</w:pPr>
      <w:r w:rsidRPr="00865FFE"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  <w:t>2.資料從第二列開始。</w:t>
      </w:r>
    </w:p>
    <w:tbl>
      <w:tblPr>
        <w:tblW w:w="4320" w:type="dxa"/>
        <w:tblCellMar>
          <w:top w:w="15" w:type="dxa"/>
          <w:left w:w="28" w:type="dxa"/>
          <w:bottom w:w="15" w:type="dxa"/>
          <w:right w:w="28" w:type="dxa"/>
        </w:tblCellMar>
        <w:tblLook w:val="04A0" w:firstRow="1" w:lastRow="0" w:firstColumn="1" w:lastColumn="0" w:noHBand="0" w:noVBand="1"/>
      </w:tblPr>
      <w:tblGrid>
        <w:gridCol w:w="4320"/>
      </w:tblGrid>
      <w:tr w:rsidR="007D7DCE" w:rsidRPr="007D7DCE" w:rsidTr="007D7DCE">
        <w:trPr>
          <w:trHeight w:val="37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7DCE" w:rsidRPr="007D7DCE" w:rsidRDefault="00925ADE" w:rsidP="007D7DCE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7"/>
                <w:szCs w:val="27"/>
              </w:rPr>
            </w:pPr>
            <w:r w:rsidRPr="00865FFE"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7"/>
                <w:szCs w:val="27"/>
              </w:rPr>
              <w:t>3.Excel檔中各欄位順序不可更動。</w:t>
            </w:r>
            <w:r w:rsidRPr="00865FFE"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7"/>
                <w:szCs w:val="27"/>
              </w:rPr>
              <w:br/>
            </w:r>
            <w:r w:rsidR="007D7DCE" w:rsidRPr="007D7DC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4.</w:t>
            </w:r>
            <w:r w:rsidR="000B698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「</w:t>
            </w:r>
            <w:r w:rsidR="000B698E">
              <w:rPr>
                <w:rFonts w:hint="eastAsia"/>
              </w:rPr>
              <w:t xml:space="preserve"> </w:t>
            </w:r>
            <w:r w:rsidR="000B698E" w:rsidRPr="000B698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採購單位類別</w:t>
            </w:r>
            <w:r w:rsidR="000B698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」</w:t>
            </w:r>
            <w:r w:rsidR="007D7DCE" w:rsidRPr="007D7DCE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7"/>
                <w:szCs w:val="27"/>
              </w:rPr>
              <w:t>說明:</w:t>
            </w:r>
          </w:p>
        </w:tc>
      </w:tr>
    </w:tbl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A:陸軍單位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C:中央單位(訴願會)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CA:中央單位(軍備局)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CB:中央單位(政戰局)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CC:中央單位(軍醫局)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CD:中央單位(軍情局)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CE:中央單位(電展室)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CF:中央單位(資電部)</w:t>
      </w:r>
    </w:p>
    <w:p w:rsid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CG:中央單位(國防大學)</w:t>
      </w:r>
    </w:p>
    <w:p w:rsid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CH:中央單位(訴願會)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lastRenderedPageBreak/>
        <w:t xml:space="preserve">  CI:中央單位(國防採購室)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F:空軍單位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G:後備單位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J:聯勤單位</w:t>
      </w:r>
    </w:p>
    <w:p w:rsidR="00CB5151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N:海軍單位</w:t>
      </w:r>
    </w:p>
    <w:p w:rsidR="00925ADE" w:rsidRPr="00CB5151" w:rsidRDefault="00CB5151" w:rsidP="00CB5151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P:憲兵單位</w:t>
      </w:r>
    </w:p>
    <w:p w:rsidR="00CC5253" w:rsidRDefault="007E698E">
      <w:pPr>
        <w:rPr>
          <w:rFonts w:ascii="標楷體" w:eastAsia="標楷體" w:hAnsi="標楷體" w:cs="新細明體"/>
          <w:b/>
          <w:bCs/>
          <w:color w:val="FF0000"/>
          <w:kern w:val="0"/>
          <w:sz w:val="27"/>
          <w:szCs w:val="27"/>
        </w:rPr>
      </w:pPr>
      <w:r>
        <w:rPr>
          <w:rFonts w:ascii="標楷體" w:eastAsia="標楷體" w:hAnsi="標楷體" w:cs="新細明體" w:hint="eastAsia"/>
          <w:b/>
          <w:bCs/>
          <w:color w:val="FF0000"/>
          <w:kern w:val="0"/>
          <w:sz w:val="27"/>
          <w:szCs w:val="27"/>
        </w:rPr>
        <w:t>5</w:t>
      </w:r>
      <w:r w:rsidR="000B698E" w:rsidRPr="007D7DCE">
        <w:rPr>
          <w:rFonts w:ascii="標楷體" w:eastAsia="標楷體" w:hAnsi="標楷體" w:cs="新細明體" w:hint="eastAsia"/>
          <w:b/>
          <w:bCs/>
          <w:color w:val="FF0000"/>
          <w:kern w:val="0"/>
          <w:sz w:val="27"/>
          <w:szCs w:val="27"/>
        </w:rPr>
        <w:t>.</w:t>
      </w:r>
      <w:r w:rsidR="000B698E">
        <w:rPr>
          <w:rFonts w:ascii="標楷體" w:eastAsia="標楷體" w:hAnsi="標楷體" w:cs="新細明體" w:hint="eastAsia"/>
          <w:b/>
          <w:bCs/>
          <w:color w:val="FF0000"/>
          <w:kern w:val="0"/>
          <w:sz w:val="27"/>
          <w:szCs w:val="27"/>
        </w:rPr>
        <w:t>「</w:t>
      </w:r>
      <w:r w:rsidR="000B698E">
        <w:rPr>
          <w:rFonts w:hint="eastAsia"/>
        </w:rPr>
        <w:t xml:space="preserve"> </w:t>
      </w:r>
      <w:r w:rsidR="000B698E" w:rsidRPr="000B698E">
        <w:rPr>
          <w:rFonts w:ascii="標楷體" w:eastAsia="標楷體" w:hAnsi="標楷體" w:cs="新細明體" w:hint="eastAsia"/>
          <w:b/>
          <w:bCs/>
          <w:color w:val="FF0000"/>
          <w:kern w:val="0"/>
          <w:sz w:val="27"/>
          <w:szCs w:val="27"/>
        </w:rPr>
        <w:t>接轉單位類別</w:t>
      </w:r>
      <w:r w:rsidR="000B698E">
        <w:rPr>
          <w:rFonts w:ascii="標楷體" w:eastAsia="標楷體" w:hAnsi="標楷體" w:cs="新細明體" w:hint="eastAsia"/>
          <w:b/>
          <w:bCs/>
          <w:color w:val="FF0000"/>
          <w:kern w:val="0"/>
          <w:sz w:val="27"/>
          <w:szCs w:val="27"/>
        </w:rPr>
        <w:t>」</w:t>
      </w:r>
      <w:r w:rsidR="000B698E" w:rsidRPr="007D7DCE">
        <w:rPr>
          <w:rFonts w:ascii="標楷體" w:eastAsia="標楷體" w:hAnsi="標楷體" w:cs="新細明體" w:hint="eastAsia"/>
          <w:b/>
          <w:bCs/>
          <w:color w:val="FF0000"/>
          <w:kern w:val="0"/>
          <w:sz w:val="27"/>
          <w:szCs w:val="27"/>
        </w:rPr>
        <w:t>說明:</w:t>
      </w:r>
    </w:p>
    <w:p w:rsid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A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中央</w:t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B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陸軍</w:t>
      </w:r>
    </w:p>
    <w:p w:rsid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C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海軍</w:t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F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陸戰隊</w:t>
      </w:r>
    </w:p>
    <w:p w:rsid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D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空軍</w:t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K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資通電軍指揮部</w:t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J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防空飛彈指揮部</w:t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G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憲兵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ab/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E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後備</w:t>
      </w:r>
      <w:r w:rsid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ab/>
      </w:r>
    </w:p>
    <w:p w:rsidR="000B698E" w:rsidRPr="000B698E" w:rsidRDefault="00CF31F7" w:rsidP="000B698E">
      <w:pPr>
        <w:widowControl/>
        <w:rPr>
          <w:rFonts w:ascii="標楷體" w:eastAsia="標楷體" w:hAnsi="標楷體" w:cs="新細明體"/>
          <w:b/>
          <w:bCs/>
          <w:color w:val="0000FF"/>
          <w:kern w:val="0"/>
          <w:szCs w:val="24"/>
        </w:rPr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H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聯勤</w:t>
      </w:r>
    </w:p>
    <w:p w:rsidR="000F1564" w:rsidRPr="00925ADE" w:rsidRDefault="00CF31F7" w:rsidP="00CF31F7">
      <w:pPr>
        <w:widowControl/>
      </w:pPr>
      <w:r w:rsidRPr="00CB5151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 xml:space="preserve">  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I</w:t>
      </w:r>
      <w:r w:rsidR="000B698E">
        <w:rPr>
          <w:rFonts w:ascii="標楷體" w:eastAsia="標楷體" w:hAnsi="標楷體" w:cs="新細明體"/>
          <w:b/>
          <w:bCs/>
          <w:color w:val="0000FF"/>
          <w:kern w:val="0"/>
          <w:szCs w:val="24"/>
        </w:rPr>
        <w:t>:</w:t>
      </w:r>
      <w:r w:rsidR="000B698E" w:rsidRPr="000B698E">
        <w:rPr>
          <w:rFonts w:ascii="標楷體" w:eastAsia="標楷體" w:hAnsi="標楷體" w:cs="新細明體" w:hint="eastAsia"/>
          <w:b/>
          <w:bCs/>
          <w:color w:val="0000FF"/>
          <w:kern w:val="0"/>
          <w:szCs w:val="24"/>
        </w:rPr>
        <w:t>星光指揮部</w:t>
      </w:r>
      <w:r w:rsidR="000D33B2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sectPr w:rsidR="000F1564" w:rsidRPr="00925ADE" w:rsidSect="001717A8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871" w:rsidRDefault="00CD3871" w:rsidP="009C1386">
      <w:r>
        <w:separator/>
      </w:r>
    </w:p>
  </w:endnote>
  <w:endnote w:type="continuationSeparator" w:id="0">
    <w:p w:rsidR="00CD3871" w:rsidRDefault="00CD3871" w:rsidP="009C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871" w:rsidRDefault="00CD3871" w:rsidP="009C1386">
      <w:r>
        <w:separator/>
      </w:r>
    </w:p>
  </w:footnote>
  <w:footnote w:type="continuationSeparator" w:id="0">
    <w:p w:rsidR="00CD3871" w:rsidRDefault="00CD3871" w:rsidP="009C13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DE"/>
    <w:rsid w:val="00067B81"/>
    <w:rsid w:val="00093515"/>
    <w:rsid w:val="000B471A"/>
    <w:rsid w:val="000B698E"/>
    <w:rsid w:val="000D33B2"/>
    <w:rsid w:val="000D3F86"/>
    <w:rsid w:val="000F1564"/>
    <w:rsid w:val="001672E6"/>
    <w:rsid w:val="001717A8"/>
    <w:rsid w:val="00190DE6"/>
    <w:rsid w:val="001B7E2A"/>
    <w:rsid w:val="00206A80"/>
    <w:rsid w:val="002442E8"/>
    <w:rsid w:val="00257F35"/>
    <w:rsid w:val="002608DB"/>
    <w:rsid w:val="00311740"/>
    <w:rsid w:val="00355121"/>
    <w:rsid w:val="00381241"/>
    <w:rsid w:val="004240CE"/>
    <w:rsid w:val="004547B2"/>
    <w:rsid w:val="00496ACA"/>
    <w:rsid w:val="00550A9C"/>
    <w:rsid w:val="00564614"/>
    <w:rsid w:val="005E1143"/>
    <w:rsid w:val="006052AF"/>
    <w:rsid w:val="006A55E8"/>
    <w:rsid w:val="006A63DE"/>
    <w:rsid w:val="007A5FB8"/>
    <w:rsid w:val="007D7DCE"/>
    <w:rsid w:val="007E33BF"/>
    <w:rsid w:val="007E698E"/>
    <w:rsid w:val="00807912"/>
    <w:rsid w:val="008A2FA9"/>
    <w:rsid w:val="00925ADE"/>
    <w:rsid w:val="009A6EF1"/>
    <w:rsid w:val="009C1386"/>
    <w:rsid w:val="00AD1CED"/>
    <w:rsid w:val="00C34A80"/>
    <w:rsid w:val="00C42885"/>
    <w:rsid w:val="00CB5151"/>
    <w:rsid w:val="00CB773D"/>
    <w:rsid w:val="00CC5253"/>
    <w:rsid w:val="00CD3871"/>
    <w:rsid w:val="00CF31F7"/>
    <w:rsid w:val="00E26F6B"/>
    <w:rsid w:val="00EB0F6E"/>
    <w:rsid w:val="00EF097E"/>
    <w:rsid w:val="00F27509"/>
    <w:rsid w:val="00F53FDD"/>
    <w:rsid w:val="00F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32A96-7D55-4EC0-AAE8-2B39AC6B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A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13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13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陳香貝</dc:creator>
  <cp:keywords/>
  <dc:description/>
  <cp:lastModifiedBy>陳香貝</cp:lastModifiedBy>
  <cp:revision>10</cp:revision>
  <dcterms:created xsi:type="dcterms:W3CDTF">2018-03-28T08:10:00Z</dcterms:created>
  <dcterms:modified xsi:type="dcterms:W3CDTF">2018-05-18T01:11:00Z</dcterms:modified>
</cp:coreProperties>
</file>