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9D" w:rsidRDefault="007D269D" w:rsidP="007D269D">
      <w:pPr>
        <w:pStyle w:val="Title"/>
        <w:jc w:val="center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616A85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 xml:space="preserve">Assignment </w:t>
      </w:r>
      <w:r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–</w:t>
      </w:r>
      <w:r w:rsidRPr="00616A85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Python Pandas</w:t>
      </w:r>
    </w:p>
    <w:p w:rsidR="007D269D" w:rsidRDefault="007D269D" w:rsidP="007D269D">
      <w:pPr>
        <w:pStyle w:val="Title"/>
        <w:jc w:val="center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</w:p>
    <w:p w:rsidR="007D269D" w:rsidRDefault="007D269D" w:rsidP="007D269D">
      <w:pPr>
        <w:pStyle w:val="Title"/>
        <w:jc w:val="center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 xml:space="preserve">Academy of </w:t>
      </w:r>
      <w:proofErr w:type="spellStart"/>
      <w:r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Py</w:t>
      </w:r>
      <w:proofErr w:type="spellEnd"/>
    </w:p>
    <w:p w:rsidR="007D269D" w:rsidRPr="00795B57" w:rsidRDefault="007D269D" w:rsidP="007D269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C3D87" w:rsidRDefault="007D269D" w:rsidP="007D269D">
      <w:pPr>
        <w:rPr>
          <w:noProof/>
        </w:rPr>
      </w:pPr>
      <w:r w:rsidRPr="00795B57">
        <w:rPr>
          <w:rFonts w:ascii="Arial" w:hAnsi="Arial" w:cs="Arial"/>
          <w:color w:val="222222"/>
          <w:sz w:val="20"/>
          <w:szCs w:val="20"/>
          <w:shd w:val="clear" w:color="auto" w:fill="FFFFFF"/>
        </w:rPr>
        <w:t>Some insights from the charts:</w:t>
      </w:r>
      <w:r w:rsidRPr="00795B57">
        <w:rPr>
          <w:rFonts w:ascii="Arial" w:hAnsi="Arial" w:cs="Arial"/>
          <w:color w:val="222222"/>
          <w:sz w:val="20"/>
          <w:szCs w:val="20"/>
        </w:rPr>
        <w:br/>
      </w:r>
    </w:p>
    <w:p w:rsidR="007D269D" w:rsidRDefault="007D269D" w:rsidP="007D269D">
      <w:pPr>
        <w:rPr>
          <w:noProof/>
        </w:rPr>
      </w:pPr>
      <w:r>
        <w:rPr>
          <w:noProof/>
        </w:rPr>
        <w:t>DISTRICT SUMMARY</w:t>
      </w:r>
    </w:p>
    <w:p w:rsidR="007D269D" w:rsidRDefault="007D269D" w:rsidP="007D269D">
      <w:r>
        <w:rPr>
          <w:noProof/>
        </w:rPr>
        <w:drawing>
          <wp:inline distT="0" distB="0" distL="0" distR="0" wp14:anchorId="30DAA58A" wp14:editId="4F0D5FB8">
            <wp:extent cx="5943600" cy="39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E4" w:rsidRDefault="00B74FE4" w:rsidP="007D269D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 the District, students have a higher percentage passing Math than Reading. </w:t>
      </w:r>
    </w:p>
    <w:p w:rsidR="001C3D87" w:rsidRDefault="001C3D87" w:rsidP="007D269D">
      <w:pPr>
        <w:rPr>
          <w:rFonts w:ascii="Arial" w:hAnsi="Arial" w:cs="Arial"/>
          <w:color w:val="222222"/>
          <w:sz w:val="20"/>
          <w:szCs w:val="20"/>
        </w:rPr>
      </w:pPr>
    </w:p>
    <w:p w:rsidR="001C3D87" w:rsidRDefault="001C3D87" w:rsidP="001C3D87">
      <w:pPr>
        <w:rPr>
          <w:noProof/>
        </w:rPr>
      </w:pPr>
      <w:r>
        <w:rPr>
          <w:noProof/>
        </w:rPr>
        <w:t>SCHOOL SUMMARY</w:t>
      </w:r>
    </w:p>
    <w:tbl>
      <w:tblPr>
        <w:tblW w:w="9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99"/>
        <w:gridCol w:w="1023"/>
        <w:gridCol w:w="1350"/>
        <w:gridCol w:w="900"/>
        <w:gridCol w:w="810"/>
        <w:gridCol w:w="900"/>
        <w:gridCol w:w="810"/>
        <w:gridCol w:w="900"/>
        <w:gridCol w:w="1080"/>
      </w:tblGrid>
      <w:tr w:rsidR="00B74FE4" w:rsidRPr="00B74FE4" w:rsidTr="001C3D87">
        <w:trPr>
          <w:trHeight w:val="735"/>
          <w:tblHeader/>
        </w:trPr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br/>
              <w:t>School Type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Total Students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Total School </w:t>
            </w:r>
            <w: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 xml:space="preserve">    </w:t>
            </w: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Budget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Per Student Budget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Average Math Score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Average Reading Score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% Passing Math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 xml:space="preserve">% </w:t>
            </w:r>
            <w:r w:rsid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P</w:t>
            </w: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assing Reading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D87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% Overall </w:t>
            </w:r>
            <w:r w:rsid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 xml:space="preserve">  </w:t>
            </w: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Passing</w:t>
            </w:r>
          </w:p>
          <w:p w:rsidR="00B74FE4" w:rsidRPr="00B74FE4" w:rsidRDefault="00B74FE4" w:rsidP="001C3D8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Rate</w:t>
            </w:r>
          </w:p>
        </w:tc>
      </w:tr>
      <w:tr w:rsidR="00B74FE4" w:rsidRPr="00B74FE4" w:rsidTr="001C3D87">
        <w:trPr>
          <w:trHeight w:val="582"/>
        </w:trPr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Huang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2,917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$1,910,635.00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$655.00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76.63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81.18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65.68%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81.32%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73.50%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Figueroa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2,949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$1,884,411.00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$639.00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76.71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81.16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65.99%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80.74%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73.36%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Shelton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1,761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$1,056,600.00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$600.00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83.73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93.87%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95.85%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94.86%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Hernandez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4,635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$3,022,020.00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$652.00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77.29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80.93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66.75%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80.86%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73.81%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Griffin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1,468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$917,500.00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$625.00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93.39%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97.14%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95.27%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Wilson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2,283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$1,319,574.00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$578.00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83.99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93.87%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96.54%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95.20%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Cabrera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1,858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$1,081,356.00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$582.00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83.98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94.13%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97.04%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95.59%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Bailey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4,976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$3,124,928.00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$628.00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77.05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81.03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66.68%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81.93%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74.31%</w:t>
            </w:r>
          </w:p>
        </w:tc>
      </w:tr>
      <w:tr w:rsidR="00B74FE4" w:rsidRPr="001C3D87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Holden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427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$248,087.00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$581.00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92.51%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96.25%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94.38%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lastRenderedPageBreak/>
              <w:t>Pena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$585,858.00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$609.00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84.04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94.59%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95.95%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95.27%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Wright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1,800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$1,049,400.00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$583.00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83.95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93.33%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96.61%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94.97%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Rodriguez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3,999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$2,547,363.00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$637.00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76.84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80.74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66.37%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80.22%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73.29%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Johnson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4,761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$3,094,650.00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$650.00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77.07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80.97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66.06%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81.22%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73.64%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Ford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District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2,739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$1,763,916.00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$644.00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77.10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80.75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68.31%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79.30%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73.80%</w:t>
            </w:r>
          </w:p>
        </w:tc>
      </w:tr>
      <w:tr w:rsidR="00B74FE4" w:rsidRPr="00B74FE4" w:rsidTr="001C3D87"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Thomas High School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1,635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$1,043,130.00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$638.00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93.27%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97.31%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B74FE4">
            <w:pPr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95.29%</w:t>
            </w:r>
          </w:p>
        </w:tc>
      </w:tr>
    </w:tbl>
    <w:p w:rsidR="001C3D87" w:rsidRDefault="001C3D87" w:rsidP="00B74FE4">
      <w:pPr>
        <w:rPr>
          <w:rFonts w:ascii="Arial" w:hAnsi="Arial" w:cs="Arial"/>
          <w:i/>
          <w:iCs/>
          <w:color w:val="222222"/>
          <w:sz w:val="20"/>
          <w:szCs w:val="20"/>
        </w:rPr>
      </w:pPr>
    </w:p>
    <w:p w:rsidR="001C3D87" w:rsidRDefault="001C3D87" w:rsidP="00B74FE4">
      <w:pPr>
        <w:rPr>
          <w:rFonts w:ascii="Arial" w:hAnsi="Arial" w:cs="Arial"/>
          <w:iCs/>
          <w:color w:val="222222"/>
          <w:sz w:val="20"/>
          <w:szCs w:val="20"/>
        </w:rPr>
      </w:pPr>
      <w:r>
        <w:rPr>
          <w:rFonts w:ascii="Arial" w:hAnsi="Arial" w:cs="Arial"/>
          <w:iCs/>
          <w:color w:val="222222"/>
          <w:sz w:val="20"/>
          <w:szCs w:val="20"/>
        </w:rPr>
        <w:t>Over all, the schools, which received more money for spending</w:t>
      </w:r>
      <w:r w:rsidR="00AA1427">
        <w:rPr>
          <w:rFonts w:ascii="Arial" w:hAnsi="Arial" w:cs="Arial"/>
          <w:iCs/>
          <w:color w:val="222222"/>
          <w:sz w:val="20"/>
          <w:szCs w:val="20"/>
        </w:rPr>
        <w:t xml:space="preserve"> like Johnson High </w:t>
      </w:r>
      <w:proofErr w:type="gramStart"/>
      <w:r w:rsidR="00AA1427">
        <w:rPr>
          <w:rFonts w:ascii="Arial" w:hAnsi="Arial" w:cs="Arial"/>
          <w:iCs/>
          <w:color w:val="222222"/>
          <w:sz w:val="20"/>
          <w:szCs w:val="20"/>
        </w:rPr>
        <w:t xml:space="preserve">School </w:t>
      </w:r>
      <w:r>
        <w:rPr>
          <w:rFonts w:ascii="Arial" w:hAnsi="Arial" w:cs="Arial"/>
          <w:iCs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iCs/>
          <w:color w:val="222222"/>
          <w:sz w:val="20"/>
          <w:szCs w:val="20"/>
        </w:rPr>
        <w:t xml:space="preserve"> are the ones whit more attendance (</w:t>
      </w:r>
      <w:r w:rsidR="00AA1427">
        <w:rPr>
          <w:rFonts w:ascii="Arial" w:hAnsi="Arial" w:cs="Arial"/>
          <w:iCs/>
          <w:color w:val="222222"/>
          <w:sz w:val="20"/>
          <w:szCs w:val="20"/>
        </w:rPr>
        <w:t>the student size of Johnson is 4,761.</w:t>
      </w:r>
    </w:p>
    <w:p w:rsidR="001C3D87" w:rsidRDefault="001C3D87" w:rsidP="001C3D87">
      <w:pPr>
        <w:rPr>
          <w:noProof/>
        </w:rPr>
      </w:pPr>
      <w:r>
        <w:rPr>
          <w:noProof/>
        </w:rPr>
        <w:t>TOP PERFORMING SUMMARY</w:t>
      </w:r>
    </w:p>
    <w:tbl>
      <w:tblPr>
        <w:tblW w:w="9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797"/>
        <w:gridCol w:w="1080"/>
        <w:gridCol w:w="1350"/>
        <w:gridCol w:w="900"/>
        <w:gridCol w:w="900"/>
        <w:gridCol w:w="900"/>
        <w:gridCol w:w="810"/>
        <w:gridCol w:w="990"/>
        <w:gridCol w:w="1170"/>
      </w:tblGrid>
      <w:tr w:rsidR="00B74FE4" w:rsidRPr="00B74FE4" w:rsidTr="00B74FE4">
        <w:trPr>
          <w:trHeight w:val="627"/>
          <w:tblHeader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name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School Type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Total Students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Total School </w:t>
            </w:r>
            <w:r w:rsid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 xml:space="preserve">    </w:t>
            </w: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Budget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Per Student Budget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Average Math Score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Average Reading Score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% Passing Math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% Passing Reading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% Overall</w:t>
            </w:r>
            <w:r w:rsid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 xml:space="preserve">    </w:t>
            </w: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 Passing</w:t>
            </w:r>
          </w:p>
          <w:p w:rsidR="00B74FE4" w:rsidRPr="001C3D87" w:rsidRDefault="00B74FE4" w:rsidP="001C3D87">
            <w:pPr>
              <w:spacing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Rate</w:t>
            </w:r>
          </w:p>
        </w:tc>
      </w:tr>
      <w:tr w:rsidR="00B74FE4" w:rsidRPr="00B74FE4" w:rsidTr="00B74FE4"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Cabrera High School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1,858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$1,081,356.00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$582.00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83.98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94.13%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97.04%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95.59%</w:t>
            </w:r>
          </w:p>
        </w:tc>
      </w:tr>
      <w:tr w:rsidR="00B74FE4" w:rsidRPr="00B74FE4" w:rsidTr="00B74FE4"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Thomas High School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1,635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$1,043,130.00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$638.00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93.27%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97.31%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95.29%</w:t>
            </w:r>
          </w:p>
        </w:tc>
      </w:tr>
      <w:tr w:rsidR="00B74FE4" w:rsidRPr="00B74FE4" w:rsidTr="00B74FE4"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Griffin High School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1,468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$917,500.00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$625.00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93.39%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97.14%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95.27%</w:t>
            </w:r>
          </w:p>
        </w:tc>
      </w:tr>
      <w:tr w:rsidR="00B74FE4" w:rsidRPr="00B74FE4" w:rsidTr="00B74FE4"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Pena High School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$585,858.00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$609.00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83.84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84.04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94.59%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95.95%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1C3D87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1C3D87">
              <w:rPr>
                <w:rFonts w:ascii="Arial" w:hAnsi="Arial" w:cs="Arial"/>
                <w:color w:val="222222"/>
                <w:sz w:val="16"/>
                <w:szCs w:val="16"/>
              </w:rPr>
              <w:t>95.27%</w:t>
            </w:r>
          </w:p>
        </w:tc>
      </w:tr>
      <w:tr w:rsidR="00B74FE4" w:rsidRPr="00B74FE4" w:rsidTr="00B74FE4"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Wilson High School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Charter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2,283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$1,319,574.00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$578.00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83.27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83.99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93.87%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96.54%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74FE4" w:rsidRPr="00B74FE4" w:rsidRDefault="00B74FE4" w:rsidP="001C3D87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B74FE4">
              <w:rPr>
                <w:rFonts w:ascii="Arial" w:hAnsi="Arial" w:cs="Arial"/>
                <w:color w:val="222222"/>
                <w:sz w:val="16"/>
                <w:szCs w:val="16"/>
              </w:rPr>
              <w:t>95.20%</w:t>
            </w:r>
          </w:p>
        </w:tc>
      </w:tr>
    </w:tbl>
    <w:p w:rsidR="00B74FE4" w:rsidRDefault="00B74FE4" w:rsidP="007D269D">
      <w:pPr>
        <w:rPr>
          <w:rFonts w:ascii="Arial" w:hAnsi="Arial" w:cs="Arial"/>
          <w:color w:val="222222"/>
          <w:sz w:val="20"/>
          <w:szCs w:val="20"/>
        </w:rPr>
      </w:pPr>
    </w:p>
    <w:p w:rsidR="001C3D87" w:rsidRPr="00B74FE4" w:rsidRDefault="001C3D87" w:rsidP="007D269D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Top performing schools are Charter schools.</w:t>
      </w:r>
      <w:r w:rsidRPr="001C3D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charter school receives government funding but operates independently of the established state school system in which it is located, and in some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privately owned.</w:t>
      </w:r>
      <w:r w:rsidR="00A86B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this trend is corroborated in </w:t>
      </w:r>
    </w:p>
    <w:p w:rsidR="00A86BC7" w:rsidRDefault="00A86BC7" w:rsidP="00A86BC7"/>
    <w:p w:rsidR="00A86BC7" w:rsidRDefault="00A86BC7" w:rsidP="00A86BC7">
      <w:pPr>
        <w:rPr>
          <w:noProof/>
        </w:rPr>
      </w:pPr>
      <w:r>
        <w:rPr>
          <w:noProof/>
        </w:rPr>
        <w:t>PERFORMANCE BASED ON SCHOOL TYPE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669"/>
        <w:gridCol w:w="1832"/>
        <w:gridCol w:w="1392"/>
        <w:gridCol w:w="1554"/>
        <w:gridCol w:w="1815"/>
      </w:tblGrid>
      <w:tr w:rsidR="00A86BC7" w:rsidRPr="00AA1427" w:rsidTr="00C147A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rPr>
                <w:b/>
                <w:bCs/>
              </w:rPr>
              <w:t>School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% Overall Passing Rate</w:t>
            </w:r>
          </w:p>
        </w:tc>
      </w:tr>
      <w:tr w:rsidR="00A86BC7" w:rsidRPr="00AA1427" w:rsidTr="00C1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83.473852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83.896421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93.620830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96.586489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95.103660</w:t>
            </w:r>
          </w:p>
        </w:tc>
      </w:tr>
      <w:tr w:rsidR="00A86BC7" w:rsidRPr="00AA1427" w:rsidTr="00C1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6BC7" w:rsidRPr="00AA1427" w:rsidRDefault="00A86BC7" w:rsidP="00C147A1">
            <w:pPr>
              <w:rPr>
                <w:b/>
                <w:bCs/>
              </w:rPr>
            </w:pPr>
            <w:r w:rsidRPr="00AA1427">
              <w:rPr>
                <w:b/>
                <w:bCs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76.956733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80.966636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66.548453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80.799062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6BC7" w:rsidRPr="00AA1427" w:rsidRDefault="00A86BC7" w:rsidP="00C147A1">
            <w:r w:rsidRPr="00AA1427">
              <w:t>73.673757</w:t>
            </w:r>
          </w:p>
        </w:tc>
      </w:tr>
    </w:tbl>
    <w:p w:rsidR="00A86BC7" w:rsidRDefault="00A86BC7" w:rsidP="00A86BC7"/>
    <w:p w:rsidR="00AA1427" w:rsidRDefault="007D269D" w:rsidP="00AA1427">
      <w:pPr>
        <w:rPr>
          <w:noProof/>
        </w:rPr>
      </w:pPr>
      <w:r w:rsidRPr="00B74FE4">
        <w:rPr>
          <w:rFonts w:ascii="Arial" w:hAnsi="Arial" w:cs="Arial"/>
          <w:color w:val="222222"/>
          <w:sz w:val="20"/>
          <w:szCs w:val="20"/>
        </w:rPr>
        <w:br/>
      </w:r>
      <w:r w:rsidR="00AA1427">
        <w:rPr>
          <w:noProof/>
        </w:rPr>
        <w:t>PERFORMAMCE BASED UPON SCHOOL BUDGET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1350"/>
        <w:gridCol w:w="1507"/>
        <w:gridCol w:w="1157"/>
        <w:gridCol w:w="1313"/>
        <w:gridCol w:w="1496"/>
      </w:tblGrid>
      <w:tr w:rsidR="00AA1427" w:rsidRPr="00AA1427" w:rsidTr="00AA142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Average Math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Average Reading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% Passing Math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% Passing Reading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% Overall Passing Rate</w:t>
            </w:r>
          </w:p>
        </w:tc>
      </w:tr>
      <w:tr w:rsidR="00AA1427" w:rsidRPr="00AA1427" w:rsidTr="00AA142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Spending Ranges (Per Student)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1427" w:rsidRPr="00AA1427" w:rsidTr="00AA14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&lt;$585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83.455399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83.933814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93.460096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96.610877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95.035486</w:t>
            </w:r>
          </w:p>
        </w:tc>
      </w:tr>
      <w:tr w:rsidR="00AA1427" w:rsidRPr="00AA1427" w:rsidTr="00AA14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$585-615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83.599686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83.885211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94.230858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95.900287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95.065572</w:t>
            </w:r>
          </w:p>
        </w:tc>
      </w:tr>
      <w:tr w:rsidR="00AA1427" w:rsidRPr="00AA1427" w:rsidTr="00AA14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$615-645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79.079225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81.891436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75.668212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86.106569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80.887391</w:t>
            </w:r>
          </w:p>
        </w:tc>
      </w:tr>
      <w:tr w:rsidR="00AA1427" w:rsidRPr="00AA1427" w:rsidTr="00AA14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A1427">
              <w:rPr>
                <w:rFonts w:ascii="Arial" w:hAnsi="Arial" w:cs="Arial"/>
                <w:b/>
                <w:bCs/>
                <w:sz w:val="16"/>
                <w:szCs w:val="16"/>
              </w:rPr>
              <w:t>$645-675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76.997210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81.027843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66.164813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81.133951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427" w:rsidRPr="00AA1427" w:rsidRDefault="00AA1427" w:rsidP="00AA14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A1427">
              <w:rPr>
                <w:rFonts w:ascii="Arial" w:hAnsi="Arial" w:cs="Arial"/>
                <w:sz w:val="16"/>
                <w:szCs w:val="16"/>
              </w:rPr>
              <w:t>73.649382</w:t>
            </w:r>
          </w:p>
        </w:tc>
      </w:tr>
    </w:tbl>
    <w:p w:rsidR="007D269D" w:rsidRPr="00795B57" w:rsidRDefault="007D269D" w:rsidP="00AA1427">
      <w:pPr>
        <w:rPr>
          <w:rFonts w:ascii="Arial" w:hAnsi="Arial" w:cs="Arial"/>
          <w:sz w:val="20"/>
          <w:szCs w:val="20"/>
        </w:rPr>
      </w:pPr>
    </w:p>
    <w:p w:rsidR="00AA1427" w:rsidRDefault="00AA1427">
      <w:r>
        <w:t>We can notice that Schools where spending per student is less than $615.00, perform better in Reading and Math.</w:t>
      </w:r>
    </w:p>
    <w:sectPr w:rsidR="00AA1427" w:rsidSect="00AA1427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427" w:rsidRDefault="00AA1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B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0D82"/>
    <w:multiLevelType w:val="multilevel"/>
    <w:tmpl w:val="BF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F663F"/>
    <w:multiLevelType w:val="multilevel"/>
    <w:tmpl w:val="9A86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E1A5E"/>
    <w:multiLevelType w:val="multilevel"/>
    <w:tmpl w:val="8A6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F5A24"/>
    <w:multiLevelType w:val="multilevel"/>
    <w:tmpl w:val="E1D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734B"/>
    <w:multiLevelType w:val="multilevel"/>
    <w:tmpl w:val="D02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D47F7"/>
    <w:multiLevelType w:val="multilevel"/>
    <w:tmpl w:val="129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85"/>
    <w:rsid w:val="000E429B"/>
    <w:rsid w:val="001C3D87"/>
    <w:rsid w:val="001D4DCD"/>
    <w:rsid w:val="00616A85"/>
    <w:rsid w:val="0078544D"/>
    <w:rsid w:val="007D269D"/>
    <w:rsid w:val="00A86BC7"/>
    <w:rsid w:val="00AA1427"/>
    <w:rsid w:val="00B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4B8"/>
  <w15:chartTrackingRefBased/>
  <w15:docId w15:val="{116191E7-45DC-4748-8D59-63211961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69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6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A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6A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6A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6A8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D269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D269D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D269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9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7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8034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FB4E-EAFD-4294-8233-26114878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Shetkar</dc:creator>
  <cp:keywords/>
  <dc:description/>
  <cp:lastModifiedBy>Beatriz Shetkar</cp:lastModifiedBy>
  <cp:revision>2</cp:revision>
  <dcterms:created xsi:type="dcterms:W3CDTF">2017-11-06T21:46:00Z</dcterms:created>
  <dcterms:modified xsi:type="dcterms:W3CDTF">2017-12-09T05:27:00Z</dcterms:modified>
</cp:coreProperties>
</file>