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DAFE" w14:textId="77777777" w:rsidR="00E17B85" w:rsidRPr="007D2A51" w:rsidRDefault="00E17B85" w:rsidP="00E17B85">
      <w:pPr>
        <w:spacing w:after="4"/>
        <w:jc w:val="center"/>
        <w:rPr>
          <w:rFonts w:cs="Arial"/>
          <w:bCs/>
          <w:color w:val="17324D"/>
          <w:sz w:val="20"/>
          <w:szCs w:val="20"/>
        </w:rPr>
      </w:pPr>
      <w:r w:rsidRPr="007D2A51">
        <w:rPr>
          <w:rFonts w:cs="Arial"/>
          <w:bCs/>
          <w:color w:val="17324D"/>
          <w:sz w:val="20"/>
          <w:szCs w:val="20"/>
        </w:rPr>
        <w:t>Shivam Singh</w:t>
      </w:r>
    </w:p>
    <w:p w14:paraId="0455737F" w14:textId="77777777" w:rsidR="00333CDF" w:rsidRPr="007D2A51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>San Francisco, California, United States</w:t>
      </w:r>
    </w:p>
    <w:p w14:paraId="5D3C8B14" w14:textId="77777777" w:rsidR="00333CDF" w:rsidRPr="007D2A51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>Phone: +1 202-630-3211 | Email: shiv-corpdev@umich.edu</w:t>
      </w:r>
    </w:p>
    <w:p w14:paraId="76B06417" w14:textId="4A60344D" w:rsidR="00333CDF" w:rsidRPr="007D2A51" w:rsidRDefault="0066527D">
      <w:pPr>
        <w:spacing w:after="40"/>
        <w:jc w:val="center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 xml:space="preserve">LinkedIn, Website: </w:t>
      </w:r>
      <w:hyperlink r:id="rId8">
        <w:r w:rsidR="00333CDF" w:rsidRPr="007D2A51">
          <w:rPr>
            <w:rFonts w:cs="Arial"/>
            <w:bCs/>
            <w:color w:val="4A4A4A"/>
            <w:sz w:val="20"/>
            <w:szCs w:val="20"/>
            <w:u w:val="single"/>
          </w:rPr>
          <w:t>https://linkedin.com/in/beastofbayarea</w:t>
        </w:r>
      </w:hyperlink>
    </w:p>
    <w:p w14:paraId="67FCC0C9" w14:textId="77777777" w:rsidR="00333CDF" w:rsidRPr="007D2A51" w:rsidRDefault="00000000">
      <w:pPr>
        <w:pStyle w:val="Heading1"/>
        <w:rPr>
          <w:rFonts w:ascii="Arial" w:hAnsi="Arial" w:cs="Arial"/>
          <w:b w:val="0"/>
          <w:szCs w:val="20"/>
        </w:rPr>
      </w:pPr>
      <w:r w:rsidRPr="007D2A51">
        <w:rPr>
          <w:rFonts w:ascii="Arial" w:hAnsi="Arial" w:cs="Arial"/>
          <w:b w:val="0"/>
          <w:szCs w:val="20"/>
        </w:rPr>
        <w:t>PROFESSIONAL SUMMARY</w:t>
      </w:r>
    </w:p>
    <w:p w14:paraId="667CD7BA" w14:textId="77777777" w:rsidR="00333CDF" w:rsidRPr="007D2A51" w:rsidRDefault="00000000">
      <w:pPr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Corporate development and strategic-investments leader with 12+ years of experience across M&amp;A, transaction diligence, capital allocation, institutional fundraising, and post-investment execution in AI, FinTech, and regulated markets.</w:t>
      </w:r>
    </w:p>
    <w:p w14:paraId="5E6CEC4F" w14:textId="77777777" w:rsidR="00333CDF" w:rsidRPr="007D2A51" w:rsidRDefault="00000000">
      <w:pPr>
        <w:pStyle w:val="Heading1"/>
        <w:rPr>
          <w:rFonts w:ascii="Arial" w:hAnsi="Arial" w:cs="Arial"/>
          <w:b w:val="0"/>
          <w:szCs w:val="20"/>
        </w:rPr>
      </w:pPr>
      <w:r w:rsidRPr="007D2A51">
        <w:rPr>
          <w:rFonts w:ascii="Arial" w:hAnsi="Arial" w:cs="Arial"/>
          <w:b w:val="0"/>
          <w:szCs w:val="20"/>
        </w:rPr>
        <w:t>CORE SKILLS</w:t>
      </w:r>
    </w:p>
    <w:p w14:paraId="13B28890" w14:textId="77777777" w:rsidR="00333CDF" w:rsidRPr="007D2A51" w:rsidRDefault="00000000">
      <w:pPr>
        <w:spacing w:after="8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17324D"/>
          <w:sz w:val="20"/>
          <w:szCs w:val="20"/>
        </w:rPr>
        <w:t xml:space="preserve">Deal Execution: </w:t>
      </w:r>
      <w:r w:rsidRPr="007D2A51">
        <w:rPr>
          <w:rFonts w:cs="Arial"/>
          <w:bCs/>
          <w:sz w:val="20"/>
          <w:szCs w:val="20"/>
        </w:rPr>
        <w:t>Corporate development, mergers and acquisitions (M&amp;A), deal execution, letter of intent (LOI), strategic investments, buy-versus-build analysis</w:t>
      </w:r>
    </w:p>
    <w:p w14:paraId="432DCB70" w14:textId="77777777" w:rsidR="00333CDF" w:rsidRPr="007D2A51" w:rsidRDefault="00000000">
      <w:pPr>
        <w:spacing w:after="8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17324D"/>
          <w:sz w:val="20"/>
          <w:szCs w:val="20"/>
        </w:rPr>
        <w:t xml:space="preserve">Diligence: </w:t>
      </w:r>
      <w:r w:rsidRPr="007D2A51">
        <w:rPr>
          <w:rFonts w:cs="Arial"/>
          <w:bCs/>
          <w:sz w:val="20"/>
          <w:szCs w:val="20"/>
        </w:rPr>
        <w:t>Commercial diligence, technical diligence, market diligence, strategic fit, post-close planning</w:t>
      </w:r>
    </w:p>
    <w:p w14:paraId="4EE25A55" w14:textId="77777777" w:rsidR="00333CDF" w:rsidRPr="007D2A51" w:rsidRDefault="00000000">
      <w:pPr>
        <w:spacing w:after="8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17324D"/>
          <w:sz w:val="20"/>
          <w:szCs w:val="20"/>
        </w:rPr>
        <w:t xml:space="preserve">Valuation and Synergies: </w:t>
      </w:r>
      <w:r w:rsidRPr="007D2A51">
        <w:rPr>
          <w:rFonts w:cs="Arial"/>
          <w:bCs/>
          <w:sz w:val="20"/>
          <w:szCs w:val="20"/>
        </w:rPr>
        <w:t>Discounted cash flow (DCF), comparable companies, precedent transactions, synergy modeling, financial modeling, scenario analysis</w:t>
      </w:r>
    </w:p>
    <w:p w14:paraId="5CB05621" w14:textId="77777777" w:rsidR="00333CDF" w:rsidRPr="007D2A51" w:rsidRDefault="00000000">
      <w:pPr>
        <w:spacing w:after="8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17324D"/>
          <w:sz w:val="20"/>
          <w:szCs w:val="20"/>
        </w:rPr>
        <w:t xml:space="preserve">Integration and Capital: </w:t>
      </w:r>
      <w:r w:rsidRPr="007D2A51">
        <w:rPr>
          <w:rFonts w:cs="Arial"/>
          <w:bCs/>
          <w:sz w:val="20"/>
          <w:szCs w:val="20"/>
        </w:rPr>
        <w:t>Integration Management Office (IMO), integration planning, capital allocation, investment committees, institutional fundraising, portfolio strategy</w:t>
      </w:r>
    </w:p>
    <w:p w14:paraId="73E5155D" w14:textId="77777777" w:rsidR="00333CDF" w:rsidRPr="007D2A51" w:rsidRDefault="00000000">
      <w:pPr>
        <w:pStyle w:val="Heading1"/>
        <w:rPr>
          <w:rFonts w:ascii="Arial" w:hAnsi="Arial" w:cs="Arial"/>
          <w:b w:val="0"/>
          <w:szCs w:val="20"/>
        </w:rPr>
      </w:pPr>
      <w:r w:rsidRPr="007D2A51">
        <w:rPr>
          <w:rFonts w:ascii="Arial" w:hAnsi="Arial" w:cs="Arial"/>
          <w:b w:val="0"/>
          <w:szCs w:val="20"/>
        </w:rPr>
        <w:t>PROFESSIONAL EXPERIENCE</w:t>
      </w:r>
    </w:p>
    <w:p w14:paraId="367187C6" w14:textId="77777777" w:rsidR="00333CDF" w:rsidRPr="007D2A5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17324D"/>
          <w:sz w:val="20"/>
          <w:szCs w:val="20"/>
        </w:rPr>
        <w:t>Amazon Web Services (AWS)</w:t>
      </w:r>
    </w:p>
    <w:p w14:paraId="3C727B7D" w14:textId="77777777" w:rsidR="00333CDF" w:rsidRPr="007D2A5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Director, Corporate Development and Strategic Investments - Generative AI</w:t>
      </w:r>
    </w:p>
    <w:p w14:paraId="0EF84BF8" w14:textId="77777777" w:rsidR="00333CDF" w:rsidRPr="007D2A51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>San Francisco, California, United States | July 2024 - Present</w:t>
      </w:r>
    </w:p>
    <w:p w14:paraId="66872F99" w14:textId="77777777" w:rsidR="00333CDF" w:rsidRPr="007D2A51" w:rsidRDefault="00000000">
      <w:pPr>
        <w:spacing w:after="2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Led end-to-end transaction diligence for an $85 million potential agentic-AI deal, including buy-versus-build analysis, strategic fit, market and technical diligence, integration sequencing, and post-close planning. Built a $100 million-plus gross merchandise value (GMV) investment model for executive decisions.</w:t>
      </w:r>
    </w:p>
    <w:p w14:paraId="6B39FDDC" w14:textId="77777777" w:rsidR="00333CDF" w:rsidRPr="007D2A51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17324D"/>
          <w:sz w:val="20"/>
          <w:szCs w:val="20"/>
        </w:rPr>
        <w:t>Rakuten Group, Inc.</w:t>
      </w:r>
    </w:p>
    <w:p w14:paraId="2ACCD5BD" w14:textId="77777777" w:rsidR="00333CDF" w:rsidRPr="007D2A5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Corporate Development and Strategic Investments - MBA Intern</w:t>
      </w:r>
    </w:p>
    <w:p w14:paraId="0F306E08" w14:textId="77777777" w:rsidR="00333CDF" w:rsidRPr="007D2A51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>Tokyo, Japan | June 2023 - December 2023</w:t>
      </w:r>
    </w:p>
    <w:p w14:paraId="4FF9EF7D" w14:textId="77777777" w:rsidR="00333CDF" w:rsidRPr="007D2A51" w:rsidRDefault="00000000">
      <w:pPr>
        <w:spacing w:after="2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Evaluated investments and partnership structures across payments, commerce, and AI using commercial diligence, scenario analysis, take-rate analysis, and ecosystem economics. Built a 10,000-iteration downside model that helped avoid an estimated $20 million loss and redirect capital.</w:t>
      </w:r>
    </w:p>
    <w:p w14:paraId="42656C4C" w14:textId="77777777" w:rsidR="00333CDF" w:rsidRPr="007D2A51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17324D"/>
          <w:sz w:val="20"/>
          <w:szCs w:val="20"/>
        </w:rPr>
        <w:t>Microsoft Corporation</w:t>
      </w:r>
    </w:p>
    <w:p w14:paraId="47F869F0" w14:textId="77777777" w:rsidR="00333CDF" w:rsidRPr="007D2A5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Senior Product Manager, Cloud Data and Lifecycle Intelligence</w:t>
      </w:r>
    </w:p>
    <w:p w14:paraId="2004FD39" w14:textId="77777777" w:rsidR="00333CDF" w:rsidRPr="007D2A51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>Redmond, Washington, United States | January 2020 - August 2022</w:t>
      </w:r>
    </w:p>
    <w:p w14:paraId="7A732FCC" w14:textId="77777777" w:rsidR="00333CDF" w:rsidRPr="007D2A51" w:rsidRDefault="00000000">
      <w:pPr>
        <w:spacing w:after="2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Owned a data-sovereignty product across 10 markets that rescued a $5 million contract and addressed $25 million in regulatory exposure. Led a regulated financial-services AI program from requirements through deployment, reducing inference latency from 14 seconds to 220 milliseconds and time to compliance from nine months to three months.</w:t>
      </w:r>
    </w:p>
    <w:p w14:paraId="2FFD98E0" w14:textId="77777777" w:rsidR="00333CDF" w:rsidRPr="007D2A51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17324D"/>
          <w:sz w:val="20"/>
          <w:szCs w:val="20"/>
        </w:rPr>
        <w:t>The D. E. Shaw Group</w:t>
      </w:r>
    </w:p>
    <w:p w14:paraId="2EDE9547" w14:textId="77777777" w:rsidR="00333CDF" w:rsidRPr="007D2A5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Vice President, Investment Strategy</w:t>
      </w:r>
    </w:p>
    <w:p w14:paraId="2C119EB5" w14:textId="77777777" w:rsidR="00333CDF" w:rsidRPr="007D2A51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>New York, New York, United States; Hyderabad, India | July 2016 - December 2019</w:t>
      </w:r>
    </w:p>
    <w:p w14:paraId="3B025E65" w14:textId="77777777" w:rsidR="00333CDF" w:rsidRPr="007D2A51" w:rsidRDefault="00000000">
      <w:pPr>
        <w:spacing w:after="2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Originated and closed a $500 million institutional mandate, leading deal sourcing, allocator targeting, diligence, relationship coverage, and investment-committee negotiation. Structured a performance-aligned fee model that generated approximately $25 million in first-year fees.</w:t>
      </w:r>
    </w:p>
    <w:p w14:paraId="64EC1DF5" w14:textId="77777777" w:rsidR="00333CDF" w:rsidRPr="007D2A51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17324D"/>
          <w:sz w:val="20"/>
          <w:szCs w:val="20"/>
        </w:rPr>
        <w:t>McKinsey &amp; Company</w:t>
      </w:r>
    </w:p>
    <w:p w14:paraId="514634F7" w14:textId="77777777" w:rsidR="00333CDF" w:rsidRPr="007D2A5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Associate, Commercial Due Diligence and FinTech Strategy</w:t>
      </w:r>
    </w:p>
    <w:p w14:paraId="0D6AD654" w14:textId="77777777" w:rsidR="00333CDF" w:rsidRPr="007D2A51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>London, United Kingdom | July 2014 - June 2016</w:t>
      </w:r>
    </w:p>
    <w:p w14:paraId="56AD0BE3" w14:textId="16A9BCB5" w:rsidR="00333CDF" w:rsidRPr="007D2A51" w:rsidRDefault="00000000">
      <w:pPr>
        <w:spacing w:after="2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Advised private-capital, FinTech, and retail clients on commercial diligence, market entry, and digital M&amp;A. Built quantitative models supporting more than $50 million in revenue and capital-allocation decisions.</w:t>
      </w:r>
      <w:r w:rsidR="00C65BA2" w:rsidRPr="007D2A51">
        <w:rPr>
          <w:rFonts w:cs="Arial"/>
          <w:bCs/>
          <w:sz w:val="20"/>
          <w:szCs w:val="20"/>
        </w:rPr>
        <w:t xml:space="preserve"> Managed </w:t>
      </w:r>
      <w:r w:rsidR="00C65BA2" w:rsidRPr="007D2A51">
        <w:rPr>
          <w:rFonts w:cs="Arial"/>
          <w:b/>
          <w:bCs/>
          <w:sz w:val="20"/>
          <w:szCs w:val="20"/>
        </w:rPr>
        <w:t>Virtual Data Room (VDR) administration</w:t>
      </w:r>
      <w:r w:rsidR="00C65BA2" w:rsidRPr="007D2A51">
        <w:rPr>
          <w:rFonts w:cs="Arial"/>
          <w:bCs/>
          <w:sz w:val="20"/>
          <w:szCs w:val="20"/>
        </w:rPr>
        <w:t xml:space="preserve"> and </w:t>
      </w:r>
      <w:r w:rsidR="00C65BA2" w:rsidRPr="007D2A51">
        <w:rPr>
          <w:rFonts w:cs="Arial"/>
          <w:b/>
          <w:bCs/>
          <w:sz w:val="20"/>
          <w:szCs w:val="20"/>
        </w:rPr>
        <w:t>Quality of Earnings (QoE) integration</w:t>
      </w:r>
      <w:r w:rsidR="00C65BA2" w:rsidRPr="007D2A51">
        <w:rPr>
          <w:rFonts w:cs="Arial"/>
          <w:bCs/>
          <w:sz w:val="20"/>
          <w:szCs w:val="20"/>
        </w:rPr>
        <w:t xml:space="preserve"> across </w:t>
      </w:r>
      <w:r w:rsidR="00C65BA2" w:rsidRPr="007D2A51">
        <w:rPr>
          <w:rFonts w:cs="Arial"/>
          <w:b/>
          <w:bCs/>
          <w:sz w:val="20"/>
          <w:szCs w:val="20"/>
        </w:rPr>
        <w:t>carve-outs and divestitures</w:t>
      </w:r>
      <w:r w:rsidR="00C65BA2" w:rsidRPr="007D2A51">
        <w:rPr>
          <w:rFonts w:cs="Arial"/>
          <w:bCs/>
          <w:sz w:val="20"/>
          <w:szCs w:val="20"/>
        </w:rPr>
        <w:t xml:space="preserve">, while negotiating </w:t>
      </w:r>
      <w:r w:rsidR="00C65BA2" w:rsidRPr="007D2A51">
        <w:rPr>
          <w:rFonts w:cs="Arial"/>
          <w:b/>
          <w:bCs/>
          <w:sz w:val="20"/>
          <w:szCs w:val="20"/>
        </w:rPr>
        <w:t>working capital adjustments</w:t>
      </w:r>
      <w:r w:rsidR="00C65BA2" w:rsidRPr="007D2A51">
        <w:rPr>
          <w:rFonts w:cs="Arial"/>
          <w:bCs/>
          <w:sz w:val="20"/>
          <w:szCs w:val="20"/>
        </w:rPr>
        <w:t xml:space="preserve">, </w:t>
      </w:r>
      <w:r w:rsidR="00C65BA2" w:rsidRPr="007D2A51">
        <w:rPr>
          <w:rFonts w:cs="Arial"/>
          <w:b/>
          <w:bCs/>
          <w:sz w:val="20"/>
          <w:szCs w:val="20"/>
        </w:rPr>
        <w:t>earnouts</w:t>
      </w:r>
      <w:r w:rsidR="00C65BA2" w:rsidRPr="007D2A51">
        <w:rPr>
          <w:rFonts w:cs="Arial"/>
          <w:bCs/>
          <w:sz w:val="20"/>
          <w:szCs w:val="20"/>
        </w:rPr>
        <w:t xml:space="preserve">, and </w:t>
      </w:r>
      <w:r w:rsidR="00C65BA2" w:rsidRPr="007D2A51">
        <w:rPr>
          <w:rFonts w:cs="Arial"/>
          <w:b/>
          <w:bCs/>
          <w:sz w:val="20"/>
          <w:szCs w:val="20"/>
        </w:rPr>
        <w:t>definitive purchase agreements (SPA/APA)</w:t>
      </w:r>
      <w:r w:rsidR="00C65BA2" w:rsidRPr="007D2A51">
        <w:rPr>
          <w:rFonts w:cs="Arial"/>
          <w:bCs/>
          <w:sz w:val="20"/>
          <w:szCs w:val="20"/>
        </w:rPr>
        <w:t xml:space="preserve">. </w:t>
      </w:r>
    </w:p>
    <w:p w14:paraId="47ADE638" w14:textId="77777777" w:rsidR="00333CDF" w:rsidRPr="007D2A51" w:rsidRDefault="00000000">
      <w:pPr>
        <w:pStyle w:val="Heading1"/>
        <w:rPr>
          <w:rFonts w:ascii="Arial" w:hAnsi="Arial" w:cs="Arial"/>
          <w:b w:val="0"/>
          <w:szCs w:val="20"/>
        </w:rPr>
      </w:pPr>
      <w:r w:rsidRPr="007D2A51">
        <w:rPr>
          <w:rFonts w:ascii="Arial" w:hAnsi="Arial" w:cs="Arial"/>
          <w:b w:val="0"/>
          <w:szCs w:val="20"/>
        </w:rPr>
        <w:t>EDUCATION</w:t>
      </w:r>
    </w:p>
    <w:p w14:paraId="7565DB9D" w14:textId="77777777" w:rsidR="00333CDF" w:rsidRPr="007D2A5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Master of Business Administration, Strategy, Technology and Operations</w:t>
      </w:r>
    </w:p>
    <w:p w14:paraId="5FA71E1A" w14:textId="77777777" w:rsidR="00333CDF" w:rsidRPr="007D2A51" w:rsidRDefault="00000000">
      <w:pPr>
        <w:spacing w:after="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>University of Michigan, Stephen M. Ross School of Business | 2022 - 2024</w:t>
      </w:r>
    </w:p>
    <w:p w14:paraId="293AC641" w14:textId="77777777" w:rsidR="00333CDF" w:rsidRPr="007D2A51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Executive Coursework, Economics, Markets and Public Policy</w:t>
      </w:r>
    </w:p>
    <w:p w14:paraId="4ED47A4A" w14:textId="77777777" w:rsidR="00333CDF" w:rsidRPr="007D2A51" w:rsidRDefault="00000000">
      <w:pPr>
        <w:spacing w:after="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>London School of Economics and Political Science | 2024</w:t>
      </w:r>
    </w:p>
    <w:p w14:paraId="48643815" w14:textId="77777777" w:rsidR="00333CDF" w:rsidRPr="007D2A51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sz w:val="20"/>
          <w:szCs w:val="20"/>
        </w:rPr>
        <w:t>Bachelor of Technology, Computer Science and Engineering</w:t>
      </w:r>
    </w:p>
    <w:p w14:paraId="47C8573E" w14:textId="77777777" w:rsidR="00333CDF" w:rsidRPr="007D2A51" w:rsidRDefault="00000000">
      <w:pPr>
        <w:spacing w:after="4"/>
        <w:rPr>
          <w:rFonts w:cs="Arial"/>
          <w:bCs/>
          <w:sz w:val="20"/>
          <w:szCs w:val="20"/>
        </w:rPr>
      </w:pPr>
      <w:r w:rsidRPr="007D2A51">
        <w:rPr>
          <w:rFonts w:cs="Arial"/>
          <w:bCs/>
          <w:color w:val="4A4A4A"/>
          <w:sz w:val="20"/>
          <w:szCs w:val="20"/>
        </w:rPr>
        <w:t>Indian Institute of Technology | 2010 - 2014</w:t>
      </w:r>
    </w:p>
    <w:sectPr w:rsidR="00333CDF" w:rsidRPr="007D2A51" w:rsidSect="007D2A51">
      <w:headerReference w:type="default" r:id="rId9"/>
      <w:footerReference w:type="default" r:id="rId10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318D9" w14:textId="77777777" w:rsidR="007B1604" w:rsidRDefault="007B1604">
      <w:pPr>
        <w:spacing w:after="0"/>
      </w:pPr>
      <w:r>
        <w:separator/>
      </w:r>
    </w:p>
  </w:endnote>
  <w:endnote w:type="continuationSeparator" w:id="0">
    <w:p w14:paraId="29F66FA7" w14:textId="77777777" w:rsidR="007B1604" w:rsidRDefault="007B16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E8EE" w14:textId="77777777" w:rsidR="00333CDF" w:rsidRDefault="00333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BEE60" w14:textId="77777777" w:rsidR="007B1604" w:rsidRDefault="007B1604">
      <w:pPr>
        <w:spacing w:after="0"/>
      </w:pPr>
      <w:r>
        <w:separator/>
      </w:r>
    </w:p>
  </w:footnote>
  <w:footnote w:type="continuationSeparator" w:id="0">
    <w:p w14:paraId="3E7FF7AC" w14:textId="77777777" w:rsidR="007B1604" w:rsidRDefault="007B16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E7B2" w14:textId="77777777" w:rsidR="00333CDF" w:rsidRDefault="00333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032363">
    <w:abstractNumId w:val="8"/>
  </w:num>
  <w:num w:numId="2" w16cid:durableId="2125541172">
    <w:abstractNumId w:val="6"/>
  </w:num>
  <w:num w:numId="3" w16cid:durableId="1345208971">
    <w:abstractNumId w:val="5"/>
  </w:num>
  <w:num w:numId="4" w16cid:durableId="683021858">
    <w:abstractNumId w:val="4"/>
  </w:num>
  <w:num w:numId="5" w16cid:durableId="106966599">
    <w:abstractNumId w:val="7"/>
  </w:num>
  <w:num w:numId="6" w16cid:durableId="1249465126">
    <w:abstractNumId w:val="3"/>
  </w:num>
  <w:num w:numId="7" w16cid:durableId="995650622">
    <w:abstractNumId w:val="2"/>
  </w:num>
  <w:num w:numId="8" w16cid:durableId="389690307">
    <w:abstractNumId w:val="1"/>
  </w:num>
  <w:num w:numId="9" w16cid:durableId="177952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C00"/>
    <w:rsid w:val="00034616"/>
    <w:rsid w:val="0006063C"/>
    <w:rsid w:val="0015074B"/>
    <w:rsid w:val="0029639D"/>
    <w:rsid w:val="00326F90"/>
    <w:rsid w:val="00333CDF"/>
    <w:rsid w:val="00517F9E"/>
    <w:rsid w:val="0053686D"/>
    <w:rsid w:val="00581AD4"/>
    <w:rsid w:val="00636DE8"/>
    <w:rsid w:val="0066527D"/>
    <w:rsid w:val="00760A5C"/>
    <w:rsid w:val="007B1604"/>
    <w:rsid w:val="007D2A51"/>
    <w:rsid w:val="008A2DC0"/>
    <w:rsid w:val="0093396C"/>
    <w:rsid w:val="00AA1D8D"/>
    <w:rsid w:val="00B47730"/>
    <w:rsid w:val="00C65BA2"/>
    <w:rsid w:val="00CB0664"/>
    <w:rsid w:val="00E17B85"/>
    <w:rsid w:val="00F01DBA"/>
    <w:rsid w:val="00F02280"/>
    <w:rsid w:val="00FC693F"/>
    <w:rsid w:val="00F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F3F39"/>
  <w14:defaultImageDpi w14:val="300"/>
  <w15:docId w15:val="{64C49A5D-69AA-4C1D-BD3C-7E4C95BB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7324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beastofbayare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Singh - Corpdev Ma Resume</dc:title>
  <dc:subject>ATS-optimized professional resume</dc:subject>
  <dc:creator>Shivam Singh</dc:creator>
  <cp:keywords>resume, ATS</cp:keywords>
  <dc:description/>
  <cp:lastModifiedBy>Shivam Singh</cp:lastModifiedBy>
  <cp:revision>7</cp:revision>
  <dcterms:created xsi:type="dcterms:W3CDTF">2013-12-23T23:15:00Z</dcterms:created>
  <dcterms:modified xsi:type="dcterms:W3CDTF">2026-08-11T20:53:00Z</dcterms:modified>
  <cp:category/>
</cp:coreProperties>
</file>