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5C9C" w14:textId="77777777" w:rsidR="00A437D7" w:rsidRPr="00083D3E" w:rsidRDefault="00A437D7" w:rsidP="00A437D7">
      <w:pPr>
        <w:spacing w:after="4"/>
        <w:jc w:val="center"/>
        <w:rPr>
          <w:rFonts w:cs="Arial"/>
          <w:b/>
          <w:bCs/>
          <w:color w:val="17324D"/>
          <w:sz w:val="20"/>
          <w:szCs w:val="20"/>
        </w:rPr>
      </w:pPr>
      <w:r w:rsidRPr="00083D3E">
        <w:rPr>
          <w:rFonts w:cs="Arial"/>
          <w:b/>
          <w:bCs/>
          <w:color w:val="17324D"/>
          <w:sz w:val="20"/>
          <w:szCs w:val="20"/>
        </w:rPr>
        <w:t>Shivam Singh</w:t>
      </w:r>
    </w:p>
    <w:p w14:paraId="7767B309" w14:textId="77777777" w:rsidR="00FE650C" w:rsidRPr="00083D3E" w:rsidRDefault="00000000">
      <w:pPr>
        <w:spacing w:after="4"/>
        <w:jc w:val="center"/>
        <w:rPr>
          <w:rFonts w:cs="Arial"/>
          <w:sz w:val="20"/>
          <w:szCs w:val="20"/>
        </w:rPr>
      </w:pPr>
      <w:r w:rsidRPr="00083D3E">
        <w:rPr>
          <w:rFonts w:cs="Arial"/>
          <w:color w:val="4A4A4A"/>
          <w:sz w:val="20"/>
          <w:szCs w:val="20"/>
        </w:rPr>
        <w:t>San Francisco, California, United States</w:t>
      </w:r>
    </w:p>
    <w:p w14:paraId="604C5AA1" w14:textId="77777777" w:rsidR="00FE650C" w:rsidRPr="00083D3E" w:rsidRDefault="00000000">
      <w:pPr>
        <w:spacing w:after="4"/>
        <w:jc w:val="center"/>
        <w:rPr>
          <w:rFonts w:cs="Arial"/>
          <w:sz w:val="20"/>
          <w:szCs w:val="20"/>
        </w:rPr>
      </w:pPr>
      <w:r w:rsidRPr="00083D3E">
        <w:rPr>
          <w:rFonts w:cs="Arial"/>
          <w:color w:val="4A4A4A"/>
          <w:sz w:val="20"/>
          <w:szCs w:val="20"/>
        </w:rPr>
        <w:t>Phone: +1 202-630-3211 | Email: shiv-growth-mkt@umich.edu</w:t>
      </w:r>
    </w:p>
    <w:p w14:paraId="6C3DA954" w14:textId="77777777" w:rsidR="00FE650C" w:rsidRPr="00083D3E" w:rsidRDefault="00000000">
      <w:pPr>
        <w:spacing w:after="40"/>
        <w:jc w:val="center"/>
        <w:rPr>
          <w:rFonts w:cs="Arial"/>
          <w:sz w:val="20"/>
          <w:szCs w:val="20"/>
        </w:rPr>
      </w:pPr>
      <w:r w:rsidRPr="00083D3E">
        <w:rPr>
          <w:rFonts w:cs="Arial"/>
          <w:color w:val="4A4A4A"/>
          <w:sz w:val="20"/>
          <w:szCs w:val="20"/>
        </w:rPr>
        <w:t xml:space="preserve">LinkedIn: </w:t>
      </w:r>
      <w:hyperlink r:id="rId8">
        <w:r w:rsidR="00FE650C" w:rsidRPr="00083D3E">
          <w:rPr>
            <w:rFonts w:cs="Arial"/>
            <w:color w:val="4A4A4A"/>
            <w:sz w:val="20"/>
            <w:szCs w:val="20"/>
            <w:u w:val="single"/>
          </w:rPr>
          <w:t>https://linkedin.com/in/beastofbayarea</w:t>
        </w:r>
      </w:hyperlink>
    </w:p>
    <w:p w14:paraId="745FCC6B" w14:textId="6FA7ED21" w:rsidR="00BB0F45" w:rsidRPr="00083D3E" w:rsidRDefault="00231808" w:rsidP="00BB0F45">
      <w:pPr>
        <w:spacing w:after="0"/>
        <w:jc w:val="center"/>
        <w:rPr>
          <w:rFonts w:cs="Arial"/>
          <w:sz w:val="20"/>
          <w:szCs w:val="20"/>
        </w:rPr>
      </w:pPr>
      <w:r w:rsidRPr="00083D3E">
        <w:rPr>
          <w:rFonts w:cs="Arial"/>
          <w:b/>
          <w:bCs/>
          <w:color w:val="17324D"/>
          <w:sz w:val="20"/>
          <w:szCs w:val="20"/>
        </w:rPr>
        <w:t>Website</w:t>
      </w:r>
      <w:r w:rsidR="00BB0F45" w:rsidRPr="00083D3E">
        <w:rPr>
          <w:rFonts w:cs="Arial"/>
          <w:b/>
          <w:color w:val="17324D"/>
          <w:sz w:val="20"/>
          <w:szCs w:val="20"/>
        </w:rPr>
        <w:t xml:space="preserve">: </w:t>
      </w:r>
      <w:hyperlink r:id="rId9">
        <w:r w:rsidR="00BB0F45" w:rsidRPr="00083D3E">
          <w:rPr>
            <w:rFonts w:cs="Arial"/>
            <w:color w:val="4A4A4A"/>
            <w:sz w:val="20"/>
            <w:szCs w:val="20"/>
            <w:u w:val="single"/>
          </w:rPr>
          <w:t>https://x.com/BeastofBayArea</w:t>
        </w:r>
      </w:hyperlink>
    </w:p>
    <w:p w14:paraId="3683ABBA" w14:textId="77777777" w:rsidR="00BB0F45" w:rsidRPr="00083D3E" w:rsidRDefault="00BB0F45">
      <w:pPr>
        <w:spacing w:after="40"/>
        <w:jc w:val="center"/>
        <w:rPr>
          <w:rFonts w:cs="Arial"/>
          <w:sz w:val="20"/>
          <w:szCs w:val="20"/>
        </w:rPr>
      </w:pPr>
    </w:p>
    <w:p w14:paraId="1495E95D" w14:textId="77777777" w:rsidR="00FE650C" w:rsidRPr="00083D3E" w:rsidRDefault="00000000">
      <w:pPr>
        <w:pStyle w:val="Heading1"/>
        <w:rPr>
          <w:rFonts w:ascii="Arial" w:hAnsi="Arial" w:cs="Arial"/>
          <w:szCs w:val="20"/>
        </w:rPr>
      </w:pPr>
      <w:r w:rsidRPr="00083D3E">
        <w:rPr>
          <w:rFonts w:ascii="Arial" w:hAnsi="Arial" w:cs="Arial"/>
          <w:szCs w:val="20"/>
        </w:rPr>
        <w:t>PROFESSIONAL SUMMARY</w:t>
      </w:r>
    </w:p>
    <w:p w14:paraId="56265359" w14:textId="77777777" w:rsidR="00FE650C" w:rsidRPr="00083D3E" w:rsidRDefault="00000000">
      <w:pPr>
        <w:rPr>
          <w:rFonts w:cs="Arial"/>
          <w:sz w:val="20"/>
          <w:szCs w:val="20"/>
        </w:rPr>
      </w:pPr>
      <w:r w:rsidRPr="00083D3E">
        <w:rPr>
          <w:rFonts w:cs="Arial"/>
          <w:sz w:val="20"/>
          <w:szCs w:val="20"/>
        </w:rPr>
        <w:t>Growth leader with 12+ years of experience spanning product-led growth, acquisition, activation, retention, conversion, and international expansion across AI, commerce, and FinTech. Uses experimentation, behavioral telemetry, cohort analysis, and unit economics to drive adoption and revenue.</w:t>
      </w:r>
    </w:p>
    <w:p w14:paraId="175870E0" w14:textId="77777777" w:rsidR="00FE650C" w:rsidRPr="00083D3E" w:rsidRDefault="00000000">
      <w:pPr>
        <w:pStyle w:val="Heading1"/>
        <w:rPr>
          <w:rFonts w:ascii="Arial" w:hAnsi="Arial" w:cs="Arial"/>
          <w:szCs w:val="20"/>
        </w:rPr>
      </w:pPr>
      <w:r w:rsidRPr="00083D3E">
        <w:rPr>
          <w:rFonts w:ascii="Arial" w:hAnsi="Arial" w:cs="Arial"/>
          <w:szCs w:val="20"/>
        </w:rPr>
        <w:t>CORE SKILLS</w:t>
      </w:r>
    </w:p>
    <w:p w14:paraId="36EEF84C" w14:textId="77777777" w:rsidR="00FE650C" w:rsidRPr="00083D3E" w:rsidRDefault="00000000">
      <w:pPr>
        <w:spacing w:after="8"/>
        <w:rPr>
          <w:rFonts w:cs="Arial"/>
          <w:sz w:val="20"/>
          <w:szCs w:val="20"/>
        </w:rPr>
      </w:pPr>
      <w:r w:rsidRPr="00083D3E">
        <w:rPr>
          <w:rFonts w:cs="Arial"/>
          <w:b/>
          <w:color w:val="17324D"/>
          <w:sz w:val="20"/>
          <w:szCs w:val="20"/>
        </w:rPr>
        <w:t xml:space="preserve">Growth and Channels: </w:t>
      </w:r>
      <w:r w:rsidRPr="00083D3E">
        <w:rPr>
          <w:rFonts w:cs="Arial"/>
          <w:sz w:val="20"/>
          <w:szCs w:val="20"/>
        </w:rPr>
        <w:t>Growth marketing, product-led growth (PLG), referral marketing, affiliate marketing, email marketing, push notifications, user acquisition</w:t>
      </w:r>
    </w:p>
    <w:p w14:paraId="08B85AEC" w14:textId="780BFC5D" w:rsidR="00FE650C" w:rsidRPr="00083D3E" w:rsidRDefault="00000000">
      <w:pPr>
        <w:spacing w:after="8"/>
        <w:rPr>
          <w:rFonts w:cs="Arial"/>
          <w:sz w:val="20"/>
          <w:szCs w:val="20"/>
        </w:rPr>
      </w:pPr>
      <w:r w:rsidRPr="00083D3E">
        <w:rPr>
          <w:rFonts w:cs="Arial"/>
          <w:b/>
          <w:color w:val="17324D"/>
          <w:sz w:val="20"/>
          <w:szCs w:val="20"/>
        </w:rPr>
        <w:t xml:space="preserve">Measurement: </w:t>
      </w:r>
      <w:r w:rsidRPr="00083D3E">
        <w:rPr>
          <w:rFonts w:cs="Arial"/>
          <w:sz w:val="20"/>
          <w:szCs w:val="20"/>
        </w:rPr>
        <w:t>Marketing mix modeling (MMM), incrementality testing, cohort analysis, geo-lift analysis, behavioral telemetry, attribution, experimentation</w:t>
      </w:r>
      <w:r w:rsidR="00DF164B" w:rsidRPr="00083D3E">
        <w:rPr>
          <w:rFonts w:cs="Arial"/>
          <w:sz w:val="20"/>
          <w:szCs w:val="20"/>
        </w:rPr>
        <w:t>, Customer acquisition cost (CAC), CAC payback, lifetime value (LTV), LTV-to-CAC, net revenue retention (NRR), ABM, HubSpot, lead routing</w:t>
      </w:r>
    </w:p>
    <w:p w14:paraId="3786BD30" w14:textId="4BC79B03" w:rsidR="00FE650C" w:rsidRPr="00083D3E" w:rsidRDefault="00000000">
      <w:pPr>
        <w:spacing w:after="8"/>
        <w:rPr>
          <w:rFonts w:cs="Arial"/>
          <w:sz w:val="20"/>
          <w:szCs w:val="20"/>
        </w:rPr>
      </w:pPr>
      <w:r w:rsidRPr="00083D3E">
        <w:rPr>
          <w:rFonts w:cs="Arial"/>
          <w:b/>
          <w:color w:val="17324D"/>
          <w:sz w:val="20"/>
          <w:szCs w:val="20"/>
        </w:rPr>
        <w:t xml:space="preserve">Conversion and Lifecycle: </w:t>
      </w:r>
      <w:r w:rsidRPr="00083D3E">
        <w:rPr>
          <w:rFonts w:cs="Arial"/>
          <w:sz w:val="20"/>
          <w:szCs w:val="20"/>
        </w:rPr>
        <w:t>Landing page optimization, conversion copywriting, activation, lifecycle marketing, retention, conversion optimization</w:t>
      </w:r>
    </w:p>
    <w:p w14:paraId="47149DA6" w14:textId="77777777" w:rsidR="00FE650C" w:rsidRPr="00083D3E" w:rsidRDefault="00000000">
      <w:pPr>
        <w:pStyle w:val="Heading1"/>
        <w:rPr>
          <w:rFonts w:ascii="Arial" w:hAnsi="Arial" w:cs="Arial"/>
          <w:szCs w:val="20"/>
        </w:rPr>
      </w:pPr>
      <w:r w:rsidRPr="00083D3E">
        <w:rPr>
          <w:rFonts w:ascii="Arial" w:hAnsi="Arial" w:cs="Arial"/>
          <w:szCs w:val="20"/>
        </w:rPr>
        <w:t>PROFESSIONAL EXPERIENCE</w:t>
      </w:r>
    </w:p>
    <w:p w14:paraId="7CF0C085" w14:textId="77777777" w:rsidR="00FE650C" w:rsidRPr="00083D3E" w:rsidRDefault="00000000">
      <w:pPr>
        <w:keepNext/>
        <w:spacing w:after="0"/>
        <w:rPr>
          <w:rFonts w:cs="Arial"/>
          <w:sz w:val="20"/>
          <w:szCs w:val="20"/>
        </w:rPr>
      </w:pPr>
      <w:r w:rsidRPr="00083D3E">
        <w:rPr>
          <w:rFonts w:cs="Arial"/>
          <w:b/>
          <w:color w:val="17324D"/>
          <w:sz w:val="20"/>
          <w:szCs w:val="20"/>
        </w:rPr>
        <w:t>Amazon Web Services (AWS)</w:t>
      </w:r>
    </w:p>
    <w:p w14:paraId="3B1698A4" w14:textId="77777777" w:rsidR="00FE650C" w:rsidRPr="00083D3E" w:rsidRDefault="00000000">
      <w:pPr>
        <w:keepNext/>
        <w:spacing w:after="0"/>
        <w:rPr>
          <w:rFonts w:cs="Arial"/>
          <w:sz w:val="20"/>
          <w:szCs w:val="20"/>
        </w:rPr>
      </w:pPr>
      <w:r w:rsidRPr="00083D3E">
        <w:rPr>
          <w:rFonts w:cs="Arial"/>
          <w:b/>
          <w:sz w:val="20"/>
          <w:szCs w:val="20"/>
        </w:rPr>
        <w:t>Senior Growth Strategy and Product-Led Adoption Lead</w:t>
      </w:r>
    </w:p>
    <w:p w14:paraId="6CEA9BD3" w14:textId="77777777" w:rsidR="00FE650C" w:rsidRPr="00083D3E" w:rsidRDefault="00000000">
      <w:pPr>
        <w:keepNext/>
        <w:spacing w:after="4"/>
        <w:rPr>
          <w:rFonts w:cs="Arial"/>
          <w:sz w:val="20"/>
          <w:szCs w:val="20"/>
        </w:rPr>
      </w:pPr>
      <w:r w:rsidRPr="00083D3E">
        <w:rPr>
          <w:rFonts w:cs="Arial"/>
          <w:color w:val="4A4A4A"/>
          <w:sz w:val="20"/>
          <w:szCs w:val="20"/>
        </w:rPr>
        <w:t>San Francisco, California, United States | July 2024 - Present</w:t>
      </w:r>
    </w:p>
    <w:p w14:paraId="7F68DC18" w14:textId="77777777" w:rsidR="00FE650C" w:rsidRPr="00083D3E" w:rsidRDefault="00000000">
      <w:pPr>
        <w:spacing w:after="24"/>
        <w:rPr>
          <w:rFonts w:cs="Arial"/>
          <w:sz w:val="20"/>
          <w:szCs w:val="20"/>
        </w:rPr>
      </w:pPr>
      <w:r w:rsidRPr="00083D3E">
        <w:rPr>
          <w:rFonts w:cs="Arial"/>
          <w:sz w:val="20"/>
          <w:szCs w:val="20"/>
        </w:rPr>
        <w:t>Owned product-led adoption strategy for an agentic AI shopping experience using customer research, behavioral telemetry, and experimentation. Ran experiments that reached 25% adoption, increased brand favorability from 55% to 70%, and lifted session depth by 15%.</w:t>
      </w:r>
    </w:p>
    <w:p w14:paraId="74D07B07" w14:textId="77777777" w:rsidR="00FE650C" w:rsidRPr="00083D3E" w:rsidRDefault="00000000">
      <w:pPr>
        <w:keepNext/>
        <w:spacing w:before="28" w:after="0"/>
        <w:rPr>
          <w:rFonts w:cs="Arial"/>
          <w:sz w:val="20"/>
          <w:szCs w:val="20"/>
        </w:rPr>
      </w:pPr>
      <w:r w:rsidRPr="00083D3E">
        <w:rPr>
          <w:rFonts w:cs="Arial"/>
          <w:b/>
          <w:color w:val="17324D"/>
          <w:sz w:val="20"/>
          <w:szCs w:val="20"/>
        </w:rPr>
        <w:t>Rakuten Group, Inc.</w:t>
      </w:r>
    </w:p>
    <w:p w14:paraId="7D0CB48C" w14:textId="77777777" w:rsidR="00FE650C" w:rsidRPr="00083D3E" w:rsidRDefault="00000000">
      <w:pPr>
        <w:keepNext/>
        <w:spacing w:after="0"/>
        <w:rPr>
          <w:rFonts w:cs="Arial"/>
          <w:sz w:val="20"/>
          <w:szCs w:val="20"/>
        </w:rPr>
      </w:pPr>
      <w:r w:rsidRPr="00083D3E">
        <w:rPr>
          <w:rFonts w:cs="Arial"/>
          <w:b/>
          <w:sz w:val="20"/>
          <w:szCs w:val="20"/>
        </w:rPr>
        <w:t>Growth and International Expansion - MBA Intern</w:t>
      </w:r>
    </w:p>
    <w:p w14:paraId="6B776C8C" w14:textId="77777777" w:rsidR="00FE650C" w:rsidRPr="00083D3E" w:rsidRDefault="00000000">
      <w:pPr>
        <w:keepNext/>
        <w:spacing w:after="4"/>
        <w:rPr>
          <w:rFonts w:cs="Arial"/>
          <w:sz w:val="20"/>
          <w:szCs w:val="20"/>
        </w:rPr>
      </w:pPr>
      <w:r w:rsidRPr="00083D3E">
        <w:rPr>
          <w:rFonts w:cs="Arial"/>
          <w:color w:val="4A4A4A"/>
          <w:sz w:val="20"/>
          <w:szCs w:val="20"/>
        </w:rPr>
        <w:t>Tokyo, Japan | June 2023 - December 2023</w:t>
      </w:r>
    </w:p>
    <w:p w14:paraId="5F8C2347" w14:textId="77777777" w:rsidR="00FE650C" w:rsidRPr="00083D3E" w:rsidRDefault="00000000">
      <w:pPr>
        <w:spacing w:after="24"/>
        <w:rPr>
          <w:rFonts w:cs="Arial"/>
          <w:sz w:val="20"/>
          <w:szCs w:val="20"/>
        </w:rPr>
      </w:pPr>
      <w:r w:rsidRPr="00083D3E">
        <w:rPr>
          <w:rFonts w:cs="Arial"/>
          <w:sz w:val="20"/>
          <w:szCs w:val="20"/>
        </w:rPr>
        <w:t>Built international go-to-market, market-entry, and localization patterns across Asia-Pacific (APAC). Reframed a consumer launch using cohort and geo-lift analysis, reducing CAC from $42 to $8.50, improving LTV-to-CAC from 0.8 to 4.5, and increasing day-30 retention from 34% to 67%.</w:t>
      </w:r>
    </w:p>
    <w:p w14:paraId="1E3254B4" w14:textId="77777777" w:rsidR="00FE650C" w:rsidRPr="00083D3E" w:rsidRDefault="00000000">
      <w:pPr>
        <w:keepNext/>
        <w:spacing w:before="28" w:after="0"/>
        <w:rPr>
          <w:rFonts w:cs="Arial"/>
          <w:sz w:val="20"/>
          <w:szCs w:val="20"/>
        </w:rPr>
      </w:pPr>
      <w:r w:rsidRPr="00083D3E">
        <w:rPr>
          <w:rFonts w:cs="Arial"/>
          <w:b/>
          <w:color w:val="17324D"/>
          <w:sz w:val="20"/>
          <w:szCs w:val="20"/>
        </w:rPr>
        <w:t>Microsoft Corporation</w:t>
      </w:r>
    </w:p>
    <w:p w14:paraId="0BE8452D" w14:textId="77777777" w:rsidR="00FE650C" w:rsidRPr="00083D3E" w:rsidRDefault="00000000">
      <w:pPr>
        <w:keepNext/>
        <w:spacing w:after="0"/>
        <w:rPr>
          <w:rFonts w:cs="Arial"/>
          <w:sz w:val="20"/>
          <w:szCs w:val="20"/>
        </w:rPr>
      </w:pPr>
      <w:r w:rsidRPr="00083D3E">
        <w:rPr>
          <w:rFonts w:cs="Arial"/>
          <w:b/>
          <w:sz w:val="20"/>
          <w:szCs w:val="20"/>
        </w:rPr>
        <w:t>Senior Growth and Lifecycle Marketing Lead - Activation, Retention and PLG</w:t>
      </w:r>
    </w:p>
    <w:p w14:paraId="68B28345" w14:textId="77777777" w:rsidR="00FE650C" w:rsidRPr="00083D3E" w:rsidRDefault="00000000">
      <w:pPr>
        <w:keepNext/>
        <w:spacing w:after="4"/>
        <w:rPr>
          <w:rFonts w:cs="Arial"/>
          <w:sz w:val="20"/>
          <w:szCs w:val="20"/>
        </w:rPr>
      </w:pPr>
      <w:r w:rsidRPr="00083D3E">
        <w:rPr>
          <w:rFonts w:cs="Arial"/>
          <w:color w:val="4A4A4A"/>
          <w:sz w:val="20"/>
          <w:szCs w:val="20"/>
        </w:rPr>
        <w:t>Redmond, Washington, United States | January 2020 - August 2022</w:t>
      </w:r>
    </w:p>
    <w:p w14:paraId="2362E98D" w14:textId="77777777" w:rsidR="00FE650C" w:rsidRPr="00083D3E" w:rsidRDefault="00000000">
      <w:pPr>
        <w:spacing w:after="24"/>
        <w:rPr>
          <w:rFonts w:cs="Arial"/>
          <w:sz w:val="20"/>
          <w:szCs w:val="20"/>
        </w:rPr>
      </w:pPr>
      <w:r w:rsidRPr="00083D3E">
        <w:rPr>
          <w:rFonts w:cs="Arial"/>
          <w:sz w:val="20"/>
          <w:szCs w:val="20"/>
        </w:rPr>
        <w:t>Redesigned onboarding with product-led growth (PLG) loops and lifecycle telemetry, increasing activation by 262% and NRR from 102% to 128% while reducing churn from 14% to 6.5%. Directed global acquisition campaigns for an augmented-reality shopping application.</w:t>
      </w:r>
    </w:p>
    <w:p w14:paraId="24A686E3" w14:textId="77777777" w:rsidR="00FE650C" w:rsidRPr="00083D3E" w:rsidRDefault="00000000">
      <w:pPr>
        <w:keepNext/>
        <w:spacing w:before="28" w:after="0"/>
        <w:rPr>
          <w:rFonts w:cs="Arial"/>
          <w:sz w:val="20"/>
          <w:szCs w:val="20"/>
        </w:rPr>
      </w:pPr>
      <w:r w:rsidRPr="00083D3E">
        <w:rPr>
          <w:rFonts w:cs="Arial"/>
          <w:b/>
          <w:color w:val="17324D"/>
          <w:sz w:val="20"/>
          <w:szCs w:val="20"/>
        </w:rPr>
        <w:t>The D. E. Shaw Group</w:t>
      </w:r>
    </w:p>
    <w:p w14:paraId="239182F1" w14:textId="77777777" w:rsidR="00FE650C" w:rsidRPr="00083D3E" w:rsidRDefault="00000000">
      <w:pPr>
        <w:keepNext/>
        <w:spacing w:after="0"/>
        <w:rPr>
          <w:rFonts w:cs="Arial"/>
          <w:sz w:val="20"/>
          <w:szCs w:val="20"/>
        </w:rPr>
      </w:pPr>
      <w:r w:rsidRPr="00083D3E">
        <w:rPr>
          <w:rFonts w:cs="Arial"/>
          <w:b/>
          <w:sz w:val="20"/>
          <w:szCs w:val="20"/>
        </w:rPr>
        <w:t>Demand Generation Lead - FinTech</w:t>
      </w:r>
    </w:p>
    <w:p w14:paraId="20590E2D" w14:textId="77777777" w:rsidR="00FE650C" w:rsidRPr="00083D3E" w:rsidRDefault="00000000">
      <w:pPr>
        <w:keepNext/>
        <w:spacing w:after="4"/>
        <w:rPr>
          <w:rFonts w:cs="Arial"/>
          <w:sz w:val="20"/>
          <w:szCs w:val="20"/>
        </w:rPr>
      </w:pPr>
      <w:r w:rsidRPr="00083D3E">
        <w:rPr>
          <w:rFonts w:cs="Arial"/>
          <w:color w:val="4A4A4A"/>
          <w:sz w:val="20"/>
          <w:szCs w:val="20"/>
        </w:rPr>
        <w:t>New York, New York, United States; Hyderabad, India | July 2016 - December 2019</w:t>
      </w:r>
    </w:p>
    <w:p w14:paraId="138197C9" w14:textId="77777777" w:rsidR="00FE650C" w:rsidRPr="00083D3E" w:rsidRDefault="00000000">
      <w:pPr>
        <w:spacing w:after="24"/>
        <w:rPr>
          <w:rFonts w:cs="Arial"/>
          <w:sz w:val="20"/>
          <w:szCs w:val="20"/>
        </w:rPr>
      </w:pPr>
      <w:r w:rsidRPr="00083D3E">
        <w:rPr>
          <w:rFonts w:cs="Arial"/>
          <w:sz w:val="20"/>
          <w:szCs w:val="20"/>
        </w:rPr>
        <w:t>Scaled a neobank acquisition engine to 247,384 registered users and $34.6 million in linked assets. Built an institutional account-based marketing (ABM) and marketing-operations motion using HubSpot, Apollo, Clay, lead scoring, routing, and lifecycle handoffs.</w:t>
      </w:r>
    </w:p>
    <w:p w14:paraId="6DA8BFC6" w14:textId="77777777" w:rsidR="00FE650C" w:rsidRPr="00083D3E" w:rsidRDefault="00000000">
      <w:pPr>
        <w:keepNext/>
        <w:spacing w:before="28" w:after="0"/>
        <w:rPr>
          <w:rFonts w:cs="Arial"/>
          <w:sz w:val="20"/>
          <w:szCs w:val="20"/>
        </w:rPr>
      </w:pPr>
      <w:r w:rsidRPr="00083D3E">
        <w:rPr>
          <w:rFonts w:cs="Arial"/>
          <w:b/>
          <w:color w:val="17324D"/>
          <w:sz w:val="20"/>
          <w:szCs w:val="20"/>
        </w:rPr>
        <w:t>McKinsey &amp; Company</w:t>
      </w:r>
    </w:p>
    <w:p w14:paraId="7DD21340" w14:textId="77777777" w:rsidR="00FE650C" w:rsidRPr="00083D3E" w:rsidRDefault="00000000">
      <w:pPr>
        <w:keepNext/>
        <w:spacing w:after="0"/>
        <w:rPr>
          <w:rFonts w:cs="Arial"/>
          <w:sz w:val="20"/>
          <w:szCs w:val="20"/>
        </w:rPr>
      </w:pPr>
      <w:r w:rsidRPr="00083D3E">
        <w:rPr>
          <w:rFonts w:cs="Arial"/>
          <w:b/>
          <w:sz w:val="20"/>
          <w:szCs w:val="20"/>
        </w:rPr>
        <w:t>Business Analyst, Market Entry</w:t>
      </w:r>
    </w:p>
    <w:p w14:paraId="7F39760F" w14:textId="77777777" w:rsidR="00FE650C" w:rsidRPr="00083D3E" w:rsidRDefault="00000000">
      <w:pPr>
        <w:keepNext/>
        <w:spacing w:after="4"/>
        <w:rPr>
          <w:rFonts w:cs="Arial"/>
          <w:sz w:val="20"/>
          <w:szCs w:val="20"/>
        </w:rPr>
      </w:pPr>
      <w:r w:rsidRPr="00083D3E">
        <w:rPr>
          <w:rFonts w:cs="Arial"/>
          <w:color w:val="4A4A4A"/>
          <w:sz w:val="20"/>
          <w:szCs w:val="20"/>
        </w:rPr>
        <w:t>London, United Kingdom | July 2014 - June 2016</w:t>
      </w:r>
    </w:p>
    <w:p w14:paraId="5A73085F" w14:textId="489BF3F1" w:rsidR="00FE650C" w:rsidRPr="00083D3E" w:rsidRDefault="00000000">
      <w:pPr>
        <w:spacing w:after="24"/>
        <w:rPr>
          <w:rFonts w:cs="Arial"/>
          <w:sz w:val="20"/>
          <w:szCs w:val="20"/>
        </w:rPr>
      </w:pPr>
      <w:r w:rsidRPr="00083D3E">
        <w:rPr>
          <w:rFonts w:cs="Arial"/>
          <w:sz w:val="20"/>
          <w:szCs w:val="20"/>
        </w:rPr>
        <w:t>Designed scale-up GTM and growth strategies using segmentation, viral-loop design, and customer economics. Supported a digital-bank launch that reached 100,000 active users in 90 days with customer acquisition cost below $10.</w:t>
      </w:r>
      <w:r w:rsidR="00DF164B" w:rsidRPr="00083D3E">
        <w:rPr>
          <w:rFonts w:cs="Arial"/>
          <w:sz w:val="20"/>
          <w:szCs w:val="20"/>
        </w:rPr>
        <w:t xml:space="preserve"> Scaled paid user acquisition across </w:t>
      </w:r>
      <w:r w:rsidR="00DF164B" w:rsidRPr="00083D3E">
        <w:rPr>
          <w:rFonts w:cs="Arial"/>
          <w:b/>
          <w:bCs/>
          <w:sz w:val="20"/>
          <w:szCs w:val="20"/>
        </w:rPr>
        <w:t>paid search (Google Ads)</w:t>
      </w:r>
      <w:r w:rsidR="00DF164B" w:rsidRPr="00083D3E">
        <w:rPr>
          <w:rFonts w:cs="Arial"/>
          <w:sz w:val="20"/>
          <w:szCs w:val="20"/>
        </w:rPr>
        <w:t xml:space="preserve">, </w:t>
      </w:r>
      <w:r w:rsidR="00DF164B" w:rsidRPr="00083D3E">
        <w:rPr>
          <w:rFonts w:cs="Arial"/>
          <w:b/>
          <w:bCs/>
          <w:sz w:val="20"/>
          <w:szCs w:val="20"/>
        </w:rPr>
        <w:t>paid social (LinkedIn Ads, Meta Ads)</w:t>
      </w:r>
      <w:r w:rsidR="00DF164B" w:rsidRPr="00083D3E">
        <w:rPr>
          <w:rFonts w:cs="Arial"/>
          <w:sz w:val="20"/>
          <w:szCs w:val="20"/>
        </w:rPr>
        <w:t xml:space="preserve">, and </w:t>
      </w:r>
      <w:r w:rsidR="00DF164B" w:rsidRPr="00083D3E">
        <w:rPr>
          <w:rFonts w:cs="Arial"/>
          <w:b/>
          <w:bCs/>
          <w:sz w:val="20"/>
          <w:szCs w:val="20"/>
        </w:rPr>
        <w:t>Search Engine Optimization (SEO)</w:t>
      </w:r>
      <w:r w:rsidR="00DF164B" w:rsidRPr="00083D3E">
        <w:rPr>
          <w:rFonts w:cs="Arial"/>
          <w:sz w:val="20"/>
          <w:szCs w:val="20"/>
        </w:rPr>
        <w:t xml:space="preserve"> while applying </w:t>
      </w:r>
      <w:r w:rsidR="00DF164B" w:rsidRPr="00083D3E">
        <w:rPr>
          <w:rFonts w:cs="Arial"/>
          <w:b/>
          <w:bCs/>
          <w:sz w:val="20"/>
          <w:szCs w:val="20"/>
        </w:rPr>
        <w:t>conversion rate optimization (CRO) frameworks</w:t>
      </w:r>
      <w:r w:rsidR="00DF164B" w:rsidRPr="00083D3E">
        <w:rPr>
          <w:rFonts w:cs="Arial"/>
          <w:sz w:val="20"/>
          <w:szCs w:val="20"/>
        </w:rPr>
        <w:t xml:space="preserve">, </w:t>
      </w:r>
      <w:r w:rsidR="00DF164B" w:rsidRPr="00083D3E">
        <w:rPr>
          <w:rFonts w:cs="Arial"/>
          <w:b/>
          <w:bCs/>
          <w:sz w:val="20"/>
          <w:szCs w:val="20"/>
        </w:rPr>
        <w:t>virality K-factor</w:t>
      </w:r>
      <w:r w:rsidR="00DF164B" w:rsidRPr="00083D3E">
        <w:rPr>
          <w:rFonts w:cs="Arial"/>
          <w:sz w:val="20"/>
          <w:szCs w:val="20"/>
        </w:rPr>
        <w:t xml:space="preserve"> loops, and </w:t>
      </w:r>
      <w:r w:rsidR="00DF164B" w:rsidRPr="00083D3E">
        <w:rPr>
          <w:rFonts w:cs="Arial"/>
          <w:b/>
          <w:bCs/>
          <w:sz w:val="20"/>
          <w:szCs w:val="20"/>
        </w:rPr>
        <w:t>retention lifecycle messaging (Braze, Customer.io)</w:t>
      </w:r>
      <w:r w:rsidR="00DF164B" w:rsidRPr="00083D3E">
        <w:rPr>
          <w:rFonts w:cs="Arial"/>
          <w:sz w:val="20"/>
          <w:szCs w:val="20"/>
        </w:rPr>
        <w:t xml:space="preserve">. </w:t>
      </w:r>
    </w:p>
    <w:p w14:paraId="0A150626" w14:textId="77777777" w:rsidR="00FE650C" w:rsidRPr="00083D3E" w:rsidRDefault="00000000">
      <w:pPr>
        <w:pStyle w:val="Heading1"/>
        <w:rPr>
          <w:rFonts w:ascii="Arial" w:hAnsi="Arial" w:cs="Arial"/>
          <w:szCs w:val="20"/>
        </w:rPr>
      </w:pPr>
      <w:r w:rsidRPr="00083D3E">
        <w:rPr>
          <w:rFonts w:ascii="Arial" w:hAnsi="Arial" w:cs="Arial"/>
          <w:szCs w:val="20"/>
        </w:rPr>
        <w:t>EDUCATION</w:t>
      </w:r>
    </w:p>
    <w:p w14:paraId="639986EA" w14:textId="77777777" w:rsidR="00FE650C" w:rsidRPr="00083D3E" w:rsidRDefault="00000000">
      <w:pPr>
        <w:keepNext/>
        <w:spacing w:after="0"/>
        <w:rPr>
          <w:rFonts w:cs="Arial"/>
          <w:sz w:val="20"/>
          <w:szCs w:val="20"/>
        </w:rPr>
      </w:pPr>
      <w:r w:rsidRPr="00083D3E">
        <w:rPr>
          <w:rFonts w:cs="Arial"/>
          <w:b/>
          <w:sz w:val="20"/>
          <w:szCs w:val="20"/>
        </w:rPr>
        <w:t>Master of Business Administration, Strategy, Technology and Operations</w:t>
      </w:r>
    </w:p>
    <w:p w14:paraId="13D9B82B" w14:textId="77777777" w:rsidR="00FE650C" w:rsidRPr="00083D3E" w:rsidRDefault="00000000">
      <w:pPr>
        <w:spacing w:after="4"/>
        <w:rPr>
          <w:rFonts w:cs="Arial"/>
          <w:sz w:val="20"/>
          <w:szCs w:val="20"/>
        </w:rPr>
      </w:pPr>
      <w:r w:rsidRPr="00083D3E">
        <w:rPr>
          <w:rFonts w:cs="Arial"/>
          <w:color w:val="4A4A4A"/>
          <w:sz w:val="20"/>
          <w:szCs w:val="20"/>
        </w:rPr>
        <w:t>University of Michigan, Stephen M. Ross School of Business | 2022 - 2024</w:t>
      </w:r>
    </w:p>
    <w:p w14:paraId="227B1873" w14:textId="77777777" w:rsidR="00FE650C" w:rsidRPr="00083D3E" w:rsidRDefault="00000000">
      <w:pPr>
        <w:keepNext/>
        <w:spacing w:before="16" w:after="0"/>
        <w:rPr>
          <w:rFonts w:cs="Arial"/>
          <w:sz w:val="20"/>
          <w:szCs w:val="20"/>
        </w:rPr>
      </w:pPr>
      <w:r w:rsidRPr="00083D3E">
        <w:rPr>
          <w:rFonts w:cs="Arial"/>
          <w:b/>
          <w:sz w:val="20"/>
          <w:szCs w:val="20"/>
        </w:rPr>
        <w:t>Executive Coursework, Economics, Markets and Public Policy</w:t>
      </w:r>
    </w:p>
    <w:p w14:paraId="6765AA8C" w14:textId="77777777" w:rsidR="00FE650C" w:rsidRPr="00083D3E" w:rsidRDefault="00000000">
      <w:pPr>
        <w:spacing w:after="4"/>
        <w:rPr>
          <w:rFonts w:cs="Arial"/>
          <w:sz w:val="20"/>
          <w:szCs w:val="20"/>
        </w:rPr>
      </w:pPr>
      <w:r w:rsidRPr="00083D3E">
        <w:rPr>
          <w:rFonts w:cs="Arial"/>
          <w:color w:val="4A4A4A"/>
          <w:sz w:val="20"/>
          <w:szCs w:val="20"/>
        </w:rPr>
        <w:t>London School of Economics and Political Science | 2024</w:t>
      </w:r>
    </w:p>
    <w:p w14:paraId="424CB498" w14:textId="77777777" w:rsidR="00FE650C" w:rsidRPr="00083D3E" w:rsidRDefault="00000000">
      <w:pPr>
        <w:keepNext/>
        <w:spacing w:before="16" w:after="0"/>
        <w:rPr>
          <w:rFonts w:cs="Arial"/>
          <w:sz w:val="20"/>
          <w:szCs w:val="20"/>
        </w:rPr>
      </w:pPr>
      <w:r w:rsidRPr="00083D3E">
        <w:rPr>
          <w:rFonts w:cs="Arial"/>
          <w:b/>
          <w:sz w:val="20"/>
          <w:szCs w:val="20"/>
        </w:rPr>
        <w:t>Bachelor of Technology, Computer Science and Engineering</w:t>
      </w:r>
    </w:p>
    <w:p w14:paraId="3D8510CB" w14:textId="6E6B64AD" w:rsidR="00FE650C" w:rsidRPr="00083D3E" w:rsidRDefault="00000000" w:rsidP="004A6F04">
      <w:pPr>
        <w:spacing w:after="4"/>
        <w:rPr>
          <w:rFonts w:cs="Arial"/>
          <w:sz w:val="20"/>
          <w:szCs w:val="20"/>
        </w:rPr>
      </w:pPr>
      <w:r w:rsidRPr="00083D3E">
        <w:rPr>
          <w:rFonts w:cs="Arial"/>
          <w:color w:val="4A4A4A"/>
          <w:sz w:val="20"/>
          <w:szCs w:val="20"/>
        </w:rPr>
        <w:t>Indian Institute of Technology | 2010 - 2014</w:t>
      </w:r>
    </w:p>
    <w:sectPr w:rsidR="00FE650C" w:rsidRPr="00083D3E" w:rsidSect="00083D3E">
      <w:headerReference w:type="default" r:id="rId10"/>
      <w:footerReference w:type="default" r:id="rId11"/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9A1B2" w14:textId="77777777" w:rsidR="004330C6" w:rsidRDefault="004330C6">
      <w:pPr>
        <w:spacing w:after="0"/>
      </w:pPr>
      <w:r>
        <w:separator/>
      </w:r>
    </w:p>
  </w:endnote>
  <w:endnote w:type="continuationSeparator" w:id="0">
    <w:p w14:paraId="1DC6164C" w14:textId="77777777" w:rsidR="004330C6" w:rsidRDefault="004330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4AEAF" w14:textId="77777777" w:rsidR="00FE650C" w:rsidRDefault="00FE65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C3CDA" w14:textId="77777777" w:rsidR="004330C6" w:rsidRDefault="004330C6">
      <w:pPr>
        <w:spacing w:after="0"/>
      </w:pPr>
      <w:r>
        <w:separator/>
      </w:r>
    </w:p>
  </w:footnote>
  <w:footnote w:type="continuationSeparator" w:id="0">
    <w:p w14:paraId="54AB1240" w14:textId="77777777" w:rsidR="004330C6" w:rsidRDefault="004330C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E4D2" w14:textId="77777777" w:rsidR="00FE650C" w:rsidRDefault="00FE65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5262453">
    <w:abstractNumId w:val="8"/>
  </w:num>
  <w:num w:numId="2" w16cid:durableId="1684354711">
    <w:abstractNumId w:val="6"/>
  </w:num>
  <w:num w:numId="3" w16cid:durableId="693534298">
    <w:abstractNumId w:val="5"/>
  </w:num>
  <w:num w:numId="4" w16cid:durableId="1850558182">
    <w:abstractNumId w:val="4"/>
  </w:num>
  <w:num w:numId="5" w16cid:durableId="825826979">
    <w:abstractNumId w:val="7"/>
  </w:num>
  <w:num w:numId="6" w16cid:durableId="1506746933">
    <w:abstractNumId w:val="3"/>
  </w:num>
  <w:num w:numId="7" w16cid:durableId="963079540">
    <w:abstractNumId w:val="2"/>
  </w:num>
  <w:num w:numId="8" w16cid:durableId="1819833253">
    <w:abstractNumId w:val="1"/>
  </w:num>
  <w:num w:numId="9" w16cid:durableId="1976595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D3E"/>
    <w:rsid w:val="0015074B"/>
    <w:rsid w:val="00231808"/>
    <w:rsid w:val="0029639D"/>
    <w:rsid w:val="002A4C50"/>
    <w:rsid w:val="00326F90"/>
    <w:rsid w:val="00341178"/>
    <w:rsid w:val="004330C6"/>
    <w:rsid w:val="00474247"/>
    <w:rsid w:val="004A6F04"/>
    <w:rsid w:val="00517493"/>
    <w:rsid w:val="009C3E68"/>
    <w:rsid w:val="00A41FBF"/>
    <w:rsid w:val="00A437D7"/>
    <w:rsid w:val="00AA1D8D"/>
    <w:rsid w:val="00B47730"/>
    <w:rsid w:val="00BB0F45"/>
    <w:rsid w:val="00BE2ABD"/>
    <w:rsid w:val="00C55DDC"/>
    <w:rsid w:val="00CB0664"/>
    <w:rsid w:val="00D333D0"/>
    <w:rsid w:val="00DF164B"/>
    <w:rsid w:val="00FC693F"/>
    <w:rsid w:val="00FE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FF6046"/>
  <w14:defaultImageDpi w14:val="300"/>
  <w15:docId w15:val="{244E885B-08B6-4936-AEA8-B46B1D10A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color w:val="17324D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beastofbayare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x.com/BeastofBayAre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Shivam Singh - Growth Marketing Resume</dc:title>
  <dc:subject>ATS-optimized professional resume</dc:subject>
  <dc:creator>Shivam Singh</dc:creator>
  <cp:keywords>resume, ATS</cp:keywords>
  <dc:description/>
  <cp:lastModifiedBy>Shivam Singh</cp:lastModifiedBy>
  <cp:revision>7</cp:revision>
  <dcterms:created xsi:type="dcterms:W3CDTF">2013-12-23T23:15:00Z</dcterms:created>
  <dcterms:modified xsi:type="dcterms:W3CDTF">2026-08-11T20:54:00Z</dcterms:modified>
  <cp:category/>
</cp:coreProperties>
</file>