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40BD8" w14:textId="64C43AFE" w:rsidR="00431DFC" w:rsidRPr="00DB70FF" w:rsidRDefault="00FD62A7">
      <w:pPr>
        <w:rPr>
          <w:rFonts w:ascii="Calibri" w:hAnsi="Calibri" w:cs="Calibri"/>
          <w:b/>
          <w:bCs/>
          <w:sz w:val="20"/>
          <w:szCs w:val="20"/>
        </w:rPr>
      </w:pPr>
      <w:r w:rsidRPr="000706AA">
        <w:rPr>
          <w:rFonts w:ascii="Calibri" w:hAnsi="Calibri" w:cs="Calibri"/>
          <w:b/>
          <w:bCs/>
          <w:sz w:val="20"/>
          <w:szCs w:val="20"/>
          <w:highlight w:val="yellow"/>
        </w:rPr>
        <w:t>GPT-4 Supply Chain Map</w:t>
      </w:r>
      <w:r w:rsidR="000706AA" w:rsidRPr="000706AA">
        <w:rPr>
          <w:rFonts w:ascii="Calibri" w:hAnsi="Calibri" w:cs="Calibri"/>
          <w:b/>
          <w:bCs/>
          <w:sz w:val="20"/>
          <w:szCs w:val="20"/>
          <w:highlight w:val="yellow"/>
        </w:rPr>
        <w:t xml:space="preserve"> / Token Count: 611</w:t>
      </w:r>
    </w:p>
    <w:p w14:paraId="6BB0D573" w14:textId="2B25DCEF" w:rsidR="00DB70FF" w:rsidRPr="00DB70FF" w:rsidRDefault="00DB70FF" w:rsidP="00DB70FF">
      <w:pPr>
        <w:rPr>
          <w:rFonts w:ascii="Calibri" w:hAnsi="Calibri" w:cs="Calibri"/>
          <w:sz w:val="20"/>
          <w:szCs w:val="20"/>
        </w:rPr>
      </w:pPr>
      <w:r w:rsidRPr="00DB70FF">
        <w:rPr>
          <w:rFonts w:ascii="Calibri" w:hAnsi="Calibri" w:cs="Calibri"/>
          <w:sz w:val="20"/>
          <w:szCs w:val="20"/>
        </w:rPr>
        <w:t>### Extracted Content</w:t>
      </w:r>
    </w:p>
    <w:p w14:paraId="79F986F3" w14:textId="77777777" w:rsidR="00DB70FF" w:rsidRPr="00DB70FF" w:rsidRDefault="00DB70FF" w:rsidP="00DB70FF">
      <w:pPr>
        <w:rPr>
          <w:rFonts w:ascii="Calibri" w:hAnsi="Calibri" w:cs="Calibri"/>
          <w:b/>
          <w:bCs/>
          <w:sz w:val="20"/>
          <w:szCs w:val="20"/>
        </w:rPr>
      </w:pPr>
      <w:r w:rsidRPr="00DB70FF">
        <w:rPr>
          <w:rFonts w:ascii="Calibri" w:hAnsi="Calibri" w:cs="Calibri"/>
          <w:b/>
          <w:bCs/>
          <w:sz w:val="20"/>
          <w:szCs w:val="20"/>
        </w:rPr>
        <w:t>#### Title</w:t>
      </w:r>
    </w:p>
    <w:p w14:paraId="4520610A" w14:textId="50D30D9F" w:rsidR="00DB70FF" w:rsidRPr="00DB70FF" w:rsidRDefault="00DB70FF" w:rsidP="00DB70FF">
      <w:pPr>
        <w:rPr>
          <w:rFonts w:ascii="Calibri" w:hAnsi="Calibri" w:cs="Calibri"/>
          <w:sz w:val="20"/>
          <w:szCs w:val="20"/>
        </w:rPr>
      </w:pPr>
      <w:r w:rsidRPr="00DB70FF">
        <w:rPr>
          <w:rFonts w:ascii="Calibri" w:hAnsi="Calibri" w:cs="Calibri"/>
          <w:sz w:val="20"/>
          <w:szCs w:val="20"/>
        </w:rPr>
        <w:t>**Supply Chain Map:**</w:t>
      </w:r>
    </w:p>
    <w:p w14:paraId="063792BB" w14:textId="77777777" w:rsidR="00DB70FF" w:rsidRPr="00DB70FF" w:rsidRDefault="00DB70FF" w:rsidP="00DB70FF">
      <w:pPr>
        <w:rPr>
          <w:rFonts w:ascii="Calibri" w:hAnsi="Calibri" w:cs="Calibri"/>
          <w:b/>
          <w:bCs/>
          <w:sz w:val="20"/>
          <w:szCs w:val="20"/>
        </w:rPr>
      </w:pPr>
      <w:r w:rsidRPr="00DB70FF">
        <w:rPr>
          <w:rFonts w:ascii="Calibri" w:hAnsi="Calibri" w:cs="Calibri"/>
          <w:b/>
          <w:bCs/>
          <w:sz w:val="20"/>
          <w:szCs w:val="20"/>
        </w:rPr>
        <w:t>#### Chart Description</w:t>
      </w:r>
    </w:p>
    <w:p w14:paraId="59175858" w14:textId="537E8925" w:rsidR="00DB70FF" w:rsidRPr="00DB70FF" w:rsidRDefault="00DB70FF" w:rsidP="00DB70FF">
      <w:pPr>
        <w:rPr>
          <w:rFonts w:ascii="Calibri" w:hAnsi="Calibri" w:cs="Calibri"/>
          <w:sz w:val="20"/>
          <w:szCs w:val="20"/>
        </w:rPr>
      </w:pPr>
      <w:r w:rsidRPr="00DB70FF">
        <w:rPr>
          <w:rFonts w:ascii="Calibri" w:hAnsi="Calibri" w:cs="Calibri"/>
          <w:sz w:val="20"/>
          <w:szCs w:val="20"/>
        </w:rPr>
        <w:t>The supplied page consists of a detailed flowchart depicting the physical and financial supply chain for a pharmaceutical industry product. The chart demonstrates various stages and trade steps involved from intermediates to the market. Below are the details:</w:t>
      </w:r>
    </w:p>
    <w:p w14:paraId="6FA509D3" w14:textId="77777777" w:rsidR="00DB70FF" w:rsidRPr="00DB70FF" w:rsidRDefault="00DB70FF" w:rsidP="00DB70FF">
      <w:pPr>
        <w:rPr>
          <w:rFonts w:ascii="Calibri" w:hAnsi="Calibri" w:cs="Calibri"/>
          <w:b/>
          <w:bCs/>
          <w:sz w:val="20"/>
          <w:szCs w:val="20"/>
        </w:rPr>
      </w:pPr>
      <w:r w:rsidRPr="00DB70FF">
        <w:rPr>
          <w:rFonts w:ascii="Calibri" w:hAnsi="Calibri" w:cs="Calibri"/>
          <w:b/>
          <w:bCs/>
          <w:sz w:val="20"/>
          <w:szCs w:val="20"/>
        </w:rPr>
        <w:t>#### Legend</w:t>
      </w:r>
    </w:p>
    <w:p w14:paraId="2976C609"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**PLAN:** Production and trade steps with planned dates.</w:t>
      </w:r>
    </w:p>
    <w:p w14:paraId="4C980DC7"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**ACTUAL:** Production and trade steps with actual dates.</w:t>
      </w:r>
    </w:p>
    <w:p w14:paraId="00556237"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**INVENTORY:** Location and inventory data.</w:t>
      </w:r>
    </w:p>
    <w:p w14:paraId="762EECD5" w14:textId="4B133B29" w:rsidR="00DB70FF" w:rsidRPr="00DB70FF" w:rsidRDefault="00DB70FF" w:rsidP="00DB70FF">
      <w:pPr>
        <w:rPr>
          <w:rFonts w:ascii="Calibri" w:hAnsi="Calibri" w:cs="Calibri"/>
          <w:sz w:val="20"/>
          <w:szCs w:val="20"/>
        </w:rPr>
      </w:pPr>
      <w:r w:rsidRPr="00DB70FF">
        <w:rPr>
          <w:rFonts w:ascii="Calibri" w:hAnsi="Calibri" w:cs="Calibri"/>
          <w:sz w:val="20"/>
          <w:szCs w:val="20"/>
        </w:rPr>
        <w:t>- **DO NOT DISPLAY:** Area not to be shown publicly.</w:t>
      </w:r>
    </w:p>
    <w:p w14:paraId="26A3A550" w14:textId="5F1D3F2E" w:rsidR="00DB70FF" w:rsidRPr="00DB70FF" w:rsidRDefault="00DB70FF" w:rsidP="00DB70FF">
      <w:pPr>
        <w:rPr>
          <w:rFonts w:ascii="Calibri" w:hAnsi="Calibri" w:cs="Calibri"/>
          <w:b/>
          <w:bCs/>
          <w:sz w:val="20"/>
          <w:szCs w:val="20"/>
        </w:rPr>
      </w:pPr>
      <w:r w:rsidRPr="00DB70FF">
        <w:rPr>
          <w:rFonts w:ascii="Calibri" w:hAnsi="Calibri" w:cs="Calibri"/>
          <w:b/>
          <w:bCs/>
          <w:sz w:val="20"/>
          <w:szCs w:val="20"/>
        </w:rPr>
        <w:t>#### Flowchart Overview</w:t>
      </w:r>
    </w:p>
    <w:p w14:paraId="6F09A702"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1. **You Are Here**</w:t>
      </w:r>
    </w:p>
    <w:p w14:paraId="4C6AB281" w14:textId="766B78D8" w:rsidR="00DB70FF" w:rsidRPr="00DB70FF" w:rsidRDefault="00DB70FF" w:rsidP="00DB70FF">
      <w:pPr>
        <w:rPr>
          <w:rFonts w:ascii="Calibri" w:hAnsi="Calibri" w:cs="Calibri"/>
          <w:sz w:val="20"/>
          <w:szCs w:val="20"/>
        </w:rPr>
      </w:pPr>
      <w:r w:rsidRPr="00DB70FF">
        <w:rPr>
          <w:rFonts w:ascii="Calibri" w:hAnsi="Calibri" w:cs="Calibri"/>
          <w:sz w:val="20"/>
          <w:szCs w:val="20"/>
        </w:rPr>
        <w:t>- Current node indicator</w:t>
      </w:r>
    </w:p>
    <w:p w14:paraId="344EE01F" w14:textId="77777777" w:rsidR="00DB70FF" w:rsidRPr="000706AA" w:rsidRDefault="00DB70FF" w:rsidP="00DB70FF">
      <w:pPr>
        <w:rPr>
          <w:rFonts w:ascii="Calibri" w:hAnsi="Calibri" w:cs="Calibri"/>
          <w:b/>
          <w:bCs/>
          <w:sz w:val="20"/>
          <w:szCs w:val="20"/>
        </w:rPr>
      </w:pPr>
      <w:r w:rsidRPr="000706AA">
        <w:rPr>
          <w:rFonts w:ascii="Calibri" w:hAnsi="Calibri" w:cs="Calibri"/>
          <w:b/>
          <w:bCs/>
          <w:sz w:val="20"/>
          <w:szCs w:val="20"/>
        </w:rPr>
        <w:t>2. **Trade Steps**</w:t>
      </w:r>
    </w:p>
    <w:p w14:paraId="50F8D642"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**Intermediate**</w:t>
      </w:r>
    </w:p>
    <w:p w14:paraId="75408960"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(INT) India → GROUND HANDLER (CHEM) India (APIs)</w:t>
      </w:r>
    </w:p>
    <w:p w14:paraId="47E31B31"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DWS (INT) India → GROUND HANDLER (CHEM) Italy (APIs)</w:t>
      </w:r>
    </w:p>
    <w:p w14:paraId="2F658341" w14:textId="2CEDA4C6"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PIS (INT) India → GROUND HANDLER (CHEM) Italy (APIs)</w:t>
      </w:r>
    </w:p>
    <w:p w14:paraId="64692B27"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**Warehouse**</w:t>
      </w:r>
    </w:p>
    <w:p w14:paraId="31A96F81"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Chemicals (NAS) Italy → MSP Chem (NAS)</w:t>
      </w:r>
    </w:p>
    <w:p w14:paraId="4C2776C3"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DWS Chemicals (NAS) Italy → MSP Chem (NAS)</w:t>
      </w:r>
    </w:p>
    <w:p w14:paraId="30BEE32B" w14:textId="27169D42"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PIS Chemicals (NAS) Italy → MSP Chem (NAS)</w:t>
      </w:r>
    </w:p>
    <w:p w14:paraId="261DA684"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**Spray Drying**</w:t>
      </w:r>
    </w:p>
    <w:p w14:paraId="7335104D" w14:textId="2CF099AA"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Spray Drying France → MSP Spray Dry (NAS)</w:t>
      </w:r>
    </w:p>
    <w:p w14:paraId="55BF5C46"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**Formulation**</w:t>
      </w:r>
    </w:p>
    <w:p w14:paraId="26EF0804" w14:textId="55E0C61A"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Formulation Italy → MSP Form (NAS)</w:t>
      </w:r>
    </w:p>
    <w:p w14:paraId="3B13560C"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**Packaging**</w:t>
      </w:r>
    </w:p>
    <w:p w14:paraId="6F21A569" w14:textId="6535EE72"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SPC Packaging France CMO → MSP SPC Pack</w:t>
      </w:r>
    </w:p>
    <w:p w14:paraId="78D3ADF1"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**Secondary Packaging**</w:t>
      </w:r>
    </w:p>
    <w:p w14:paraId="6BC5000B"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Secondary Pack France CMO </w:t>
      </w:r>
    </w:p>
    <w:p w14:paraId="26C3F1CC" w14:textId="108D98F1" w:rsidR="00DB70FF" w:rsidRPr="00DB70FF" w:rsidRDefault="00DB70FF" w:rsidP="00DB70FF">
      <w:pPr>
        <w:rPr>
          <w:rFonts w:ascii="Calibri" w:hAnsi="Calibri" w:cs="Calibri"/>
          <w:sz w:val="20"/>
          <w:szCs w:val="20"/>
        </w:rPr>
      </w:pPr>
      <w:r w:rsidRPr="00DB70FF">
        <w:rPr>
          <w:rFonts w:ascii="Calibri" w:hAnsi="Calibri" w:cs="Calibri"/>
          <w:sz w:val="20"/>
          <w:szCs w:val="20"/>
        </w:rPr>
        <w:lastRenderedPageBreak/>
        <w:t xml:space="preserve">  - MSP GROUND HANDLER (MKTS) CMO</w:t>
      </w:r>
    </w:p>
    <w:p w14:paraId="461FF859" w14:textId="77777777" w:rsidR="00DB70FF" w:rsidRPr="000706AA" w:rsidRDefault="00DB70FF" w:rsidP="00DB70FF">
      <w:pPr>
        <w:rPr>
          <w:rFonts w:ascii="Calibri" w:hAnsi="Calibri" w:cs="Calibri"/>
          <w:b/>
          <w:bCs/>
          <w:sz w:val="20"/>
          <w:szCs w:val="20"/>
        </w:rPr>
      </w:pPr>
      <w:r w:rsidRPr="000706AA">
        <w:rPr>
          <w:rFonts w:ascii="Calibri" w:hAnsi="Calibri" w:cs="Calibri"/>
          <w:b/>
          <w:bCs/>
          <w:sz w:val="20"/>
          <w:szCs w:val="20"/>
        </w:rPr>
        <w:t>#### Routes and Markets</w:t>
      </w:r>
    </w:p>
    <w:p w14:paraId="538754FC"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1. **US Markets**</w:t>
      </w:r>
    </w:p>
    <w:p w14:paraId="09D41B8C"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2. **Canada Markets**</w:t>
      </w:r>
    </w:p>
    <w:p w14:paraId="29316EBA"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3. **EMEA Markets**</w:t>
      </w:r>
    </w:p>
    <w:p w14:paraId="68719721"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EMEA Markets CMO → MSP EMEA SPC Pack (EMEA)</w:t>
      </w:r>
    </w:p>
    <w:p w14:paraId="68BFCAB7"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EMEA Second Pack (EMEA) → MSP EMEA Markets </w:t>
      </w:r>
    </w:p>
    <w:p w14:paraId="20D0C6BE"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4. **LATAM Markets**</w:t>
      </w:r>
    </w:p>
    <w:p w14:paraId="04652EF5"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LATAM SPC Pack (LATAM) → MSP LATAM Second Pack (LATAM)</w:t>
      </w:r>
    </w:p>
    <w:p w14:paraId="38C72EDE"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LATAM Markets </w:t>
      </w:r>
    </w:p>
    <w:p w14:paraId="4C5DC786"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5. **AP Markets**</w:t>
      </w:r>
    </w:p>
    <w:p w14:paraId="44BC4775"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AP SPC Pack (AP) → MSP AP Second Pack (AP)</w:t>
      </w:r>
    </w:p>
    <w:p w14:paraId="060E1CF0"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AP Markets</w:t>
      </w:r>
    </w:p>
    <w:p w14:paraId="6678D6F6"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AP Second Pack → Japan Markets</w:t>
      </w:r>
    </w:p>
    <w:p w14:paraId="44DB88EA"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6. **India Markets**</w:t>
      </w:r>
    </w:p>
    <w:p w14:paraId="352041EA"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7. **S. Africa Markets**</w:t>
      </w:r>
    </w:p>
    <w:p w14:paraId="318D7DBC"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8. **Australia, Korea, Hong Kong**</w:t>
      </w:r>
    </w:p>
    <w:p w14:paraId="1C1D52F7" w14:textId="77777777"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ROHU Secondary Pack (AP)</w:t>
      </w:r>
    </w:p>
    <w:p w14:paraId="46AF1F77" w14:textId="1195246A" w:rsidR="00DB70FF" w:rsidRPr="00DB70FF" w:rsidRDefault="00DB70FF" w:rsidP="00DB70FF">
      <w:pPr>
        <w:rPr>
          <w:rFonts w:ascii="Calibri" w:hAnsi="Calibri" w:cs="Calibri"/>
          <w:sz w:val="20"/>
          <w:szCs w:val="20"/>
        </w:rPr>
      </w:pPr>
      <w:r w:rsidRPr="00DB70FF">
        <w:rPr>
          <w:rFonts w:ascii="Calibri" w:hAnsi="Calibri" w:cs="Calibri"/>
          <w:sz w:val="20"/>
          <w:szCs w:val="20"/>
        </w:rPr>
        <w:t xml:space="preserve">    - MSP ROHU Markets </w:t>
      </w:r>
    </w:p>
    <w:p w14:paraId="4756F30B" w14:textId="77777777" w:rsidR="00DB70FF" w:rsidRPr="000706AA" w:rsidRDefault="00DB70FF" w:rsidP="00DB70FF">
      <w:pPr>
        <w:rPr>
          <w:rFonts w:ascii="Calibri" w:hAnsi="Calibri" w:cs="Calibri"/>
          <w:b/>
          <w:bCs/>
          <w:sz w:val="20"/>
          <w:szCs w:val="20"/>
        </w:rPr>
      </w:pPr>
      <w:r w:rsidRPr="000706AA">
        <w:rPr>
          <w:rFonts w:ascii="Calibri" w:hAnsi="Calibri" w:cs="Calibri"/>
          <w:b/>
          <w:bCs/>
          <w:sz w:val="20"/>
          <w:szCs w:val="20"/>
        </w:rPr>
        <w:t>### Summary</w:t>
      </w:r>
    </w:p>
    <w:p w14:paraId="3FCEC828" w14:textId="6DB6CC87" w:rsidR="009C4BB3" w:rsidRDefault="00DB70FF" w:rsidP="00DB70FF">
      <w:pPr>
        <w:rPr>
          <w:rFonts w:ascii="Calibri" w:hAnsi="Calibri" w:cs="Calibri"/>
          <w:sz w:val="20"/>
          <w:szCs w:val="20"/>
        </w:rPr>
      </w:pPr>
      <w:r w:rsidRPr="00DB70FF">
        <w:rPr>
          <w:rFonts w:ascii="Calibri" w:hAnsi="Calibri" w:cs="Calibri"/>
          <w:sz w:val="20"/>
          <w:szCs w:val="20"/>
        </w:rPr>
        <w:t>This slide presents a comprehensive supply chain map for a drug product managed by the pharmaceutical supply chain depicted. It identifies various trade steps essential from intermediate chemicals to final delivery in respective markets. The flowchart extensively maps the processes involved in production, warehousing, drying, formulation, packaging, and distribution across global markets such as US, Canada, EMEA, LATAM, AP regions, and more. It includes specific handlers at each step and emphasizes planned versus actual trade flow measures.</w:t>
      </w:r>
    </w:p>
    <w:p w14:paraId="351B2FCF" w14:textId="77777777" w:rsidR="009C4BB3" w:rsidRDefault="009C4BB3" w:rsidP="00FD62A7">
      <w:pPr>
        <w:rPr>
          <w:rFonts w:ascii="Calibri" w:hAnsi="Calibri" w:cs="Calibri"/>
          <w:sz w:val="20"/>
          <w:szCs w:val="20"/>
        </w:rPr>
      </w:pPr>
    </w:p>
    <w:p w14:paraId="51B0407A" w14:textId="77777777" w:rsidR="009C4BB3" w:rsidRDefault="009C4BB3" w:rsidP="00FD62A7">
      <w:pPr>
        <w:rPr>
          <w:rFonts w:ascii="Calibri" w:hAnsi="Calibri" w:cs="Calibri"/>
          <w:sz w:val="20"/>
          <w:szCs w:val="20"/>
        </w:rPr>
      </w:pPr>
    </w:p>
    <w:p w14:paraId="18B9FD6E" w14:textId="77777777" w:rsidR="009C4BB3" w:rsidRDefault="009C4BB3" w:rsidP="00FD62A7">
      <w:pPr>
        <w:rPr>
          <w:rFonts w:ascii="Calibri" w:hAnsi="Calibri" w:cs="Calibri"/>
          <w:sz w:val="20"/>
          <w:szCs w:val="20"/>
        </w:rPr>
      </w:pPr>
    </w:p>
    <w:p w14:paraId="470C4C27" w14:textId="77777777" w:rsidR="009C4BB3" w:rsidRDefault="009C4BB3" w:rsidP="00FD62A7">
      <w:pPr>
        <w:rPr>
          <w:rFonts w:ascii="Calibri" w:hAnsi="Calibri" w:cs="Calibri"/>
          <w:sz w:val="20"/>
          <w:szCs w:val="20"/>
        </w:rPr>
      </w:pPr>
    </w:p>
    <w:p w14:paraId="47103F85" w14:textId="77777777" w:rsidR="009C4BB3" w:rsidRDefault="009C4BB3" w:rsidP="00FD62A7">
      <w:pPr>
        <w:rPr>
          <w:rFonts w:ascii="Calibri" w:hAnsi="Calibri" w:cs="Calibri"/>
          <w:sz w:val="20"/>
          <w:szCs w:val="20"/>
        </w:rPr>
      </w:pPr>
    </w:p>
    <w:p w14:paraId="203D6034" w14:textId="77777777" w:rsidR="009C4BB3" w:rsidRDefault="009C4BB3" w:rsidP="00FD62A7">
      <w:pPr>
        <w:rPr>
          <w:rFonts w:ascii="Calibri" w:hAnsi="Calibri" w:cs="Calibri"/>
          <w:sz w:val="20"/>
          <w:szCs w:val="20"/>
        </w:rPr>
      </w:pPr>
    </w:p>
    <w:p w14:paraId="31D36786" w14:textId="77777777" w:rsidR="009C4BB3" w:rsidRDefault="009C4BB3" w:rsidP="00FD62A7">
      <w:pPr>
        <w:rPr>
          <w:rFonts w:ascii="Calibri" w:hAnsi="Calibri" w:cs="Calibri"/>
          <w:sz w:val="20"/>
          <w:szCs w:val="20"/>
        </w:rPr>
      </w:pPr>
    </w:p>
    <w:p w14:paraId="1F58D91C" w14:textId="77777777" w:rsidR="000706AA" w:rsidRPr="00FD62A7" w:rsidRDefault="000706AA" w:rsidP="00FD62A7">
      <w:pPr>
        <w:rPr>
          <w:rFonts w:ascii="Calibri" w:hAnsi="Calibri" w:cs="Calibri"/>
          <w:sz w:val="20"/>
          <w:szCs w:val="20"/>
        </w:rPr>
      </w:pPr>
    </w:p>
    <w:p w14:paraId="4D4C8E25" w14:textId="58DFA5F4" w:rsidR="00FD62A7" w:rsidRPr="00FD62A7" w:rsidRDefault="00FD62A7" w:rsidP="00FD62A7">
      <w:pPr>
        <w:rPr>
          <w:rFonts w:ascii="Calibri" w:hAnsi="Calibri" w:cs="Calibri"/>
          <w:b/>
          <w:bCs/>
          <w:sz w:val="20"/>
          <w:szCs w:val="20"/>
        </w:rPr>
      </w:pPr>
      <w:r w:rsidRPr="000706AA">
        <w:rPr>
          <w:rFonts w:ascii="Calibri" w:hAnsi="Calibri" w:cs="Calibri"/>
          <w:b/>
          <w:bCs/>
          <w:sz w:val="20"/>
          <w:szCs w:val="20"/>
          <w:highlight w:val="yellow"/>
        </w:rPr>
        <w:lastRenderedPageBreak/>
        <w:t>GPT-5 Supply Chain Map</w:t>
      </w:r>
      <w:r w:rsidR="00DB70FF" w:rsidRPr="000706AA">
        <w:rPr>
          <w:rFonts w:ascii="Calibri" w:hAnsi="Calibri" w:cs="Calibri"/>
          <w:b/>
          <w:bCs/>
          <w:sz w:val="20"/>
          <w:szCs w:val="20"/>
          <w:highlight w:val="yellow"/>
        </w:rPr>
        <w:t xml:space="preserve"> / token_count: 1361</w:t>
      </w:r>
    </w:p>
    <w:p w14:paraId="25A1925E" w14:textId="6B35A492" w:rsidR="00D71060" w:rsidRPr="00D71060" w:rsidRDefault="00D71060" w:rsidP="00D71060">
      <w:pPr>
        <w:rPr>
          <w:rFonts w:ascii="Calibri" w:hAnsi="Calibri" w:cs="Calibri"/>
          <w:sz w:val="20"/>
          <w:szCs w:val="20"/>
        </w:rPr>
      </w:pPr>
      <w:r w:rsidRPr="00D71060">
        <w:rPr>
          <w:rFonts w:ascii="Calibri" w:hAnsi="Calibri" w:cs="Calibri"/>
          <w:sz w:val="20"/>
          <w:szCs w:val="20"/>
        </w:rPr>
        <w:t>### Extracted Content</w:t>
      </w:r>
    </w:p>
    <w:p w14:paraId="4278DEB7"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 Chart</w:t>
      </w:r>
    </w:p>
    <w:p w14:paraId="3204DFA8"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Type: Process flow diagram (Supply Chain Map)</w:t>
      </w:r>
    </w:p>
    <w:p w14:paraId="00050D52"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Axes: Not applicable; this is a multi-stage supply chain flow with boxes and connectors showing entities, locations, and transitions.</w:t>
      </w:r>
    </w:p>
    <w:p w14:paraId="5CDCBBBC" w14:textId="6014FB31" w:rsidR="00D71060" w:rsidRPr="00C4745A" w:rsidRDefault="00D71060" w:rsidP="00D71060">
      <w:pPr>
        <w:rPr>
          <w:rFonts w:ascii="Calibri" w:hAnsi="Calibri" w:cs="Calibri"/>
          <w:b/>
          <w:bCs/>
          <w:sz w:val="20"/>
          <w:szCs w:val="20"/>
        </w:rPr>
      </w:pPr>
      <w:r w:rsidRPr="00C4745A">
        <w:rPr>
          <w:rFonts w:ascii="Calibri" w:hAnsi="Calibri" w:cs="Calibri"/>
          <w:b/>
          <w:bCs/>
          <w:sz w:val="20"/>
          <w:szCs w:val="20"/>
        </w:rPr>
        <w:t>Elements:</w:t>
      </w:r>
      <w:bookmarkStart w:id="0" w:name="_GoBack"/>
      <w:bookmarkEnd w:id="0"/>
    </w:p>
    <w:p w14:paraId="1B1AF6F0"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Stages: Intermediate → Trade step → Chemical (API) → Warehouse → Spray Drying → Formulation → Trade step → Packaging → Trade-BC step → Secondary Packaging → Market</w:t>
      </w:r>
    </w:p>
    <w:p w14:paraId="74801C2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Boxes: Each box lists organization/site names, locations (city, country), and sometimes notes like approvals or capacities.</w:t>
      </w:r>
    </w:p>
    <w:p w14:paraId="1EA63C16" w14:textId="77777777" w:rsidR="00C4745A" w:rsidRDefault="00D71060" w:rsidP="00D71060">
      <w:pPr>
        <w:rPr>
          <w:rFonts w:ascii="Calibri" w:hAnsi="Calibri" w:cs="Calibri"/>
          <w:sz w:val="20"/>
          <w:szCs w:val="20"/>
        </w:rPr>
      </w:pPr>
      <w:r w:rsidRPr="00D71060">
        <w:rPr>
          <w:rFonts w:ascii="Calibri" w:hAnsi="Calibri" w:cs="Calibri"/>
          <w:sz w:val="20"/>
          <w:szCs w:val="20"/>
        </w:rPr>
        <w:t xml:space="preserve">  - Connectors: Red and blue lines indicate physical/financial flow paths with branching to different markets.</w:t>
      </w:r>
    </w:p>
    <w:p w14:paraId="1D1A6813" w14:textId="68945C4F" w:rsidR="00D71060" w:rsidRPr="00D71060" w:rsidRDefault="00D71060" w:rsidP="00D71060">
      <w:pPr>
        <w:rPr>
          <w:rFonts w:ascii="Calibri" w:hAnsi="Calibri" w:cs="Calibri"/>
          <w:sz w:val="20"/>
          <w:szCs w:val="20"/>
        </w:rPr>
      </w:pPr>
      <w:r w:rsidRPr="00D71060">
        <w:rPr>
          <w:rFonts w:ascii="Calibri" w:hAnsi="Calibri" w:cs="Calibri"/>
          <w:b/>
          <w:bCs/>
          <w:sz w:val="20"/>
          <w:szCs w:val="20"/>
        </w:rPr>
        <w:t>Legend (as visible at center top):</w:t>
      </w:r>
    </w:p>
    <w:p w14:paraId="19176B7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Indicates color coding and meaning of boxes/lines (e.g., Red: Trade Chain map, Blue: [specific chain], Black: Physical Chain map, Green text: approvals/notes). Exact legend text is partially unreadable due to resolution, but it clearly differentiates trade vs. physical flows and current vs. future states.</w:t>
      </w:r>
    </w:p>
    <w:p w14:paraId="4887D05C" w14:textId="26E162A7" w:rsidR="00D71060" w:rsidRPr="00D71060" w:rsidRDefault="00D71060" w:rsidP="00D71060">
      <w:pPr>
        <w:rPr>
          <w:rFonts w:ascii="Calibri" w:hAnsi="Calibri" w:cs="Calibri"/>
          <w:sz w:val="20"/>
          <w:szCs w:val="20"/>
        </w:rPr>
      </w:pPr>
      <w:r w:rsidRPr="00D71060">
        <w:rPr>
          <w:rFonts w:ascii="Calibri" w:hAnsi="Calibri" w:cs="Calibri"/>
          <w:sz w:val="20"/>
          <w:szCs w:val="20"/>
        </w:rPr>
        <w:t>- Overall depiction: A detailed end-to-end supply chain for a product (likely an API-based pharmaceutical), showing multiple suppliers, processing steps (chemical API production, spray drying, formulation), warehousing, packaging, and distribution to regional markets (US, Canada, EMEA, AP, Australia/NZ, South Africa, Russia, Latin America, Indonesia). Includes alternate paths and transfer steps.</w:t>
      </w:r>
    </w:p>
    <w:p w14:paraId="1D5127F3"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 Text (from boxes; transcribed as accurately as possible given image resolution)</w:t>
      </w:r>
    </w:p>
    <w:p w14:paraId="4FE2CDFD" w14:textId="49CF2DB7" w:rsidR="00D71060" w:rsidRPr="00D71060" w:rsidRDefault="00D71060" w:rsidP="00D71060">
      <w:pPr>
        <w:rPr>
          <w:rFonts w:ascii="Calibri" w:hAnsi="Calibri" w:cs="Calibri"/>
          <w:sz w:val="20"/>
          <w:szCs w:val="20"/>
        </w:rPr>
      </w:pPr>
      <w:r w:rsidRPr="00D71060">
        <w:rPr>
          <w:rFonts w:ascii="Calibri" w:hAnsi="Calibri" w:cs="Calibri"/>
          <w:sz w:val="20"/>
          <w:szCs w:val="20"/>
        </w:rPr>
        <w:t>Note: Some labels are small; below captures identifiable names/locations and stage headings. Bracketed notes indicate low legibility items.</w:t>
      </w:r>
    </w:p>
    <w:p w14:paraId="4B05454A"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Page header: “Proprietary”</w:t>
      </w:r>
    </w:p>
    <w:p w14:paraId="244014AE"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Title: “Supply Chain Map:”</w:t>
      </w:r>
    </w:p>
    <w:p w14:paraId="6EF92277" w14:textId="5143BB1B" w:rsidR="00D71060" w:rsidRPr="00D71060" w:rsidRDefault="00D71060" w:rsidP="00D71060">
      <w:pPr>
        <w:rPr>
          <w:rFonts w:ascii="Calibri" w:hAnsi="Calibri" w:cs="Calibri"/>
          <w:sz w:val="20"/>
          <w:szCs w:val="20"/>
        </w:rPr>
      </w:pPr>
      <w:r w:rsidRPr="00D71060">
        <w:rPr>
          <w:rFonts w:ascii="Calibri" w:hAnsi="Calibri" w:cs="Calibri"/>
          <w:sz w:val="20"/>
          <w:szCs w:val="20"/>
        </w:rPr>
        <w:t>- Center header in diagram: “Physical &amp; Financial Supply Chain (MULTISORB IMS-106A) (Advance to consider multiple [chains]) — Current”</w:t>
      </w:r>
    </w:p>
    <w:p w14:paraId="71DBFE29" w14:textId="02540C7A" w:rsidR="00D71060" w:rsidRPr="00D71060" w:rsidRDefault="00D71060" w:rsidP="00D71060">
      <w:pPr>
        <w:rPr>
          <w:rFonts w:ascii="Calibri" w:hAnsi="Calibri" w:cs="Calibri"/>
          <w:sz w:val="20"/>
          <w:szCs w:val="20"/>
        </w:rPr>
      </w:pPr>
      <w:r w:rsidRPr="00D71060">
        <w:rPr>
          <w:rFonts w:ascii="Calibri" w:hAnsi="Calibri" w:cs="Calibri"/>
          <w:sz w:val="20"/>
          <w:szCs w:val="20"/>
        </w:rPr>
        <w:t>- Stages and Entities (left to right):</w:t>
      </w:r>
    </w:p>
    <w:p w14:paraId="1FB2687A"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1) Intermediate</w:t>
      </w:r>
    </w:p>
    <w:p w14:paraId="1A5ED448"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India: [Supplier boxes; small text]</w:t>
      </w:r>
    </w:p>
    <w:p w14:paraId="43029E54" w14:textId="77777777" w:rsidR="00D71060" w:rsidRPr="00D71060" w:rsidRDefault="00D71060" w:rsidP="00D71060">
      <w:pPr>
        <w:rPr>
          <w:rFonts w:ascii="Calibri" w:hAnsi="Calibri" w:cs="Calibri"/>
          <w:sz w:val="20"/>
          <w:szCs w:val="20"/>
          <w:lang w:val="de-CH"/>
        </w:rPr>
      </w:pPr>
      <w:r w:rsidRPr="00D71060">
        <w:rPr>
          <w:rFonts w:ascii="Calibri" w:hAnsi="Calibri" w:cs="Calibri"/>
          <w:sz w:val="20"/>
          <w:szCs w:val="20"/>
        </w:rPr>
        <w:t xml:space="preserve">   </w:t>
      </w:r>
      <w:r w:rsidRPr="00D71060">
        <w:rPr>
          <w:rFonts w:ascii="Calibri" w:hAnsi="Calibri" w:cs="Calibri"/>
          <w:sz w:val="20"/>
          <w:szCs w:val="20"/>
          <w:lang w:val="de-CH"/>
        </w:rPr>
        <w:t>- DWS (JP) – Japan</w:t>
      </w:r>
    </w:p>
    <w:p w14:paraId="5680E3FE" w14:textId="77777777" w:rsidR="00D71060" w:rsidRPr="00D71060" w:rsidRDefault="00D71060" w:rsidP="00D71060">
      <w:pPr>
        <w:rPr>
          <w:rFonts w:ascii="Calibri" w:hAnsi="Calibri" w:cs="Calibri"/>
          <w:sz w:val="20"/>
          <w:szCs w:val="20"/>
          <w:lang w:val="de-CH"/>
        </w:rPr>
      </w:pPr>
      <w:r w:rsidRPr="00D71060">
        <w:rPr>
          <w:rFonts w:ascii="Calibri" w:hAnsi="Calibri" w:cs="Calibri"/>
          <w:sz w:val="20"/>
          <w:szCs w:val="20"/>
          <w:lang w:val="de-CH"/>
        </w:rPr>
        <w:t xml:space="preserve">   - FLS (JP) – Japan</w:t>
      </w:r>
    </w:p>
    <w:p w14:paraId="29B75B32" w14:textId="77777777" w:rsidR="00D71060" w:rsidRPr="00D71060" w:rsidRDefault="00D71060" w:rsidP="00D71060">
      <w:pPr>
        <w:rPr>
          <w:rFonts w:ascii="Calibri" w:hAnsi="Calibri" w:cs="Calibri"/>
          <w:sz w:val="20"/>
          <w:szCs w:val="20"/>
        </w:rPr>
      </w:pPr>
      <w:r w:rsidRPr="00D71060">
        <w:rPr>
          <w:rFonts w:ascii="Calibri" w:hAnsi="Calibri" w:cs="Calibri"/>
          <w:sz w:val="20"/>
          <w:szCs w:val="20"/>
          <w:lang w:val="de-CH"/>
        </w:rPr>
        <w:t xml:space="preserve">   </w:t>
      </w:r>
      <w:r w:rsidRPr="00D71060">
        <w:rPr>
          <w:rFonts w:ascii="Calibri" w:hAnsi="Calibri" w:cs="Calibri"/>
          <w:sz w:val="20"/>
          <w:szCs w:val="20"/>
        </w:rPr>
        <w:t>- Italy: [Supplier box]</w:t>
      </w:r>
    </w:p>
    <w:p w14:paraId="7A32516C"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[Bottom-left] “Amorphous silica” / “Lamorinda &amp; Texilose” [low legibility]</w:t>
      </w:r>
    </w:p>
    <w:p w14:paraId="4CFB094C" w14:textId="363FA241"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Notes in green: “Hydrophilic silica,” “Approval received,” [illegible lines]</w:t>
      </w:r>
    </w:p>
    <w:p w14:paraId="55A08C0A"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2) Trade step</w:t>
      </w:r>
    </w:p>
    <w:p w14:paraId="472BD22C" w14:textId="42B15B25"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Multiple trade boxes linking India/Japan/Italy intermediates to Chemical (API)</w:t>
      </w:r>
    </w:p>
    <w:p w14:paraId="772AB9CC"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lastRenderedPageBreak/>
        <w:t>3) Chemical (API)</w:t>
      </w:r>
    </w:p>
    <w:p w14:paraId="3D26C2D1"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India: [Manufacturer(s)]</w:t>
      </w:r>
    </w:p>
    <w:p w14:paraId="130CA192" w14:textId="77777777" w:rsidR="00D71060" w:rsidRPr="00D71060" w:rsidRDefault="00D71060" w:rsidP="00D71060">
      <w:pPr>
        <w:rPr>
          <w:rFonts w:ascii="Calibri" w:hAnsi="Calibri" w:cs="Calibri"/>
          <w:sz w:val="20"/>
          <w:szCs w:val="20"/>
          <w:lang w:val="de-CH"/>
        </w:rPr>
      </w:pPr>
      <w:r w:rsidRPr="00D71060">
        <w:rPr>
          <w:rFonts w:ascii="Calibri" w:hAnsi="Calibri" w:cs="Calibri"/>
          <w:sz w:val="20"/>
          <w:szCs w:val="20"/>
        </w:rPr>
        <w:t xml:space="preserve">   </w:t>
      </w:r>
      <w:r w:rsidRPr="00D71060">
        <w:rPr>
          <w:rFonts w:ascii="Calibri" w:hAnsi="Calibri" w:cs="Calibri"/>
          <w:sz w:val="20"/>
          <w:szCs w:val="20"/>
          <w:lang w:val="de-CH"/>
        </w:rPr>
        <w:t>- DWSS (JP) – Japan</w:t>
      </w:r>
    </w:p>
    <w:p w14:paraId="669F291D" w14:textId="77777777" w:rsidR="00D71060" w:rsidRPr="00D71060" w:rsidRDefault="00D71060" w:rsidP="00D71060">
      <w:pPr>
        <w:rPr>
          <w:rFonts w:ascii="Calibri" w:hAnsi="Calibri" w:cs="Calibri"/>
          <w:sz w:val="20"/>
          <w:szCs w:val="20"/>
          <w:lang w:val="de-CH"/>
        </w:rPr>
      </w:pPr>
      <w:r w:rsidRPr="00D71060">
        <w:rPr>
          <w:rFonts w:ascii="Calibri" w:hAnsi="Calibri" w:cs="Calibri"/>
          <w:sz w:val="20"/>
          <w:szCs w:val="20"/>
          <w:lang w:val="de-CH"/>
        </w:rPr>
        <w:t xml:space="preserve">   - FLS (JP) – Japan</w:t>
      </w:r>
    </w:p>
    <w:p w14:paraId="02F93DE4" w14:textId="77777777" w:rsidR="00D71060" w:rsidRPr="00D71060" w:rsidRDefault="00D71060" w:rsidP="00D71060">
      <w:pPr>
        <w:rPr>
          <w:rFonts w:ascii="Calibri" w:hAnsi="Calibri" w:cs="Calibri"/>
          <w:sz w:val="20"/>
          <w:szCs w:val="20"/>
        </w:rPr>
      </w:pPr>
      <w:r w:rsidRPr="00D71060">
        <w:rPr>
          <w:rFonts w:ascii="Calibri" w:hAnsi="Calibri" w:cs="Calibri"/>
          <w:sz w:val="20"/>
          <w:szCs w:val="20"/>
          <w:lang w:val="de-CH"/>
        </w:rPr>
        <w:t xml:space="preserve">   </w:t>
      </w:r>
      <w:r w:rsidRPr="00D71060">
        <w:rPr>
          <w:rFonts w:ascii="Calibri" w:hAnsi="Calibri" w:cs="Calibri"/>
          <w:sz w:val="20"/>
          <w:szCs w:val="20"/>
        </w:rPr>
        <w:t>- Italy: [Manufacturer]</w:t>
      </w:r>
    </w:p>
    <w:p w14:paraId="4BAA630D" w14:textId="7AF5AB5C"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Boxes include plant names; some note “API” and city-country.</w:t>
      </w:r>
    </w:p>
    <w:p w14:paraId="62A6CFB3"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4) Warehouse</w:t>
      </w:r>
    </w:p>
    <w:p w14:paraId="347AE809"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Warehouse: [site]</w:t>
      </w:r>
    </w:p>
    <w:p w14:paraId="6A246B39"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EU Warehouse: [site]</w:t>
      </w:r>
    </w:p>
    <w:p w14:paraId="12324E4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“WH transfer” boxes indicating movements to spray drying</w:t>
      </w:r>
    </w:p>
    <w:p w14:paraId="75F31828" w14:textId="75889F09"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Notes in blue: “Current,” “DO NOT DISPLAY” (center banner overlay)</w:t>
      </w:r>
    </w:p>
    <w:p w14:paraId="09F2BA55"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5) Spray Drying</w:t>
      </w:r>
    </w:p>
    <w:p w14:paraId="3FE315D6"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Pharmatech (PA) / [site]</w:t>
      </w:r>
    </w:p>
    <w:p w14:paraId="05C98D1C"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EU: [Spray dryer site in IT/DE]</w:t>
      </w:r>
    </w:p>
    <w:p w14:paraId="203720E6"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Boxes: “Pilot SD,” “Prod SD,” “New SD vendor”</w:t>
      </w:r>
    </w:p>
    <w:p w14:paraId="5AD693EE" w14:textId="461E137E"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Connectors to Formulation</w:t>
      </w:r>
    </w:p>
    <w:p w14:paraId="74F5EAFF"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6) Formulation</w:t>
      </w:r>
    </w:p>
    <w:p w14:paraId="19453B2A"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[Formulation site] “Nutrilo Transfer to [X]” / “Medis transfer” (low legibility)</w:t>
      </w:r>
    </w:p>
    <w:p w14:paraId="0FFB7DEC"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Europe: [Formulator]</w:t>
      </w:r>
    </w:p>
    <w:p w14:paraId="3E1A7B09"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[Formulator]</w:t>
      </w:r>
    </w:p>
    <w:p w14:paraId="1E28EC12" w14:textId="46A9A7DA"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Trade step follows formulation</w:t>
      </w:r>
    </w:p>
    <w:p w14:paraId="22F540E3"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7) Packaging</w:t>
      </w:r>
    </w:p>
    <w:p w14:paraId="35C70FD8"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Multi-Pack (PA) / “Blister pack” [example]</w:t>
      </w:r>
    </w:p>
    <w:p w14:paraId="30B7A0F8"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EU: [Packaging partner]</w:t>
      </w:r>
    </w:p>
    <w:p w14:paraId="0FA71939"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Canada: [Packaging partner]</w:t>
      </w:r>
    </w:p>
    <w:p w14:paraId="187F4BFE"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EMEA/AP: [Packaging partner]</w:t>
      </w:r>
    </w:p>
    <w:p w14:paraId="32DFDA46" w14:textId="6652BB92"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Boxes show “Pack size,” “Lot,” and regulatory notes.</w:t>
      </w:r>
    </w:p>
    <w:p w14:paraId="50C5800D"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8) Trade-BC step</w:t>
      </w:r>
    </w:p>
    <w:p w14:paraId="5EEB647F" w14:textId="2A21F30F"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Financial trade/brand company step nodes linking packaging to secondary packaging</w:t>
      </w:r>
    </w:p>
    <w:p w14:paraId="077B4903"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9) Secondary Packaging</w:t>
      </w:r>
    </w:p>
    <w:p w14:paraId="1FACA8A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Secondary Packaging: “Retail packs,” “Case packs”</w:t>
      </w:r>
    </w:p>
    <w:p w14:paraId="3DCE906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Canada Secondary Packaging</w:t>
      </w:r>
    </w:p>
    <w:p w14:paraId="38862CFD"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lastRenderedPageBreak/>
        <w:t xml:space="preserve">   - EMEA Secondary Packaging</w:t>
      </w:r>
    </w:p>
    <w:p w14:paraId="0E78A587"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AP Secondary Packaging</w:t>
      </w:r>
    </w:p>
    <w:p w14:paraId="4572E7B0"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Australia/NZ Secondary Packaging</w:t>
      </w:r>
    </w:p>
    <w:p w14:paraId="642F14E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South Africa Secondary Packaging</w:t>
      </w:r>
    </w:p>
    <w:p w14:paraId="7D415361"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Russia Secondary Packaging</w:t>
      </w:r>
    </w:p>
    <w:p w14:paraId="4E28A74C"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Latin America Secondary Packaging</w:t>
      </w:r>
    </w:p>
    <w:p w14:paraId="09CDEBCF" w14:textId="4C34A17E"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Indonesia Secondary Packaging</w:t>
      </w:r>
    </w:p>
    <w:p w14:paraId="3BDC26F6" w14:textId="77777777" w:rsidR="00D71060" w:rsidRPr="00D71060" w:rsidRDefault="00D71060" w:rsidP="00D71060">
      <w:pPr>
        <w:rPr>
          <w:rFonts w:ascii="Calibri" w:hAnsi="Calibri" w:cs="Calibri"/>
          <w:b/>
          <w:bCs/>
          <w:sz w:val="20"/>
          <w:szCs w:val="20"/>
        </w:rPr>
      </w:pPr>
      <w:r w:rsidRPr="00D71060">
        <w:rPr>
          <w:rFonts w:ascii="Calibri" w:hAnsi="Calibri" w:cs="Calibri"/>
          <w:b/>
          <w:bCs/>
          <w:sz w:val="20"/>
          <w:szCs w:val="20"/>
        </w:rPr>
        <w:t>10) Market</w:t>
      </w:r>
    </w:p>
    <w:p w14:paraId="07CF7F2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US Markets</w:t>
      </w:r>
    </w:p>
    <w:p w14:paraId="3E4D3E67"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Canada Markets</w:t>
      </w:r>
    </w:p>
    <w:p w14:paraId="345FC358"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EMEA Markets</w:t>
      </w:r>
    </w:p>
    <w:p w14:paraId="58D5DD36"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AP Markets</w:t>
      </w:r>
    </w:p>
    <w:p w14:paraId="1F943D1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Australia, NZ Markets</w:t>
      </w:r>
    </w:p>
    <w:p w14:paraId="14F807A7"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South Africa Markets</w:t>
      </w:r>
    </w:p>
    <w:p w14:paraId="0A4A4DEA"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Russia Market</w:t>
      </w:r>
    </w:p>
    <w:p w14:paraId="5F9BBEFB"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Latin America Markets</w:t>
      </w:r>
    </w:p>
    <w:p w14:paraId="4B05250C" w14:textId="778A26C2"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Indonesia Markets</w:t>
      </w:r>
    </w:p>
    <w:p w14:paraId="1F6B1328" w14:textId="77777777" w:rsidR="00D71060" w:rsidRPr="00C4745A" w:rsidRDefault="00D71060" w:rsidP="00D71060">
      <w:pPr>
        <w:rPr>
          <w:rFonts w:ascii="Calibri" w:hAnsi="Calibri" w:cs="Calibri"/>
          <w:b/>
          <w:bCs/>
          <w:sz w:val="20"/>
          <w:szCs w:val="20"/>
        </w:rPr>
      </w:pPr>
      <w:r w:rsidRPr="00C4745A">
        <w:rPr>
          <w:rFonts w:ascii="Calibri" w:hAnsi="Calibri" w:cs="Calibri"/>
          <w:b/>
          <w:bCs/>
          <w:sz w:val="20"/>
          <w:szCs w:val="20"/>
        </w:rPr>
        <w:t>- Additional nodes (right-center/bottom):</w:t>
      </w:r>
    </w:p>
    <w:p w14:paraId="69CA982E"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“Nutrilo Transfer to [X]”</w:t>
      </w:r>
    </w:p>
    <w:p w14:paraId="1C3D14D3"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“Medis transfer to [X]”</w:t>
      </w:r>
    </w:p>
    <w:p w14:paraId="6E549CA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“Finished goods” → “Retail distribution” → Markets</w:t>
      </w:r>
    </w:p>
    <w:p w14:paraId="0AA1C65A" w14:textId="586032AA"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Some boxes include dates like “Effective in 2023” and approver/regulatory notes (green text).</w:t>
      </w:r>
    </w:p>
    <w:p w14:paraId="7B4313C1" w14:textId="77777777" w:rsidR="00D71060" w:rsidRPr="00C4745A" w:rsidRDefault="00D71060" w:rsidP="00D71060">
      <w:pPr>
        <w:rPr>
          <w:rFonts w:ascii="Calibri" w:hAnsi="Calibri" w:cs="Calibri"/>
          <w:b/>
          <w:bCs/>
          <w:sz w:val="20"/>
          <w:szCs w:val="20"/>
        </w:rPr>
      </w:pPr>
      <w:r w:rsidRPr="00C4745A">
        <w:rPr>
          <w:rFonts w:ascii="Calibri" w:hAnsi="Calibri" w:cs="Calibri"/>
          <w:b/>
          <w:bCs/>
          <w:sz w:val="20"/>
          <w:szCs w:val="20"/>
        </w:rPr>
        <w:t>- Legend (top-center):</w:t>
      </w:r>
    </w:p>
    <w:p w14:paraId="5759C1A2"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Lists:</w:t>
      </w:r>
    </w:p>
    <w:p w14:paraId="29663AB2"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Red outline/text: Trade Chain (Financial)</w:t>
      </w:r>
    </w:p>
    <w:p w14:paraId="51E6862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Black outline/text: Physical Chain</w:t>
      </w:r>
    </w:p>
    <w:p w14:paraId="13B51E39"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Blue outline/text: [current/alternate chain]</w:t>
      </w:r>
    </w:p>
    <w:p w14:paraId="26552FF3"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Green text: Approvals/Regulatory status</w:t>
      </w:r>
    </w:p>
    <w:p w14:paraId="2D1D3C72"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Symbols for plant locations, warehouses, spray dying, formulation, packaging, and market nodes</w:t>
      </w:r>
    </w:p>
    <w:p w14:paraId="55A4999C"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xml:space="preserve">   - Hazard/triangle icon indicating “Confidential/Proprietary”</w:t>
      </w:r>
    </w:p>
    <w:p w14:paraId="26A5D85B" w14:textId="77777777" w:rsidR="00D71060" w:rsidRPr="00D71060" w:rsidRDefault="00D71060" w:rsidP="00D71060">
      <w:pPr>
        <w:rPr>
          <w:rFonts w:ascii="Calibri" w:hAnsi="Calibri" w:cs="Calibri"/>
          <w:sz w:val="20"/>
          <w:szCs w:val="20"/>
        </w:rPr>
      </w:pPr>
    </w:p>
    <w:p w14:paraId="4E6A00D4" w14:textId="4266EC98" w:rsidR="00D71060" w:rsidRPr="00D71060" w:rsidRDefault="00D71060" w:rsidP="00D71060">
      <w:pPr>
        <w:rPr>
          <w:rFonts w:ascii="Calibri" w:hAnsi="Calibri" w:cs="Calibri"/>
          <w:sz w:val="20"/>
          <w:szCs w:val="20"/>
        </w:rPr>
      </w:pPr>
      <w:r w:rsidRPr="00D71060">
        <w:rPr>
          <w:rFonts w:ascii="Calibri" w:hAnsi="Calibri" w:cs="Calibri"/>
          <w:sz w:val="20"/>
          <w:szCs w:val="20"/>
        </w:rPr>
        <w:lastRenderedPageBreak/>
        <w:t>Because of the image resolution, many small box labels are not fully legible; however, the hierarchical process flow and major regional nodes are clear.</w:t>
      </w:r>
    </w:p>
    <w:p w14:paraId="53AE9916" w14:textId="77777777" w:rsidR="00D71060" w:rsidRPr="00C4745A" w:rsidRDefault="00D71060" w:rsidP="00D71060">
      <w:pPr>
        <w:rPr>
          <w:rFonts w:ascii="Calibri" w:hAnsi="Calibri" w:cs="Calibri"/>
          <w:b/>
          <w:bCs/>
          <w:sz w:val="20"/>
          <w:szCs w:val="20"/>
        </w:rPr>
      </w:pPr>
      <w:r w:rsidRPr="00C4745A">
        <w:rPr>
          <w:rFonts w:ascii="Calibri" w:hAnsi="Calibri" w:cs="Calibri"/>
          <w:b/>
          <w:bCs/>
          <w:sz w:val="20"/>
          <w:szCs w:val="20"/>
        </w:rPr>
        <w:t>### Notable Trends/Highlights</w:t>
      </w:r>
    </w:p>
    <w:p w14:paraId="6C33B330"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Multiple sourcing options for intermediates and API from India, Japan (DWSS, FLS), and Italy to mitigate risk.</w:t>
      </w:r>
    </w:p>
    <w:p w14:paraId="166E1C3F"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Centralized warehousing nodes in US and EU feeding spray drying and formulation sites.</w:t>
      </w:r>
    </w:p>
    <w:p w14:paraId="193E4E44"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Parallel packaging streams for different regions leading to distinct secondary packaging and market nodes.</w:t>
      </w:r>
    </w:p>
    <w:p w14:paraId="064D5515" w14:textId="77777777" w:rsidR="00D71060" w:rsidRPr="00D71060" w:rsidRDefault="00D71060" w:rsidP="00D71060">
      <w:pPr>
        <w:rPr>
          <w:rFonts w:ascii="Calibri" w:hAnsi="Calibri" w:cs="Calibri"/>
          <w:sz w:val="20"/>
          <w:szCs w:val="20"/>
        </w:rPr>
      </w:pPr>
      <w:r w:rsidRPr="00D71060">
        <w:rPr>
          <w:rFonts w:ascii="Calibri" w:hAnsi="Calibri" w:cs="Calibri"/>
          <w:sz w:val="20"/>
          <w:szCs w:val="20"/>
        </w:rPr>
        <w:t>- Presence of transfer plans (Nutrilo, Medis) indicating planned or ongoing changes.</w:t>
      </w:r>
    </w:p>
    <w:p w14:paraId="3F7BAFBD" w14:textId="4C09A177" w:rsidR="00D71060" w:rsidRPr="00D71060" w:rsidRDefault="00D71060" w:rsidP="00D71060">
      <w:pPr>
        <w:rPr>
          <w:rFonts w:ascii="Calibri" w:hAnsi="Calibri" w:cs="Calibri"/>
          <w:sz w:val="20"/>
          <w:szCs w:val="20"/>
        </w:rPr>
      </w:pPr>
      <w:r w:rsidRPr="00D71060">
        <w:rPr>
          <w:rFonts w:ascii="Calibri" w:hAnsi="Calibri" w:cs="Calibri"/>
          <w:sz w:val="20"/>
          <w:szCs w:val="20"/>
        </w:rPr>
        <w:t>- Regulatory/approval milestones noted in green; one box mentions “Effective in 2023.”</w:t>
      </w:r>
    </w:p>
    <w:p w14:paraId="0711C74C" w14:textId="77777777" w:rsidR="00D71060" w:rsidRPr="00C4745A" w:rsidRDefault="00D71060" w:rsidP="00D71060">
      <w:pPr>
        <w:rPr>
          <w:rFonts w:ascii="Calibri" w:hAnsi="Calibri" w:cs="Calibri"/>
          <w:b/>
          <w:bCs/>
          <w:sz w:val="20"/>
          <w:szCs w:val="20"/>
        </w:rPr>
      </w:pPr>
      <w:r w:rsidRPr="00C4745A">
        <w:rPr>
          <w:rFonts w:ascii="Calibri" w:hAnsi="Calibri" w:cs="Calibri"/>
          <w:b/>
          <w:bCs/>
          <w:sz w:val="20"/>
          <w:szCs w:val="20"/>
        </w:rPr>
        <w:t>### Slide Summary</w:t>
      </w:r>
    </w:p>
    <w:p w14:paraId="387608FE" w14:textId="6F250111" w:rsidR="00D71060" w:rsidRDefault="00D71060" w:rsidP="00436192">
      <w:pPr>
        <w:rPr>
          <w:rFonts w:ascii="Calibri" w:hAnsi="Calibri" w:cs="Calibri"/>
          <w:sz w:val="20"/>
          <w:szCs w:val="20"/>
        </w:rPr>
      </w:pPr>
      <w:r w:rsidRPr="00D71060">
        <w:rPr>
          <w:rFonts w:ascii="Calibri" w:hAnsi="Calibri" w:cs="Calibri"/>
          <w:sz w:val="20"/>
          <w:szCs w:val="20"/>
        </w:rPr>
        <w:t>This slide presents a proprietary, end-to-end supply chain map for a product involving an API and downstream processing. It visualizes both physical and financial (trade) chains from intermediate sourcing through chemical API production, warehousing, spray drying, formulation, packaging, and distribution to global markets (US, Canada, EMEA, APAC, Australia/NZ, South Africa, Russia, Latin America, Indonesia). The diagram highlights alternative suppliers, regional processing sites, transfer plans, and regulatory statuses, offering a comprehensive view of current pathways and contingencies across the supply chain.</w:t>
      </w:r>
    </w:p>
    <w:p w14:paraId="0F80357F" w14:textId="77777777" w:rsidR="000706AA" w:rsidRDefault="000706AA" w:rsidP="00436192">
      <w:pPr>
        <w:rPr>
          <w:rFonts w:ascii="Calibri" w:hAnsi="Calibri" w:cs="Calibri"/>
          <w:sz w:val="20"/>
          <w:szCs w:val="20"/>
        </w:rPr>
      </w:pPr>
    </w:p>
    <w:p w14:paraId="08F8A78E" w14:textId="77777777" w:rsidR="000706AA" w:rsidRDefault="000706AA" w:rsidP="00436192">
      <w:pPr>
        <w:rPr>
          <w:rFonts w:ascii="Calibri" w:hAnsi="Calibri" w:cs="Calibri"/>
          <w:sz w:val="20"/>
          <w:szCs w:val="20"/>
        </w:rPr>
      </w:pPr>
    </w:p>
    <w:p w14:paraId="3B34EE35" w14:textId="77777777" w:rsidR="000706AA" w:rsidRDefault="000706AA" w:rsidP="00436192">
      <w:pPr>
        <w:rPr>
          <w:rFonts w:ascii="Calibri" w:hAnsi="Calibri" w:cs="Calibri"/>
          <w:sz w:val="20"/>
          <w:szCs w:val="20"/>
        </w:rPr>
      </w:pPr>
    </w:p>
    <w:p w14:paraId="28055E6A" w14:textId="77777777" w:rsidR="000706AA" w:rsidRDefault="000706AA" w:rsidP="00436192">
      <w:pPr>
        <w:rPr>
          <w:rFonts w:ascii="Calibri" w:hAnsi="Calibri" w:cs="Calibri"/>
          <w:sz w:val="20"/>
          <w:szCs w:val="20"/>
        </w:rPr>
      </w:pPr>
    </w:p>
    <w:p w14:paraId="37F07CFA" w14:textId="77777777" w:rsidR="000706AA" w:rsidRDefault="000706AA" w:rsidP="00436192">
      <w:pPr>
        <w:rPr>
          <w:rFonts w:ascii="Calibri" w:hAnsi="Calibri" w:cs="Calibri"/>
          <w:sz w:val="20"/>
          <w:szCs w:val="20"/>
        </w:rPr>
      </w:pPr>
    </w:p>
    <w:p w14:paraId="6F88129E" w14:textId="77777777" w:rsidR="000706AA" w:rsidRDefault="000706AA" w:rsidP="00436192">
      <w:pPr>
        <w:rPr>
          <w:rFonts w:ascii="Calibri" w:hAnsi="Calibri" w:cs="Calibri"/>
          <w:sz w:val="20"/>
          <w:szCs w:val="20"/>
        </w:rPr>
      </w:pPr>
    </w:p>
    <w:p w14:paraId="5A1D508B" w14:textId="77777777" w:rsidR="000706AA" w:rsidRDefault="000706AA" w:rsidP="00436192">
      <w:pPr>
        <w:rPr>
          <w:rFonts w:ascii="Calibri" w:hAnsi="Calibri" w:cs="Calibri"/>
          <w:sz w:val="20"/>
          <w:szCs w:val="20"/>
        </w:rPr>
      </w:pPr>
    </w:p>
    <w:p w14:paraId="0AC2207B" w14:textId="77777777" w:rsidR="000706AA" w:rsidRDefault="000706AA" w:rsidP="00436192">
      <w:pPr>
        <w:rPr>
          <w:rFonts w:ascii="Calibri" w:hAnsi="Calibri" w:cs="Calibri"/>
          <w:sz w:val="20"/>
          <w:szCs w:val="20"/>
        </w:rPr>
      </w:pPr>
    </w:p>
    <w:p w14:paraId="3637AA90" w14:textId="77777777" w:rsidR="000706AA" w:rsidRDefault="000706AA" w:rsidP="00436192">
      <w:pPr>
        <w:rPr>
          <w:rFonts w:ascii="Calibri" w:hAnsi="Calibri" w:cs="Calibri"/>
          <w:sz w:val="20"/>
          <w:szCs w:val="20"/>
        </w:rPr>
      </w:pPr>
    </w:p>
    <w:p w14:paraId="10B515A6" w14:textId="77777777" w:rsidR="000706AA" w:rsidRDefault="000706AA" w:rsidP="00436192">
      <w:pPr>
        <w:rPr>
          <w:rFonts w:ascii="Calibri" w:hAnsi="Calibri" w:cs="Calibri"/>
          <w:sz w:val="20"/>
          <w:szCs w:val="20"/>
        </w:rPr>
      </w:pPr>
    </w:p>
    <w:p w14:paraId="05CD48C5" w14:textId="77777777" w:rsidR="000706AA" w:rsidRDefault="000706AA" w:rsidP="00436192">
      <w:pPr>
        <w:rPr>
          <w:rFonts w:ascii="Calibri" w:hAnsi="Calibri" w:cs="Calibri"/>
          <w:sz w:val="20"/>
          <w:szCs w:val="20"/>
        </w:rPr>
      </w:pPr>
    </w:p>
    <w:p w14:paraId="144FFC3A" w14:textId="77777777" w:rsidR="000706AA" w:rsidRDefault="000706AA" w:rsidP="00436192">
      <w:pPr>
        <w:rPr>
          <w:rFonts w:ascii="Calibri" w:hAnsi="Calibri" w:cs="Calibri"/>
          <w:sz w:val="20"/>
          <w:szCs w:val="20"/>
        </w:rPr>
      </w:pPr>
    </w:p>
    <w:p w14:paraId="2688EF24" w14:textId="77777777" w:rsidR="000706AA" w:rsidRDefault="000706AA" w:rsidP="00436192">
      <w:pPr>
        <w:rPr>
          <w:rFonts w:ascii="Calibri" w:hAnsi="Calibri" w:cs="Calibri"/>
          <w:sz w:val="20"/>
          <w:szCs w:val="20"/>
        </w:rPr>
      </w:pPr>
    </w:p>
    <w:p w14:paraId="4CDC4581" w14:textId="77777777" w:rsidR="000706AA" w:rsidRDefault="000706AA" w:rsidP="00436192">
      <w:pPr>
        <w:rPr>
          <w:rFonts w:ascii="Calibri" w:hAnsi="Calibri" w:cs="Calibri"/>
          <w:sz w:val="20"/>
          <w:szCs w:val="20"/>
        </w:rPr>
      </w:pPr>
    </w:p>
    <w:p w14:paraId="31F112A6" w14:textId="77777777" w:rsidR="000706AA" w:rsidRDefault="000706AA" w:rsidP="00436192">
      <w:pPr>
        <w:rPr>
          <w:rFonts w:ascii="Calibri" w:hAnsi="Calibri" w:cs="Calibri"/>
          <w:sz w:val="20"/>
          <w:szCs w:val="20"/>
        </w:rPr>
      </w:pPr>
    </w:p>
    <w:p w14:paraId="2B70851B" w14:textId="77777777" w:rsidR="000706AA" w:rsidRDefault="000706AA" w:rsidP="00436192">
      <w:pPr>
        <w:rPr>
          <w:rFonts w:ascii="Calibri" w:hAnsi="Calibri" w:cs="Calibri"/>
          <w:sz w:val="20"/>
          <w:szCs w:val="20"/>
        </w:rPr>
      </w:pPr>
    </w:p>
    <w:p w14:paraId="560D86CF" w14:textId="77777777" w:rsidR="000706AA" w:rsidRDefault="000706AA" w:rsidP="00436192">
      <w:pPr>
        <w:rPr>
          <w:rFonts w:ascii="Calibri" w:hAnsi="Calibri" w:cs="Calibri"/>
          <w:sz w:val="20"/>
          <w:szCs w:val="20"/>
        </w:rPr>
      </w:pPr>
    </w:p>
    <w:p w14:paraId="06B826E0" w14:textId="77777777" w:rsidR="000706AA" w:rsidRDefault="000706AA" w:rsidP="00436192">
      <w:pPr>
        <w:rPr>
          <w:rFonts w:ascii="Calibri" w:hAnsi="Calibri" w:cs="Calibri"/>
          <w:sz w:val="20"/>
          <w:szCs w:val="20"/>
        </w:rPr>
      </w:pPr>
    </w:p>
    <w:p w14:paraId="6B28A45A" w14:textId="77777777" w:rsidR="000706AA" w:rsidRDefault="000706AA" w:rsidP="00436192">
      <w:pPr>
        <w:rPr>
          <w:rFonts w:ascii="Calibri" w:hAnsi="Calibri" w:cs="Calibri"/>
          <w:sz w:val="20"/>
          <w:szCs w:val="20"/>
        </w:rPr>
      </w:pPr>
    </w:p>
    <w:p w14:paraId="5F367BB3" w14:textId="77777777" w:rsidR="000706AA" w:rsidRDefault="000706AA" w:rsidP="00436192">
      <w:pPr>
        <w:rPr>
          <w:rFonts w:ascii="Calibri" w:hAnsi="Calibri" w:cs="Calibri"/>
          <w:b/>
          <w:bCs/>
          <w:sz w:val="20"/>
          <w:szCs w:val="20"/>
          <w:highlight w:val="yellow"/>
        </w:rPr>
      </w:pPr>
    </w:p>
    <w:p w14:paraId="33D941CE" w14:textId="0CD3B561" w:rsidR="008138C5" w:rsidRPr="009C4BB3" w:rsidRDefault="008138C5" w:rsidP="008138C5">
      <w:pPr>
        <w:rPr>
          <w:rFonts w:ascii="Calibri" w:hAnsi="Calibri" w:cs="Calibri"/>
          <w:b/>
          <w:bCs/>
          <w:sz w:val="20"/>
          <w:szCs w:val="20"/>
        </w:rPr>
      </w:pPr>
      <w:r w:rsidRPr="000706AA">
        <w:rPr>
          <w:rFonts w:ascii="Calibri" w:hAnsi="Calibri" w:cs="Calibri"/>
          <w:b/>
          <w:bCs/>
          <w:sz w:val="20"/>
          <w:szCs w:val="20"/>
          <w:highlight w:val="yellow"/>
        </w:rPr>
        <w:lastRenderedPageBreak/>
        <w:t>GPT-4 Supply Chain Map Decomposition</w:t>
      </w:r>
      <w:r w:rsidR="000706AA" w:rsidRPr="000706AA">
        <w:rPr>
          <w:rFonts w:ascii="Calibri" w:hAnsi="Calibri" w:cs="Calibri"/>
          <w:b/>
          <w:bCs/>
          <w:sz w:val="20"/>
          <w:szCs w:val="20"/>
          <w:highlight w:val="yellow"/>
        </w:rPr>
        <w:t xml:space="preserve"> / Token Count: 493</w:t>
      </w:r>
    </w:p>
    <w:p w14:paraId="30BE56CD"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Identified Content:</w:t>
      </w:r>
    </w:p>
    <w:p w14:paraId="1114BD95"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xml:space="preserve">#### Chart: </w:t>
      </w:r>
    </w:p>
    <w:p w14:paraId="63B9BF10"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Type:</w:t>
      </w:r>
    </w:p>
    <w:p w14:paraId="67E3C305"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Flowchart</w:t>
      </w:r>
    </w:p>
    <w:p w14:paraId="27BD7A79"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Description:</w:t>
      </w:r>
    </w:p>
    <w:p w14:paraId="2B103DC3"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**Axes**: None since this is a flowchart.</w:t>
      </w:r>
    </w:p>
    <w:p w14:paraId="291E3875"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xml:space="preserve">- **Data Points or Trends**: </w:t>
      </w:r>
    </w:p>
    <w:p w14:paraId="0768B973"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579F1531"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Intermediate   |   Trade step</w:t>
      </w:r>
    </w:p>
    <w:p w14:paraId="0CFCDD48" w14:textId="133F9AAB"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5BC1DCE2"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Ballydine (IE) | Ballydine</w:t>
      </w:r>
    </w:p>
    <w:p w14:paraId="3743C01D"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3D2DF599"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MSD-IC (</w:t>
      </w:r>
      <w:proofErr w:type="gramStart"/>
      <w:r w:rsidRPr="009C4BB3">
        <w:rPr>
          <w:rFonts w:ascii="Calibri" w:hAnsi="Calibri" w:cs="Calibri"/>
          <w:sz w:val="20"/>
          <w:szCs w:val="20"/>
        </w:rPr>
        <w:t xml:space="preserve">IE)   </w:t>
      </w:r>
      <w:proofErr w:type="gramEnd"/>
      <w:r w:rsidRPr="009C4BB3">
        <w:rPr>
          <w:rFonts w:ascii="Calibri" w:hAnsi="Calibri" w:cs="Calibri"/>
          <w:sz w:val="20"/>
          <w:szCs w:val="20"/>
        </w:rPr>
        <w:t xml:space="preserve"> | Ballydine</w:t>
      </w:r>
    </w:p>
    <w:p w14:paraId="2733B8FD"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xml:space="preserve">ASCI 15687     | </w:t>
      </w:r>
    </w:p>
    <w:p w14:paraId="064C838D"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405F7032"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Pyridine       |</w:t>
      </w:r>
    </w:p>
    <w:p w14:paraId="285FFBF1"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055114DC"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India          | MSD Singapore Trading</w:t>
      </w:r>
    </w:p>
    <w:p w14:paraId="1299FA44"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DIVIS (PF)     | Plant 15682</w:t>
      </w:r>
    </w:p>
    <w:p w14:paraId="3822BAFA"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xml:space="preserve">               |</w:t>
      </w:r>
    </w:p>
    <w:p w14:paraId="276BCC1C"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HMT            | MSD Singapore</w:t>
      </w:r>
    </w:p>
    <w:p w14:paraId="6D8205FE"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302CC77A"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Italy          | Trading Pl</w:t>
      </w:r>
    </w:p>
    <w:p w14:paraId="40ED63DE"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FI5 (PF)       | Ca. 11600</w:t>
      </w:r>
    </w:p>
    <w:p w14:paraId="6E1D1F9A"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w:t>
      </w:r>
    </w:p>
    <w:p w14:paraId="63EC8C55"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Key Observations:</w:t>
      </w:r>
    </w:p>
    <w:p w14:paraId="04D07A5D"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The flowchart depicts the process steps involved including intermediates and trade steps.</w:t>
      </w:r>
    </w:p>
    <w:p w14:paraId="4CF30153" w14:textId="79A6DD3D" w:rsidR="008138C5" w:rsidRPr="009C4BB3" w:rsidRDefault="008138C5" w:rsidP="008138C5">
      <w:pPr>
        <w:rPr>
          <w:rFonts w:ascii="Calibri" w:hAnsi="Calibri" w:cs="Calibri"/>
          <w:sz w:val="20"/>
          <w:szCs w:val="20"/>
        </w:rPr>
      </w:pPr>
      <w:r w:rsidRPr="009C4BB3">
        <w:rPr>
          <w:rFonts w:ascii="Calibri" w:hAnsi="Calibri" w:cs="Calibri"/>
          <w:sz w:val="20"/>
          <w:szCs w:val="20"/>
        </w:rPr>
        <w:t>- It starts from Ballydine (IE) and moves through multiple trade steps involving Pyridine, DIVIS and HMT in India, and FI5 in Italy.</w:t>
      </w:r>
    </w:p>
    <w:p w14:paraId="2186A831" w14:textId="0A1D52DD" w:rsidR="008138C5" w:rsidRDefault="008138C5" w:rsidP="008138C5">
      <w:pPr>
        <w:rPr>
          <w:rFonts w:ascii="Calibri" w:hAnsi="Calibri" w:cs="Calibri"/>
          <w:sz w:val="20"/>
          <w:szCs w:val="20"/>
        </w:rPr>
      </w:pPr>
      <w:r w:rsidRPr="009C4BB3">
        <w:rPr>
          <w:rFonts w:ascii="Calibri" w:hAnsi="Calibri" w:cs="Calibri"/>
          <w:sz w:val="20"/>
          <w:szCs w:val="20"/>
        </w:rPr>
        <w:t>- Major intermediates include DIVIS (PF) and FI5 (PF), with corresponding trade steps linked to specific plants and potentially batch numbers.</w:t>
      </w:r>
    </w:p>
    <w:p w14:paraId="2200995E" w14:textId="77777777" w:rsidR="00C4745A" w:rsidRPr="009C4BB3" w:rsidRDefault="00C4745A" w:rsidP="008138C5">
      <w:pPr>
        <w:rPr>
          <w:rFonts w:ascii="Calibri" w:hAnsi="Calibri" w:cs="Calibri"/>
          <w:sz w:val="20"/>
          <w:szCs w:val="20"/>
        </w:rPr>
      </w:pPr>
    </w:p>
    <w:p w14:paraId="45EF2DE0"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lastRenderedPageBreak/>
        <w:t>#### Text:</w:t>
      </w:r>
    </w:p>
    <w:p w14:paraId="03BFCE8F" w14:textId="77777777" w:rsidR="008138C5" w:rsidRPr="009C4BB3" w:rsidRDefault="008138C5" w:rsidP="008138C5">
      <w:pPr>
        <w:rPr>
          <w:rFonts w:ascii="Calibri" w:hAnsi="Calibri" w:cs="Calibri"/>
          <w:sz w:val="20"/>
          <w:szCs w:val="20"/>
        </w:rPr>
      </w:pPr>
      <w:r w:rsidRPr="009C4BB3">
        <w:rPr>
          <w:rFonts w:ascii="Calibri" w:hAnsi="Calibri" w:cs="Calibri"/>
          <w:sz w:val="20"/>
          <w:szCs w:val="20"/>
        </w:rPr>
        <w:t>- The chart does not contain standalone text blocks but labels and identifiers within the flowchart.</w:t>
      </w:r>
    </w:p>
    <w:p w14:paraId="7063F1CD" w14:textId="77777777" w:rsidR="008138C5" w:rsidRPr="009C4BB3" w:rsidRDefault="008138C5" w:rsidP="008138C5">
      <w:pPr>
        <w:rPr>
          <w:rFonts w:ascii="Calibri" w:hAnsi="Calibri" w:cs="Calibri"/>
          <w:b/>
          <w:bCs/>
          <w:sz w:val="20"/>
          <w:szCs w:val="20"/>
        </w:rPr>
      </w:pPr>
      <w:r w:rsidRPr="009C4BB3">
        <w:rPr>
          <w:rFonts w:ascii="Calibri" w:hAnsi="Calibri" w:cs="Calibri"/>
          <w:b/>
          <w:bCs/>
          <w:sz w:val="20"/>
          <w:szCs w:val="20"/>
        </w:rPr>
        <w:t>### Summarized Description:</w:t>
      </w:r>
    </w:p>
    <w:p w14:paraId="61EEE0B6" w14:textId="37FD937B" w:rsidR="008138C5" w:rsidRPr="008138C5" w:rsidRDefault="008138C5" w:rsidP="00C4745A">
      <w:pPr>
        <w:jc w:val="both"/>
        <w:rPr>
          <w:rFonts w:ascii="Calibri" w:hAnsi="Calibri" w:cs="Calibri"/>
          <w:sz w:val="20"/>
          <w:szCs w:val="20"/>
        </w:rPr>
      </w:pPr>
      <w:r w:rsidRPr="009C4BB3">
        <w:rPr>
          <w:rFonts w:ascii="Calibri" w:hAnsi="Calibri" w:cs="Calibri"/>
          <w:sz w:val="20"/>
          <w:szCs w:val="20"/>
        </w:rPr>
        <w:t>This slide is a flowchart illustrating the sequence of intermediate processes and trade steps involving various intermediates, specifically starting in Ballydine, Ireland, moving through India’s DIVIS and HMT, and involving Italy’s FI5. The primary focus is on detailed tracking of intermediaries (such as Pyridine and ASCI 15687) throughout the manufacturing and logistics pipeline, highlighting specific trading plants in Singapore and various codes like Plant 15682 and Ca 11600 used in the traceability of materials.</w:t>
      </w:r>
    </w:p>
    <w:p w14:paraId="672AEC7B" w14:textId="5BDED3EF" w:rsidR="00436192" w:rsidRPr="00FD62A7" w:rsidRDefault="00436192" w:rsidP="00436192">
      <w:pPr>
        <w:rPr>
          <w:rFonts w:ascii="Calibri" w:hAnsi="Calibri" w:cs="Calibri"/>
          <w:b/>
          <w:bCs/>
          <w:sz w:val="20"/>
          <w:szCs w:val="20"/>
        </w:rPr>
      </w:pPr>
      <w:r w:rsidRPr="000706AA">
        <w:rPr>
          <w:rFonts w:ascii="Calibri" w:hAnsi="Calibri" w:cs="Calibri"/>
          <w:b/>
          <w:bCs/>
          <w:sz w:val="20"/>
          <w:szCs w:val="20"/>
          <w:highlight w:val="yellow"/>
        </w:rPr>
        <w:t>GPT-5 Supply Chain Map</w:t>
      </w:r>
      <w:r w:rsidR="009C4BB3" w:rsidRPr="000706AA">
        <w:rPr>
          <w:rFonts w:ascii="Calibri" w:hAnsi="Calibri" w:cs="Calibri"/>
          <w:b/>
          <w:bCs/>
          <w:sz w:val="20"/>
          <w:szCs w:val="20"/>
          <w:highlight w:val="yellow"/>
        </w:rPr>
        <w:t xml:space="preserve"> </w:t>
      </w:r>
      <w:r w:rsidRPr="000706AA">
        <w:rPr>
          <w:rFonts w:ascii="Calibri" w:hAnsi="Calibri" w:cs="Calibri"/>
          <w:b/>
          <w:bCs/>
          <w:sz w:val="20"/>
          <w:szCs w:val="20"/>
          <w:highlight w:val="yellow"/>
        </w:rPr>
        <w:t>Decomposition</w:t>
      </w:r>
      <w:r w:rsidR="000706AA" w:rsidRPr="000706AA">
        <w:rPr>
          <w:rFonts w:ascii="Calibri" w:hAnsi="Calibri" w:cs="Calibri"/>
          <w:b/>
          <w:bCs/>
          <w:sz w:val="20"/>
          <w:szCs w:val="20"/>
          <w:highlight w:val="yellow"/>
        </w:rPr>
        <w:t xml:space="preserve"> / Token Count: 803</w:t>
      </w:r>
    </w:p>
    <w:p w14:paraId="62F770A0" w14:textId="681DFF85"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Extracted Content</w:t>
      </w:r>
    </w:p>
    <w:p w14:paraId="64CC5F02" w14:textId="090B6822"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Object Type: Flow Diagram (Process/Trade Flow)</w:t>
      </w:r>
    </w:p>
    <w:p w14:paraId="4BC7BE98" w14:textId="6F440216" w:rsidR="008138C5" w:rsidRPr="008138C5" w:rsidRDefault="008138C5" w:rsidP="008138C5">
      <w:pPr>
        <w:rPr>
          <w:rFonts w:ascii="Calibri" w:hAnsi="Calibri" w:cs="Calibri"/>
          <w:sz w:val="20"/>
          <w:szCs w:val="20"/>
        </w:rPr>
      </w:pPr>
      <w:r w:rsidRPr="008138C5">
        <w:rPr>
          <w:rFonts w:ascii="Calibri" w:hAnsi="Calibri" w:cs="Calibri"/>
          <w:sz w:val="20"/>
          <w:szCs w:val="20"/>
        </w:rPr>
        <w:t>The page presents a vertical flow diagram illustrating intermediates and trade steps across regions and entities. It is not a conventional chart with axes, nor a tabular layout. Text is arranged inside boxes connected by arrows/lines, indicating sequence or relationships.</w:t>
      </w:r>
    </w:p>
    <w:p w14:paraId="7C5F40D4" w14:textId="6CE9BADD"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Detailed Extraction (Text preserved by box/section)</w:t>
      </w:r>
    </w:p>
    <w:p w14:paraId="6D471194"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Header row (implied columns):</w:t>
      </w:r>
    </w:p>
    <w:p w14:paraId="5A7A51AD"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Left column label: Intermediate</w:t>
      </w:r>
    </w:p>
    <w:p w14:paraId="01FEA706" w14:textId="50A37429"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Right column label: Trade step</w:t>
      </w:r>
    </w:p>
    <w:p w14:paraId="215A5332" w14:textId="77777777"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Top box (left column):</w:t>
      </w:r>
    </w:p>
    <w:p w14:paraId="2136599E"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Batylolide (I)</w:t>
      </w:r>
    </w:p>
    <w:p w14:paraId="3D18D292"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Plant 1058</w:t>
      </w:r>
    </w:p>
    <w:p w14:paraId="7C531283"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MDI &amp; (I) Batylolide</w:t>
      </w:r>
    </w:p>
    <w:p w14:paraId="19FA25E0"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Co. 1947</w:t>
      </w:r>
    </w:p>
    <w:p w14:paraId="095020E7" w14:textId="454DF6DE"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Pyrodone</w:t>
      </w:r>
    </w:p>
    <w:p w14:paraId="620AEE8B" w14:textId="77777777"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Top-right box (right column):</w:t>
      </w:r>
    </w:p>
    <w:p w14:paraId="586E4647"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MDI Singapore Trading</w:t>
      </w:r>
    </w:p>
    <w:p w14:paraId="198AEE55"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Plant 1152</w:t>
      </w:r>
    </w:p>
    <w:p w14:paraId="01E5F2DF"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MDI Singapore</w:t>
      </w:r>
    </w:p>
    <w:p w14:paraId="6DA30D21"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Trading Pte</w:t>
      </w:r>
    </w:p>
    <w:p w14:paraId="436B3C51" w14:textId="494AA0D8"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Co. 1150</w:t>
      </w:r>
    </w:p>
    <w:p w14:paraId="03F5D2C9" w14:textId="77777777"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Middle-left box (left column, under India label):</w:t>
      </w:r>
    </w:p>
    <w:p w14:paraId="08A416F4"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India</w:t>
      </w:r>
    </w:p>
    <w:p w14:paraId="251F13AE" w14:textId="465920FD"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DIVIS (3P)</w:t>
      </w:r>
    </w:p>
    <w:p w14:paraId="3442D314"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Connector label between India and Italy tiers:</w:t>
      </w:r>
    </w:p>
    <w:p w14:paraId="11FA4381" w14:textId="736EA90D"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HMT</w:t>
      </w:r>
    </w:p>
    <w:p w14:paraId="48FC7538" w14:textId="77777777" w:rsidR="008138C5" w:rsidRPr="008138C5" w:rsidRDefault="008138C5" w:rsidP="008138C5">
      <w:pPr>
        <w:rPr>
          <w:rFonts w:ascii="Calibri" w:hAnsi="Calibri" w:cs="Calibri"/>
          <w:sz w:val="20"/>
          <w:szCs w:val="20"/>
        </w:rPr>
      </w:pPr>
      <w:r w:rsidRPr="008138C5">
        <w:rPr>
          <w:rFonts w:ascii="Calibri" w:hAnsi="Calibri" w:cs="Calibri"/>
          <w:b/>
          <w:bCs/>
          <w:sz w:val="20"/>
          <w:szCs w:val="20"/>
        </w:rPr>
        <w:lastRenderedPageBreak/>
        <w:t>- Bottom-left box (left column, under Italy label</w:t>
      </w:r>
      <w:r w:rsidRPr="008138C5">
        <w:rPr>
          <w:rFonts w:ascii="Calibri" w:hAnsi="Calibri" w:cs="Calibri"/>
          <w:sz w:val="20"/>
          <w:szCs w:val="20"/>
        </w:rPr>
        <w:t>):</w:t>
      </w:r>
    </w:p>
    <w:p w14:paraId="1829CF85"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Italy</w:t>
      </w:r>
    </w:p>
    <w:p w14:paraId="17C887F2" w14:textId="6DAB0379"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FIS (3P)</w:t>
      </w:r>
    </w:p>
    <w:p w14:paraId="0313FBBA"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Footer note/connector text:</w:t>
      </w:r>
    </w:p>
    <w:p w14:paraId="6C6F711F" w14:textId="27D3F5F4"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Pyrodone and HMT</w:t>
      </w:r>
    </w:p>
    <w:p w14:paraId="0A539C83" w14:textId="77777777"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Visual structure and connectors:</w:t>
      </w:r>
    </w:p>
    <w:p w14:paraId="44A816F2"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Boxes are connected with red and green lines indicating flow between intermediates and trade steps. </w:t>
      </w:r>
    </w:p>
    <w:p w14:paraId="7F851515"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The left column appears to list manufacturing/intermediate sources by country and plant/company.</w:t>
      </w:r>
    </w:p>
    <w:p w14:paraId="2F86B84C"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The right column highlights a trading step centered on “MDI Singapore Trading.”</w:t>
      </w:r>
    </w:p>
    <w:p w14:paraId="5E590437"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xml:space="preserve">  - Green lines emphasize connections involving “Pyrodone” and “HMT.”</w:t>
      </w:r>
    </w:p>
    <w:p w14:paraId="5B262850" w14:textId="0A4F4694" w:rsidR="008138C5" w:rsidRDefault="008138C5" w:rsidP="008138C5">
      <w:pPr>
        <w:rPr>
          <w:rFonts w:ascii="Calibri" w:hAnsi="Calibri" w:cs="Calibri"/>
          <w:sz w:val="20"/>
          <w:szCs w:val="20"/>
        </w:rPr>
      </w:pPr>
      <w:r w:rsidRPr="008138C5">
        <w:rPr>
          <w:rFonts w:ascii="Calibri" w:hAnsi="Calibri" w:cs="Calibri"/>
          <w:sz w:val="20"/>
          <w:szCs w:val="20"/>
        </w:rPr>
        <w:t xml:space="preserve">  - Red lines depict other trade or material flow paths between the entities</w:t>
      </w:r>
      <w:r>
        <w:rPr>
          <w:rFonts w:ascii="Calibri" w:hAnsi="Calibri" w:cs="Calibri"/>
          <w:sz w:val="20"/>
          <w:szCs w:val="20"/>
        </w:rPr>
        <w:t>.</w:t>
      </w:r>
    </w:p>
    <w:p w14:paraId="3A0E97B7" w14:textId="0A4486F9" w:rsidR="008138C5" w:rsidRPr="008138C5" w:rsidRDefault="008138C5" w:rsidP="008138C5">
      <w:pPr>
        <w:rPr>
          <w:rFonts w:ascii="Calibri" w:hAnsi="Calibri" w:cs="Calibri"/>
          <w:b/>
          <w:bCs/>
          <w:sz w:val="20"/>
          <w:szCs w:val="20"/>
        </w:rPr>
      </w:pPr>
      <w:r w:rsidRPr="008138C5">
        <w:rPr>
          <w:rFonts w:ascii="Calibri" w:hAnsi="Calibri" w:cs="Calibri"/>
          <w:b/>
          <w:bCs/>
          <w:sz w:val="20"/>
          <w:szCs w:val="20"/>
        </w:rPr>
        <w:t>### Observed Relationships/Trends</w:t>
      </w:r>
    </w:p>
    <w:p w14:paraId="5CDF27FD"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Batylolide (Intermediate I) from Plant 1058 (MDI &amp; (I) Batylolide, Co. 1947) connects to Pyrodone.</w:t>
      </w:r>
    </w:p>
    <w:p w14:paraId="780DECF3"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India’s supplier is DIVIS (3P), suggesting a third-party manufacturer at this stage.</w:t>
      </w:r>
    </w:p>
    <w:p w14:paraId="49481087"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Italy’s supplier is FIS (3P), another third-party manufacturer.</w:t>
      </w:r>
    </w:p>
    <w:p w14:paraId="6CAED465"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HMT acts as a connector or intermediary between India (DIVIS) and Italy (FIS).</w:t>
      </w:r>
    </w:p>
    <w:p w14:paraId="0A17203B" w14:textId="77777777" w:rsidR="008138C5" w:rsidRPr="008138C5" w:rsidRDefault="008138C5" w:rsidP="008138C5">
      <w:pPr>
        <w:rPr>
          <w:rFonts w:ascii="Calibri" w:hAnsi="Calibri" w:cs="Calibri"/>
          <w:sz w:val="20"/>
          <w:szCs w:val="20"/>
        </w:rPr>
      </w:pPr>
      <w:r w:rsidRPr="008138C5">
        <w:rPr>
          <w:rFonts w:ascii="Calibri" w:hAnsi="Calibri" w:cs="Calibri"/>
          <w:sz w:val="20"/>
          <w:szCs w:val="20"/>
        </w:rPr>
        <w:t>- The trade step is centralized through MDI Singapore Trading (Plant 1152 / Trading Pte Co. 1150), which appears to receive or coordinate flows from the left-column entities.</w:t>
      </w:r>
    </w:p>
    <w:p w14:paraId="011F1727" w14:textId="5D06FAB8" w:rsidR="008138C5" w:rsidRPr="008138C5" w:rsidRDefault="008138C5" w:rsidP="008138C5">
      <w:pPr>
        <w:rPr>
          <w:rFonts w:ascii="Calibri" w:hAnsi="Calibri" w:cs="Calibri"/>
          <w:sz w:val="20"/>
          <w:szCs w:val="20"/>
        </w:rPr>
      </w:pPr>
      <w:r w:rsidRPr="008138C5">
        <w:rPr>
          <w:rFonts w:ascii="Calibri" w:hAnsi="Calibri" w:cs="Calibri"/>
          <w:sz w:val="20"/>
          <w:szCs w:val="20"/>
        </w:rPr>
        <w:t>- The note “Pyrodone and HMT” indicates specific flows or involvement highlighted in green across multiple connections.</w:t>
      </w:r>
    </w:p>
    <w:p w14:paraId="2DAEF339" w14:textId="5A87A39E" w:rsidR="008138C5" w:rsidRPr="00C4745A" w:rsidRDefault="008138C5" w:rsidP="008138C5">
      <w:pPr>
        <w:rPr>
          <w:rFonts w:ascii="Calibri" w:hAnsi="Calibri" w:cs="Calibri"/>
          <w:b/>
          <w:bCs/>
          <w:sz w:val="20"/>
          <w:szCs w:val="20"/>
        </w:rPr>
      </w:pPr>
      <w:r w:rsidRPr="00C4745A">
        <w:rPr>
          <w:rFonts w:ascii="Calibri" w:hAnsi="Calibri" w:cs="Calibri"/>
          <w:b/>
          <w:bCs/>
          <w:sz w:val="20"/>
          <w:szCs w:val="20"/>
        </w:rPr>
        <w:t>### Slide Summary</w:t>
      </w:r>
    </w:p>
    <w:p w14:paraId="06030CC3" w14:textId="2BB59A94" w:rsidR="00FD62A7" w:rsidRPr="00FD62A7" w:rsidRDefault="008138C5" w:rsidP="00C4745A">
      <w:pPr>
        <w:jc w:val="both"/>
        <w:rPr>
          <w:rFonts w:ascii="Calibri" w:hAnsi="Calibri" w:cs="Calibri"/>
          <w:sz w:val="20"/>
          <w:szCs w:val="20"/>
        </w:rPr>
      </w:pPr>
      <w:r w:rsidRPr="008138C5">
        <w:rPr>
          <w:rFonts w:ascii="Calibri" w:hAnsi="Calibri" w:cs="Calibri"/>
          <w:sz w:val="20"/>
          <w:szCs w:val="20"/>
        </w:rPr>
        <w:t>This slide depicts the supply and trade flow for an intermediate (Batylolide, Intermediate I) and related materials. It maps manufacturing and third-party suppliers in India (DIVIS) and Italy (FIS), with HMT acting as an intermediate connector, and shows that commercial transactions or distribution are routed through MDI Singapore Trading. Green-highlighted connections indicate paths involving Pyrodone and HMT, while red lines show the general flow between production sites and the trading entity. The purpose is to visualize stakeholders, geographies, and the movement of intermediates across the supply and trading chain.</w:t>
      </w:r>
    </w:p>
    <w:sectPr w:rsidR="00FD62A7" w:rsidRPr="00FD62A7" w:rsidSect="00FD62A7">
      <w:headerReference w:type="even" r:id="rId6"/>
      <w:headerReference w:type="default" r:id="rId7"/>
      <w:headerReference w:type="firs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6D8AA5" w14:textId="77777777" w:rsidR="00250F56" w:rsidRDefault="00250F56" w:rsidP="00815A00">
      <w:pPr>
        <w:spacing w:after="0" w:line="240" w:lineRule="auto"/>
      </w:pPr>
      <w:r>
        <w:separator/>
      </w:r>
    </w:p>
  </w:endnote>
  <w:endnote w:type="continuationSeparator" w:id="0">
    <w:p w14:paraId="03EB26CE" w14:textId="77777777" w:rsidR="00250F56" w:rsidRDefault="00250F56" w:rsidP="00815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17836" w14:textId="77777777" w:rsidR="00250F56" w:rsidRDefault="00250F56" w:rsidP="00815A00">
      <w:pPr>
        <w:spacing w:after="0" w:line="240" w:lineRule="auto"/>
      </w:pPr>
      <w:r>
        <w:separator/>
      </w:r>
    </w:p>
  </w:footnote>
  <w:footnote w:type="continuationSeparator" w:id="0">
    <w:p w14:paraId="6C268BDD" w14:textId="77777777" w:rsidR="00250F56" w:rsidRDefault="00250F56" w:rsidP="00815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646DB" w14:textId="4F2F6901" w:rsidR="00815A00" w:rsidRDefault="00815A00">
    <w:pPr>
      <w:pStyle w:val="Kopfzeile"/>
    </w:pPr>
    <w:r>
      <w:rPr>
        <w:noProof/>
      </w:rPr>
      <mc:AlternateContent>
        <mc:Choice Requires="wps">
          <w:drawing>
            <wp:anchor distT="0" distB="0" distL="0" distR="0" simplePos="0" relativeHeight="251659264" behindDoc="0" locked="0" layoutInCell="1" allowOverlap="1" wp14:anchorId="68DC36E2" wp14:editId="3FE712E6">
              <wp:simplePos x="635" y="635"/>
              <wp:positionH relativeFrom="page">
                <wp:align>left</wp:align>
              </wp:positionH>
              <wp:positionV relativeFrom="page">
                <wp:align>top</wp:align>
              </wp:positionV>
              <wp:extent cx="627380" cy="405765"/>
              <wp:effectExtent l="0" t="0" r="1270" b="13335"/>
              <wp:wrapNone/>
              <wp:docPr id="512919192" name="Text Box 2" descr="Public">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27380" cy="405765"/>
                      </a:xfrm>
                      <a:prstGeom prst="rect">
                        <a:avLst/>
                      </a:prstGeom>
                      <a:noFill/>
                      <a:ln>
                        <a:noFill/>
                      </a:ln>
                    </wps:spPr>
                    <wps:txbx>
                      <w:txbxContent>
                        <w:p w14:paraId="03C08579" w14:textId="0BCD253D"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8DC36E2" id="_x0000_t202" coordsize="21600,21600" o:spt="202" path="m,l,21600r21600,l21600,xe">
              <v:stroke joinstyle="miter"/>
              <v:path gradientshapeok="t" o:connecttype="rect"/>
            </v:shapetype>
            <v:shape id="Text Box 2" o:spid="_x0000_s1026" type="#_x0000_t202" alt="Public" style="position:absolute;margin-left:0;margin-top:0;width:49.4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" filled="f" stroked="f">
              <v:fill o:detectmouseclick="t"/>
              <v:textbox style="mso-fit-shape-to-text:t" inset="20pt,15pt,0,0">
                <w:txbxContent>
                  <w:p w14:paraId="03C08579" w14:textId="0BCD253D"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4F275" w14:textId="350677FC" w:rsidR="00815A00" w:rsidRDefault="00815A00">
    <w:pPr>
      <w:pStyle w:val="Kopfzeile"/>
    </w:pPr>
    <w:r>
      <w:rPr>
        <w:noProof/>
      </w:rPr>
      <mc:AlternateContent>
        <mc:Choice Requires="wps">
          <w:drawing>
            <wp:anchor distT="0" distB="0" distL="0" distR="0" simplePos="0" relativeHeight="251660288" behindDoc="0" locked="0" layoutInCell="1" allowOverlap="1" wp14:anchorId="5435C68D" wp14:editId="199087E4">
              <wp:simplePos x="914400" y="457200"/>
              <wp:positionH relativeFrom="page">
                <wp:align>left</wp:align>
              </wp:positionH>
              <wp:positionV relativeFrom="page">
                <wp:align>top</wp:align>
              </wp:positionV>
              <wp:extent cx="627380" cy="405765"/>
              <wp:effectExtent l="0" t="0" r="1270" b="13335"/>
              <wp:wrapNone/>
              <wp:docPr id="253427857" name="Text Box 3" descr="Public">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27380" cy="405765"/>
                      </a:xfrm>
                      <a:prstGeom prst="rect">
                        <a:avLst/>
                      </a:prstGeom>
                      <a:noFill/>
                      <a:ln>
                        <a:noFill/>
                      </a:ln>
                    </wps:spPr>
                    <wps:txbx>
                      <w:txbxContent>
                        <w:p w14:paraId="78EE3D46" w14:textId="66B192B3"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435C68D" id="_x0000_t202" coordsize="21600,21600" o:spt="202" path="m,l,21600r21600,l21600,xe">
              <v:stroke joinstyle="miter"/>
              <v:path gradientshapeok="t" o:connecttype="rect"/>
            </v:shapetype>
            <v:shape id="Text Box 3" o:spid="_x0000_s1027" type="#_x0000_t202" alt="Public" style="position:absolute;margin-left:0;margin-top:0;width:49.4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" filled="f" stroked="f">
              <v:fill o:detectmouseclick="t"/>
              <v:textbox style="mso-fit-shape-to-text:t" inset="20pt,15pt,0,0">
                <w:txbxContent>
                  <w:p w14:paraId="78EE3D46" w14:textId="66B192B3"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FCFE7" w14:textId="0B07FA93" w:rsidR="00815A00" w:rsidRDefault="00815A00">
    <w:pPr>
      <w:pStyle w:val="Kopfzeile"/>
    </w:pPr>
    <w:r>
      <w:rPr>
        <w:noProof/>
      </w:rPr>
      <mc:AlternateContent>
        <mc:Choice Requires="wps">
          <w:drawing>
            <wp:anchor distT="0" distB="0" distL="0" distR="0" simplePos="0" relativeHeight="251658240" behindDoc="0" locked="0" layoutInCell="1" allowOverlap="1" wp14:anchorId="4C2484B6" wp14:editId="1515C075">
              <wp:simplePos x="635" y="635"/>
              <wp:positionH relativeFrom="page">
                <wp:align>left</wp:align>
              </wp:positionH>
              <wp:positionV relativeFrom="page">
                <wp:align>top</wp:align>
              </wp:positionV>
              <wp:extent cx="627380" cy="405765"/>
              <wp:effectExtent l="0" t="0" r="1270" b="13335"/>
              <wp:wrapNone/>
              <wp:docPr id="546349398" name="Text Box 1" descr="Public">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627380" cy="405765"/>
                      </a:xfrm>
                      <a:prstGeom prst="rect">
                        <a:avLst/>
                      </a:prstGeom>
                      <a:noFill/>
                      <a:ln>
                        <a:noFill/>
                      </a:ln>
                    </wps:spPr>
                    <wps:txbx>
                      <w:txbxContent>
                        <w:p w14:paraId="22E89DE5" w14:textId="50FE262B"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C2484B6" id="_x0000_t202" coordsize="21600,21600" o:spt="202" path="m,l,21600r21600,l21600,xe">
              <v:stroke joinstyle="miter"/>
              <v:path gradientshapeok="t" o:connecttype="rect"/>
            </v:shapetype>
            <v:shape id="Text Box 1" o:spid="_x0000_s1028" type="#_x0000_t202" alt="Public" style="position:absolute;margin-left:0;margin-top:0;width:49.4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" filled="f" stroked="f">
              <v:fill o:detectmouseclick="t"/>
              <v:textbox style="mso-fit-shape-to-text:t" inset="20pt,15pt,0,0">
                <w:txbxContent>
                  <w:p w14:paraId="22E89DE5" w14:textId="50FE262B" w:rsidR="00815A00" w:rsidRPr="00815A00" w:rsidRDefault="00815A00" w:rsidP="00815A00">
                    <w:pPr>
                      <w:spacing w:after="0"/>
                      <w:rPr>
                        <w:rFonts w:ascii="Calibri" w:eastAsia="Calibri" w:hAnsi="Calibri" w:cs="Calibri"/>
                        <w:noProof/>
                        <w:color w:val="03C03C"/>
                      </w:rPr>
                    </w:pPr>
                    <w:r w:rsidRPr="00815A00">
                      <w:rPr>
                        <w:rFonts w:ascii="Calibri" w:eastAsia="Calibri" w:hAnsi="Calibri" w:cs="Calibri"/>
                        <w:noProof/>
                        <w:color w:val="03C03C"/>
                      </w:rPr>
                      <w:t>Public</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00"/>
    <w:rsid w:val="000706AA"/>
    <w:rsid w:val="00140B0A"/>
    <w:rsid w:val="00250F56"/>
    <w:rsid w:val="002E5E47"/>
    <w:rsid w:val="00431DFC"/>
    <w:rsid w:val="00436192"/>
    <w:rsid w:val="005254C6"/>
    <w:rsid w:val="006D4F30"/>
    <w:rsid w:val="008138C5"/>
    <w:rsid w:val="00815A00"/>
    <w:rsid w:val="009303FE"/>
    <w:rsid w:val="009C4BB3"/>
    <w:rsid w:val="00C4745A"/>
    <w:rsid w:val="00D31F85"/>
    <w:rsid w:val="00D71060"/>
    <w:rsid w:val="00DB70FF"/>
    <w:rsid w:val="00F25AA2"/>
    <w:rsid w:val="00FD6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33B6"/>
  <w15:chartTrackingRefBased/>
  <w15:docId w15:val="{2CA492B7-7823-48EB-87AE-F550D26F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6192"/>
  </w:style>
  <w:style w:type="paragraph" w:styleId="berschrift1">
    <w:name w:val="heading 1"/>
    <w:basedOn w:val="Standard"/>
    <w:next w:val="Standard"/>
    <w:link w:val="berschrift1Zchn"/>
    <w:uiPriority w:val="9"/>
    <w:qFormat/>
    <w:rsid w:val="00815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5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5A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5A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5A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5A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5A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5A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5A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5A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5A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5A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5A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5A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5A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5A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5A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5A00"/>
    <w:rPr>
      <w:rFonts w:eastAsiaTheme="majorEastAsia" w:cstheme="majorBidi"/>
      <w:color w:val="272727" w:themeColor="text1" w:themeTint="D8"/>
    </w:rPr>
  </w:style>
  <w:style w:type="paragraph" w:styleId="Titel">
    <w:name w:val="Title"/>
    <w:basedOn w:val="Standard"/>
    <w:next w:val="Standard"/>
    <w:link w:val="TitelZchn"/>
    <w:uiPriority w:val="10"/>
    <w:qFormat/>
    <w:rsid w:val="00815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5A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5A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5A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5A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5A00"/>
    <w:rPr>
      <w:i/>
      <w:iCs/>
      <w:color w:val="404040" w:themeColor="text1" w:themeTint="BF"/>
    </w:rPr>
  </w:style>
  <w:style w:type="paragraph" w:styleId="Listenabsatz">
    <w:name w:val="List Paragraph"/>
    <w:basedOn w:val="Standard"/>
    <w:uiPriority w:val="34"/>
    <w:qFormat/>
    <w:rsid w:val="00815A00"/>
    <w:pPr>
      <w:ind w:left="720"/>
      <w:contextualSpacing/>
    </w:pPr>
  </w:style>
  <w:style w:type="character" w:styleId="IntensiveHervorhebung">
    <w:name w:val="Intense Emphasis"/>
    <w:basedOn w:val="Absatz-Standardschriftart"/>
    <w:uiPriority w:val="21"/>
    <w:qFormat/>
    <w:rsid w:val="00815A00"/>
    <w:rPr>
      <w:i/>
      <w:iCs/>
      <w:color w:val="0F4761" w:themeColor="accent1" w:themeShade="BF"/>
    </w:rPr>
  </w:style>
  <w:style w:type="paragraph" w:styleId="IntensivesZitat">
    <w:name w:val="Intense Quote"/>
    <w:basedOn w:val="Standard"/>
    <w:next w:val="Standard"/>
    <w:link w:val="IntensivesZitatZchn"/>
    <w:uiPriority w:val="30"/>
    <w:qFormat/>
    <w:rsid w:val="00815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5A00"/>
    <w:rPr>
      <w:i/>
      <w:iCs/>
      <w:color w:val="0F4761" w:themeColor="accent1" w:themeShade="BF"/>
    </w:rPr>
  </w:style>
  <w:style w:type="character" w:styleId="IntensiverVerweis">
    <w:name w:val="Intense Reference"/>
    <w:basedOn w:val="Absatz-Standardschriftart"/>
    <w:uiPriority w:val="32"/>
    <w:qFormat/>
    <w:rsid w:val="00815A00"/>
    <w:rPr>
      <w:b/>
      <w:bCs/>
      <w:smallCaps/>
      <w:color w:val="0F4761" w:themeColor="accent1" w:themeShade="BF"/>
      <w:spacing w:val="5"/>
    </w:rPr>
  </w:style>
  <w:style w:type="paragraph" w:styleId="Kopfzeile">
    <w:name w:val="header"/>
    <w:basedOn w:val="Standard"/>
    <w:link w:val="KopfzeileZchn"/>
    <w:uiPriority w:val="99"/>
    <w:unhideWhenUsed/>
    <w:rsid w:val="00815A00"/>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815A00"/>
  </w:style>
  <w:style w:type="paragraph" w:styleId="Sprechblasentext">
    <w:name w:val="Balloon Text"/>
    <w:basedOn w:val="Standard"/>
    <w:link w:val="SprechblasentextZchn"/>
    <w:uiPriority w:val="99"/>
    <w:semiHidden/>
    <w:unhideWhenUsed/>
    <w:rsid w:val="00250F56"/>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250F5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1776</Words>
  <Characters>11192</Characters>
  <Application>Microsoft Office Word</Application>
  <DocSecurity>0</DocSecurity>
  <Lines>93</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Kessler, Beat</dc:creator>
  <cp:keywords/>
  <dc:description/>
  <cp:lastModifiedBy>Beat Kessler</cp:lastModifiedBy>
  <cp:revision>5</cp:revision>
  <dcterms:created xsi:type="dcterms:W3CDTF">2025-11-21T20:13:00Z</dcterms:created>
  <dcterms:modified xsi:type="dcterms:W3CDTF">2025-11-22T09:09:00Z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2090a156,1e928698,f1b0091</vt:lpwstr>
  </property>
  <property fmtid="{D5CDD505-2E9C-101B-9397-08002B2CF9AE}" pid="3" name="ClassificationContentMarkingHeaderFontProps">
    <vt:lpwstr>#03c03c,12,Calibri</vt:lpwstr>
  </property>
  <property fmtid="{D5CDD505-2E9C-101B-9397-08002B2CF9AE}" pid="4" name="ClassificationContentMarkingHeaderText">
    <vt:lpwstr>Public</vt:lpwstr>
  </property>
  <property fmtid="{D5CDD505-2E9C-101B-9397-08002B2CF9AE}" pid="5" name="MSIP_Label_794a5f65-4bbe-4bbe-bb66-e23e35795661_Enabled">
    <vt:lpwstr>true</vt:lpwstr>
  </property>
  <property fmtid="{D5CDD505-2E9C-101B-9397-08002B2CF9AE}" pid="6" name="MSIP_Label_794a5f65-4bbe-4bbe-bb66-e23e35795661_SetDate">
    <vt:lpwstr>2025-11-21T19:23:51Z</vt:lpwstr>
  </property>
  <property fmtid="{D5CDD505-2E9C-101B-9397-08002B2CF9AE}" pid="7" name="MSIP_Label_794a5f65-4bbe-4bbe-bb66-e23e35795661_Method">
    <vt:lpwstr>Privileged</vt:lpwstr>
  </property>
  <property fmtid="{D5CDD505-2E9C-101B-9397-08002B2CF9AE}" pid="8" name="MSIP_Label_794a5f65-4bbe-4bbe-bb66-e23e35795661_Name">
    <vt:lpwstr>794a5f65-4bbe-4bbe-bb66-e23e35795661</vt:lpwstr>
  </property>
  <property fmtid="{D5CDD505-2E9C-101B-9397-08002B2CF9AE}" pid="9" name="MSIP_Label_794a5f65-4bbe-4bbe-bb66-e23e35795661_SiteId">
    <vt:lpwstr>a00de4ec-48a8-43a6-be74-e31274e2060d</vt:lpwstr>
  </property>
  <property fmtid="{D5CDD505-2E9C-101B-9397-08002B2CF9AE}" pid="10" name="MSIP_Label_794a5f65-4bbe-4bbe-bb66-e23e35795661_ActionId">
    <vt:lpwstr>820f0ac2-4968-4870-94de-f49382d6bbb8</vt:lpwstr>
  </property>
  <property fmtid="{D5CDD505-2E9C-101B-9397-08002B2CF9AE}" pid="11" name="MSIP_Label_794a5f65-4bbe-4bbe-bb66-e23e35795661_ContentBits">
    <vt:lpwstr>1</vt:lpwstr>
  </property>
  <property fmtid="{D5CDD505-2E9C-101B-9397-08002B2CF9AE}" pid="12" name="MSIP_Label_794a5f65-4bbe-4bbe-bb66-e23e35795661_Tag">
    <vt:lpwstr>10, 0, 1, 1</vt:lpwstr>
  </property>
  <property fmtid="{D5CDD505-2E9C-101B-9397-08002B2CF9AE}" pid="13" name="_AdHocReviewCycleID">
    <vt:i4>-853892869</vt:i4>
  </property>
  <property fmtid="{D5CDD505-2E9C-101B-9397-08002B2CF9AE}" pid="14" name="_NewReviewCycle">
    <vt:lpwstr/>
  </property>
  <property fmtid="{D5CDD505-2E9C-101B-9397-08002B2CF9AE}" pid="15" name="_EmailSubject">
    <vt:lpwstr/>
  </property>
  <property fmtid="{D5CDD505-2E9C-101B-9397-08002B2CF9AE}" pid="16" name="_AuthorEmail">
    <vt:lpwstr>beat.kessler@msd.com</vt:lpwstr>
  </property>
  <property fmtid="{D5CDD505-2E9C-101B-9397-08002B2CF9AE}" pid="17" name="_AuthorEmailDisplayName">
    <vt:lpwstr>Kessler, Beat</vt:lpwstr>
  </property>
</Properties>
</file>