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1.png" ContentType="image/png"/>
  <Override PartName="/word/media/rId52.png" ContentType="image/png"/>
  <Override PartName="/word/media/rId62.png" ContentType="image/png"/>
  <Override PartName="/word/media/rId88.png" ContentType="image/png"/>
  <Override PartName="/word/media/rId57.png" ContentType="image/png"/>
  <Override PartName="/word/media/rId83.png" ContentType="image/png"/>
  <Override PartName="/word/media/rId295.png" ContentType="image/png"/>
  <Override PartName="/word/media/rId68.png" ContentType="image/png"/>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Media advocacy promotes in-person and online audiences’ social justice engagement through empathy</w:t>
      </w:r>
    </w:p>
    <w:p>
      <w:pPr>
        <w:pStyle w:val="Author"/>
      </w:pPr>
      <w:r>
        <w:t xml:space="preserve"> </w:t>
      </w:r>
    </w:p>
    <w:p>
      <w:pPr>
        <w:pStyle w:val="Author"/>
      </w:pPr>
      <w:r>
        <w:t xml:space="preserve">Joshua L. Schlichting and Lauren K. Fink</w:t>
      </w:r>
    </w:p>
    <w:p>
      <w:pPr>
        <w:pStyle w:val="Author"/>
      </w:pPr>
      <w:r>
        <w:t xml:space="preserve">Department of Psychology, Neuroscience &amp; Behaviour, McMaster University</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Joshua L. Schlichting</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https://orcid.org/0000-0001-8239-5197</w:t>
        </w:r>
      </w:hyperlink>
    </w:p>
    <w:p>
      <w:pPr>
        <w:pStyle w:val="BodyText"/>
      </w:pPr>
      <w:r>
        <w:t xml:space="preserve">Lauren K. Fink</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https://orcid.org/0000-0001-6699-750X</w:t>
        </w:r>
      </w:hyperlink>
    </w:p>
    <w:p>
      <w:pPr>
        <w:pStyle w:val="BodyText"/>
      </w:pPr>
      <w:r>
        <w:t xml:space="preserve">The design, hypotheses, and analysis plan for study 2 were preregistered; see TODO. Data and code from this manuscript can be accessed at TODO. This article is based on the thesis completed by Schlichting (2025). The authors have no conflicts of interest to disclose. JLS was supported by a scholarship of the German Academic Exchange Service (DAAD). The authors would like to thank Allen Otte, John Lane, and Wojciech Lorenc for their artistic contribution, Innocence Canada for the provision of insights and materials, the LIVELab and BEAT Lab team for their crucial support in facilitating the live event, and Laurel Trainor and John Iversen for thoughtful comments on the project.</w:t>
      </w:r>
    </w:p>
    <w:p>
      <w:pPr>
        <w:pStyle w:val="BodyText"/>
      </w:pPr>
      <w:r>
        <w:t xml:space="preserve">Author roles were classified using the Contributor Role Taxonomy (CRediT;</w:t>
      </w:r>
      <w:r>
        <w:t xml:space="preserve"> </w:t>
      </w:r>
      <w:hyperlink r:id="rId30">
        <w:r>
          <w:rPr>
            <w:rStyle w:val="Hyperlink"/>
          </w:rPr>
          <w:t xml:space="preserve">credit.niso.org</w:t>
        </w:r>
      </w:hyperlink>
      <w:r>
        <w:t xml:space="preserve">) as follows: </w:t>
      </w:r>
      <w:r>
        <w:rPr>
          <w:i/>
          <w:iCs/>
        </w:rPr>
        <w:t xml:space="preserve">Joshua L. Schlichting</w:t>
      </w:r>
      <w:r>
        <w:rPr>
          <w:b/>
          <w:bCs/>
        </w:rPr>
        <w:t xml:space="preserve">: </w:t>
      </w:r>
      <w:r>
        <w:t xml:space="preserve">conceptualization, methodology, investigation, software, visualization, data curation, formal analysis, validation, and writing – original draft. </w:t>
      </w:r>
      <w:r>
        <w:rPr>
          <w:i/>
          <w:iCs/>
        </w:rPr>
        <w:t xml:space="preserve">Lauren K. Fink</w:t>
      </w:r>
      <w:r>
        <w:rPr>
          <w:b/>
          <w:bCs/>
        </w:rPr>
        <w:t xml:space="preserve">: </w:t>
      </w:r>
      <w:r>
        <w:t xml:space="preserve">conceptualization, methodology, investigation, funding acquisition, project administration, resources, supervision, and writing – review &amp; editing</w:t>
      </w:r>
    </w:p>
    <w:p>
      <w:pPr>
        <w:pStyle w:val="BodyText"/>
      </w:pPr>
      <w:r>
        <w:t xml:space="preserve">Correspondence concerning this article should be addressed to Lauren K. Fink, Department of Psychology, Neuroscience &amp; Behaviour, McMaster University, 1280 Main Street West, Hamilton, ON L8S 4K1, Canada</w:t>
      </w:r>
    </w:p>
    <w:p>
      <w:r>
        <w:br w:type="page"/>
      </w:r>
    </w:p>
    <w:bookmarkEnd w:id="31"/>
    <w:bookmarkStart w:id="32" w:name="abstract"/>
    <w:p>
      <w:pPr>
        <w:pStyle w:val="Heading1"/>
      </w:pPr>
      <w:r>
        <w:t xml:space="preserve">Abstract</w:t>
      </w:r>
    </w:p>
    <w:p>
      <w:pPr>
        <w:pStyle w:val="AbstractFirstParagraph"/>
      </w:pPr>
      <w:r>
        <w:t xml:space="preserve">Fighting systemic social injustices, such as wrongful imprisonment, requires broad public support. A promising means to mobilize support may be artistic media, which have a wide reach. Some media advocacy has been empirically evaluated and has shown tangible effects on audiences’ attitudes and behaviour. However, previous studies differ vastly in the media, reception contexts, and psychological variables that are evaluated. This diversity requires experimental comparison to identify the necessary and facilitating ingredients for media to successfully mobilize support for social justice causes. Across two studies, we evaluated how a narrative documentary film and an abstract music performance advocate for wrongfully imprisoned persons. We assessed three self-reported affective and cognitive variables before and after seeing the film and the performance, as well as behaviour in support of a charity fighting wrongful imprisonment, among audience members in the theatre (Study 1: N = 62) and at home viewing a stream (Study 1: N = 32; Study 2: N = 200). Audiences reported the largest increases in relationship closeness with a wrongfully imprisoned person, followed by empathic concern, with the smallest increases in problem awareness. The film had larger effects on closeness and empathy than the music performance, corroborating previous research highlighting the relevance of narration for media advocacy. Empathic concern predicted intentions to support a related charity, and thus seems crucial to mobilizing support for social justice causes. Self-reports were comparable between in-person and stream audiences, but in-person audiences performed more charitable behaviours, thus leaving questions regarding the generalizability of media’s mobilizing effects across spatial and temporal contexts.</w:t>
      </w:r>
    </w:p>
    <w:p>
      <w:pPr>
        <w:pStyle w:val="BodyText"/>
      </w:pPr>
      <w:r>
        <w:rPr>
          <w:i/>
          <w:iCs/>
        </w:rPr>
        <w:t xml:space="preserve">Keywords</w:t>
      </w:r>
      <w:r>
        <w:t xml:space="preserve">: music, film, social justice, prosocial, empathy</w:t>
      </w:r>
    </w:p>
    <w:p>
      <w:r>
        <w:br w:type="page"/>
      </w:r>
    </w:p>
    <w:bookmarkEnd w:id="32"/>
    <w:bookmarkStart w:id="33" w:name="firstheader"/>
    <w:p>
      <w:pPr>
        <w:pStyle w:val="Heading1"/>
      </w:pPr>
      <w:r>
        <w:t xml:space="preserve">Media advocacy promotes in-person and online audiences’ social justice engagement through empathy</w:t>
      </w:r>
    </w:p>
    <w:bookmarkEnd w:id="33"/>
    <w:bookmarkStart w:id="41" w:name="introduction"/>
    <w:p>
      <w:pPr>
        <w:pStyle w:val="Heading1"/>
      </w:pPr>
      <w:r>
        <w:t xml:space="preserve">Introduction</w:t>
      </w:r>
    </w:p>
    <w:p>
      <w:pPr>
        <w:pStyle w:val="FirstParagraph"/>
      </w:pPr>
      <w:r>
        <w:t xml:space="preserve">Despite our shared struggle for a better world, societies remain unjust. For example, criminal justice systems were implemented to enforce justice, but across societies, systemic issues lead to the wrongful imprisonment of innocent individuals. Arts and media are a way of reaching and engaging broad audiences to mobilize support to fight social injustices such as wrongful imprisonment. Film, TV, and theatre, using the power of storytelling, can shape attitudes and behaviours with regards to social injustice. Music is also commonly used to advocate for social justice issues, for instance in the forms of charity concerts and protest songs. Given that music typically has less storytelling than the previously mentioned media, it remains unclear how socially responsible music promotes audiences’ engagement with social justice issues. While previous research has uncovered how music shapes our evaluation of the people making the music or listening to it</w:t>
      </w:r>
      <w:r>
        <w:t xml:space="preserve"> </w:t>
      </w:r>
      <w:r>
        <w:t xml:space="preserve">(</w:t>
      </w:r>
      <w:hyperlink w:anchor="ref-boer2011">
        <w:r>
          <w:rPr>
            <w:rStyle w:val="Hyperlink"/>
          </w:rPr>
          <w:t xml:space="preserve">Boer et al., 2011</w:t>
        </w:r>
      </w:hyperlink>
      <w:r>
        <w:t xml:space="preserve">;</w:t>
      </w:r>
      <w:r>
        <w:t xml:space="preserve"> </w:t>
      </w:r>
      <w:hyperlink w:anchor="ref-chang2021">
        <w:r>
          <w:rPr>
            <w:rStyle w:val="Hyperlink"/>
          </w:rPr>
          <w:t xml:space="preserve">Chang et al., 2021</w:t>
        </w:r>
      </w:hyperlink>
      <w:r>
        <w:t xml:space="preserve">;</w:t>
      </w:r>
      <w:r>
        <w:t xml:space="preserve"> </w:t>
      </w:r>
      <w:hyperlink w:anchor="ref-lonsdale2009">
        <w:r>
          <w:rPr>
            <w:rStyle w:val="Hyperlink"/>
          </w:rPr>
          <w:t xml:space="preserve">Lonsdale &amp; North, 2009</w:t>
        </w:r>
      </w:hyperlink>
      <w:r>
        <w:t xml:space="preserve">; e.g.,</w:t>
      </w:r>
      <w:r>
        <w:t xml:space="preserve"> </w:t>
      </w:r>
      <w:hyperlink w:anchor="ref-onderdijk2021">
        <w:r>
          <w:rPr>
            <w:rStyle w:val="Hyperlink"/>
          </w:rPr>
          <w:t xml:space="preserve">Onderdijk et al., 2021</w:t>
        </w:r>
      </w:hyperlink>
      <w:r>
        <w:t xml:space="preserve">;</w:t>
      </w:r>
      <w:r>
        <w:t xml:space="preserve"> </w:t>
      </w:r>
      <w:hyperlink w:anchor="ref-rabinowitch2023">
        <w:r>
          <w:rPr>
            <w:rStyle w:val="Hyperlink"/>
          </w:rPr>
          <w:t xml:space="preserve">Rabinowitch, 2023</w:t>
        </w:r>
      </w:hyperlink>
      <w:r>
        <w:t xml:space="preserve">;</w:t>
      </w:r>
      <w:r>
        <w:t xml:space="preserve"> </w:t>
      </w:r>
      <w:hyperlink w:anchor="ref-rentfrow2009">
        <w:r>
          <w:rPr>
            <w:rStyle w:val="Hyperlink"/>
          </w:rPr>
          <w:t xml:space="preserve">Rentfrow et al., 2009</w:t>
        </w:r>
      </w:hyperlink>
      <w:r>
        <w:t xml:space="preserve">;</w:t>
      </w:r>
      <w:r>
        <w:t xml:space="preserve"> </w:t>
      </w:r>
      <w:hyperlink w:anchor="ref-swarbrick2023">
        <w:r>
          <w:rPr>
            <w:rStyle w:val="Hyperlink"/>
          </w:rPr>
          <w:t xml:space="preserve">Swarbrick &amp; Vuoskoski, 2023</w:t>
        </w:r>
      </w:hyperlink>
      <w:r>
        <w:t xml:space="preserve">)</w:t>
      </w:r>
      <w:r>
        <w:t xml:space="preserve">, few studies have investigated how music influences our views of the people and issues that are the subject of music. In addition, though theories of prosocial and charitable behaviour propose various predictors that could explain how arts and media can advocate for social justice issues, this plurality makes it difficult for researchers to integrate previous works, and for artists to understand which factors are decisive to effectively engage their audience.</w:t>
      </w:r>
    </w:p>
    <w:p>
      <w:pPr>
        <w:pStyle w:val="BodyText"/>
      </w:pPr>
      <w:r>
        <w:t xml:space="preserve">In two studies, we evaluate how an abstract music performance engages audiences with the issue of wrongful imprisonment, compared to a narrative documentary film. We assess changes in three affective and cognitive variables, empathic concern, relationship closeness, and problem awareness, and compare their influence on supportive behaviours observed in audiences in the concert hall and at home. This study provides empirical support for the mobilizing potential of music as a medium with less narration, and highlights which attitudinal facet artists should appeal to in order to gain support for their cause.</w:t>
      </w:r>
    </w:p>
    <w:bookmarkStart w:id="34" w:name="X4be732af9da333d089375397c522500247abbec"/>
    <w:p>
      <w:pPr>
        <w:pStyle w:val="Heading2"/>
      </w:pPr>
      <w:r>
        <w:t xml:space="preserve">Mobilizing support for social justice causes</w:t>
      </w:r>
    </w:p>
    <w:p>
      <w:pPr>
        <w:pStyle w:val="FirstParagraph"/>
      </w:pPr>
      <w:r>
        <w:t xml:space="preserve">The aim of social justice advocacy is to foster engagement with a social justice issue and mobilize supportive behaviour for that cause. How social justice behaviour emerges has been studied under different keywords - including prosocial behaviour, altruism, philanthropy, and charitable behaviour - by scholars from different disciplines, resulting in a variety of theories and models</w:t>
      </w:r>
      <w:r>
        <w:t xml:space="preserve"> </w:t>
      </w:r>
      <w:r>
        <w:t xml:space="preserve">(</w:t>
      </w:r>
      <w:hyperlink w:anchor="ref-bekkers2011">
        <w:r>
          <w:rPr>
            <w:rStyle w:val="Hyperlink"/>
          </w:rPr>
          <w:t xml:space="preserve">Bekkers &amp; Wiepking, 2011</w:t>
        </w:r>
      </w:hyperlink>
      <w:r>
        <w:t xml:space="preserve">)</w:t>
      </w:r>
      <w:r>
        <w:t xml:space="preserve">. This issue of parallel theories accounting for the same phenomenon is not limited to the study of social justice behaviour: Psychological research more broadly has been criticized for slowing research progress because researchers investigate their pet theory in isolation, when instead theory integration would be necessary to further our understanding of human behaviour</w:t>
      </w:r>
      <w:r>
        <w:t xml:space="preserve"> </w:t>
      </w:r>
      <w:r>
        <w:t xml:space="preserve">(</w:t>
      </w:r>
      <w:hyperlink w:anchor="ref-almaatouq2024">
        <w:r>
          <w:rPr>
            <w:rStyle w:val="Hyperlink"/>
          </w:rPr>
          <w:t xml:space="preserve">Almaatouq et al., 2024</w:t>
        </w:r>
      </w:hyperlink>
      <w:r>
        <w:t xml:space="preserve">;</w:t>
      </w:r>
      <w:r>
        <w:t xml:space="preserve"> </w:t>
      </w:r>
      <w:hyperlink w:anchor="ref-muthukrishna2019">
        <w:r>
          <w:rPr>
            <w:rStyle w:val="Hyperlink"/>
          </w:rPr>
          <w:t xml:space="preserve">Muthukrishna &amp; Henrich, 2019</w:t>
        </w:r>
      </w:hyperlink>
      <w:r>
        <w:t xml:space="preserve">)</w:t>
      </w:r>
      <w:r>
        <w:t xml:space="preserve">. Beyond scholarly inefficiency, parallel theories also hinder the application of psychological research by confusing practitioners about which factors are decisive in which context</w:t>
      </w:r>
      <w:r>
        <w:t xml:space="preserve"> </w:t>
      </w:r>
      <w:r>
        <w:t xml:space="preserve">(</w:t>
      </w:r>
      <w:hyperlink w:anchor="ref-leeuw2022">
        <w:r>
          <w:rPr>
            <w:rStyle w:val="Hyperlink"/>
          </w:rPr>
          <w:t xml:space="preserve">Leeuw et al., 2022</w:t>
        </w:r>
      </w:hyperlink>
      <w:r>
        <w:t xml:space="preserve">)</w:t>
      </w:r>
      <w:r>
        <w:t xml:space="preserve">. It is therefore necessary to empirically compare the predictions of different theories of social justice behaviour</w:t>
      </w:r>
      <w:r>
        <w:t xml:space="preserve"> </w:t>
      </w:r>
      <w:r>
        <w:t xml:space="preserve">(</w:t>
      </w:r>
      <w:hyperlink w:anchor="ref-bekkers2011">
        <w:r>
          <w:rPr>
            <w:rStyle w:val="Hyperlink"/>
          </w:rPr>
          <w:t xml:space="preserve">Bekkers &amp; Wiepking, 2011</w:t>
        </w:r>
      </w:hyperlink>
      <w:r>
        <w:t xml:space="preserve">)</w:t>
      </w:r>
      <w:r>
        <w:t xml:space="preserve">. In this study, we compare normative, empathic, and relational influences on social justice behaviour.</w:t>
      </w:r>
    </w:p>
    <w:p>
      <w:pPr>
        <w:pStyle w:val="BodyText"/>
      </w:pPr>
      <w:r>
        <w:t xml:space="preserve">Justice is a moral concept, and supporting social justice causes can be conceived as morally-driven behaviour. The norm activation model</w:t>
      </w:r>
      <w:r>
        <w:t xml:space="preserve"> </w:t>
      </w:r>
      <w:r>
        <w:t xml:space="preserve">(NAM,</w:t>
      </w:r>
      <w:r>
        <w:t xml:space="preserve"> </w:t>
      </w:r>
      <w:hyperlink w:anchor="ref-schwartz1977">
        <w:r>
          <w:rPr>
            <w:rStyle w:val="Hyperlink"/>
          </w:rPr>
          <w:t xml:space="preserve">Schwartz, 1977</w:t>
        </w:r>
      </w:hyperlink>
      <w:r>
        <w:t xml:space="preserve">)</w:t>
      </w:r>
      <w:r>
        <w:t xml:space="preserve"> </w:t>
      </w:r>
      <w:r>
        <w:t xml:space="preserve">lays out the process of how personal norms create a moral obligation to act. According to the model, an actor first has to become aware of a problematic situation (e.g., wrongful imprisonment) that puts those affected (e.g., innocent prisoners) in distress. Subsequently, the actor needs to feel responsible for changing the problematic situation and responding to the distress of those affected. As a third component, the problem must be relevant to the personal norms of the actor (e.g., justice in the legal system), for these norms to be activated and guide the actor’s behaviour. In combination, problem awareness, ascription of responsibility, and personal norms create a moral obligation to help reduce the distress of those affected (e.g., by making a donation to an NGO that re-investigates cases of wrongful imprisonment), so that the actor acts in accordance with their norms</w:t>
      </w:r>
      <w:r>
        <w:t xml:space="preserve"> </w:t>
      </w:r>
      <w:r>
        <w:t xml:space="preserve">(</w:t>
      </w:r>
      <w:hyperlink w:anchor="ref-degroot2009">
        <w:r>
          <w:rPr>
            <w:rStyle w:val="Hyperlink"/>
          </w:rPr>
          <w:t xml:space="preserve">De Groot &amp; Steg, 2009</w:t>
        </w:r>
      </w:hyperlink>
      <w:r>
        <w:t xml:space="preserve">;</w:t>
      </w:r>
      <w:r>
        <w:t xml:space="preserve"> </w:t>
      </w:r>
      <w:hyperlink w:anchor="ref-schwartz1977">
        <w:r>
          <w:rPr>
            <w:rStyle w:val="Hyperlink"/>
          </w:rPr>
          <w:t xml:space="preserve">Schwartz, 1977</w:t>
        </w:r>
      </w:hyperlink>
      <w:r>
        <w:t xml:space="preserve">)</w:t>
      </w:r>
      <w:r>
        <w:t xml:space="preserve">. Importantly, the NAM postulates a causal chain of the three components, which explains why people do not always adhere to all of their norms: If one is not aware of a problem or does not believe that they can change it, their norms are not activated in that situation and therefore can not guide their behaviour</w:t>
      </w:r>
      <w:r>
        <w:t xml:space="preserve"> </w:t>
      </w:r>
      <w:r>
        <w:t xml:space="preserve">(although the empirical evidence regarding this causal chain is mixed;</w:t>
      </w:r>
      <w:r>
        <w:t xml:space="preserve"> </w:t>
      </w:r>
      <w:hyperlink w:anchor="ref-klockner2013">
        <w:r>
          <w:rPr>
            <w:rStyle w:val="Hyperlink"/>
          </w:rPr>
          <w:t xml:space="preserve">Klöckner, 2013</w:t>
        </w:r>
      </w:hyperlink>
      <w:r>
        <w:t xml:space="preserve">)</w:t>
      </w:r>
      <w:r>
        <w:t xml:space="preserve">.</w:t>
      </w:r>
    </w:p>
    <w:p>
      <w:pPr>
        <w:pStyle w:val="BodyText"/>
      </w:pPr>
      <w:r>
        <w:t xml:space="preserve">Studies on prosocial and pro-environmental behaviour</w:t>
      </w:r>
      <w:r>
        <w:t xml:space="preserve"> </w:t>
      </w:r>
      <w:r>
        <w:t xml:space="preserve">(e.g.,</w:t>
      </w:r>
      <w:r>
        <w:t xml:space="preserve"> </w:t>
      </w:r>
      <w:hyperlink w:anchor="ref-degroot2009">
        <w:r>
          <w:rPr>
            <w:rStyle w:val="Hyperlink"/>
          </w:rPr>
          <w:t xml:space="preserve">De Groot &amp; Steg, 2009</w:t>
        </w:r>
      </w:hyperlink>
      <w:r>
        <w:t xml:space="preserve">;</w:t>
      </w:r>
      <w:r>
        <w:t xml:space="preserve"> </w:t>
      </w:r>
      <w:hyperlink w:anchor="ref-savari2023">
        <w:r>
          <w:rPr>
            <w:rStyle w:val="Hyperlink"/>
          </w:rPr>
          <w:t xml:space="preserve">Savari et al., 2023</w:t>
        </w:r>
      </w:hyperlink>
      <w:r>
        <w:t xml:space="preserve">;</w:t>
      </w:r>
      <w:r>
        <w:t xml:space="preserve"> </w:t>
      </w:r>
      <w:hyperlink w:anchor="ref-steg2010">
        <w:r>
          <w:rPr>
            <w:rStyle w:val="Hyperlink"/>
          </w:rPr>
          <w:t xml:space="preserve">Steg &amp; De Groot, 2010</w:t>
        </w:r>
      </w:hyperlink>
      <w:r>
        <w:t xml:space="preserve">)</w:t>
      </w:r>
      <w:r>
        <w:t xml:space="preserve"> </w:t>
      </w:r>
      <w:r>
        <w:t xml:space="preserve">commonly integrate the NAM with the theory of planned behaviour</w:t>
      </w:r>
      <w:r>
        <w:t xml:space="preserve"> </w:t>
      </w:r>
      <w:r>
        <w:t xml:space="preserve">(TPB,</w:t>
      </w:r>
      <w:r>
        <w:t xml:space="preserve"> </w:t>
      </w:r>
      <w:hyperlink w:anchor="ref-ajzen1991">
        <w:r>
          <w:rPr>
            <w:rStyle w:val="Hyperlink"/>
          </w:rPr>
          <w:t xml:space="preserve">Ajzen, 1991</w:t>
        </w:r>
      </w:hyperlink>
      <w:r>
        <w:t xml:space="preserve">,</w:t>
      </w:r>
      <w:r>
        <w:t xml:space="preserve"> </w:t>
      </w:r>
      <w:hyperlink w:anchor="ref-ajzen2011">
        <w:r>
          <w:rPr>
            <w:rStyle w:val="Hyperlink"/>
          </w:rPr>
          <w:t xml:space="preserve">2011</w:t>
        </w:r>
      </w:hyperlink>
      <w:r>
        <w:t xml:space="preserve">)</w:t>
      </w:r>
      <w:r>
        <w:t xml:space="preserve">. While there is some conceptual overlap between the constructs of the two theories, the TPB crucially contributes the</w:t>
      </w:r>
      <w:r>
        <w:t xml:space="preserve"> </w:t>
      </w:r>
      <w:r>
        <w:rPr>
          <w:i/>
          <w:iCs/>
        </w:rPr>
        <w:t xml:space="preserve">behavioural intention</w:t>
      </w:r>
      <w:r>
        <w:t xml:space="preserve"> </w:t>
      </w:r>
      <w:r>
        <w:t xml:space="preserve">as the most proximal predictor of behaviour. The idea is that rational (or planned) behaviour is always preceded by a decision to engage in that behaviour. Therefore, all other predictors of behaviour influence this decision, which in turn mediates the actual behaviour</w:t>
      </w:r>
      <w:r>
        <w:t xml:space="preserve"> </w:t>
      </w:r>
      <w:r>
        <w:t xml:space="preserve">(</w:t>
      </w:r>
      <w:hyperlink w:anchor="ref-ajzen1991">
        <w:r>
          <w:rPr>
            <w:rStyle w:val="Hyperlink"/>
          </w:rPr>
          <w:t xml:space="preserve">Ajzen, 1991</w:t>
        </w:r>
      </w:hyperlink>
      <w:r>
        <w:t xml:space="preserve">,</w:t>
      </w:r>
      <w:r>
        <w:t xml:space="preserve"> </w:t>
      </w:r>
      <w:hyperlink w:anchor="ref-ajzen2011">
        <w:r>
          <w:rPr>
            <w:rStyle w:val="Hyperlink"/>
          </w:rPr>
          <w:t xml:space="preserve">2011</w:t>
        </w:r>
      </w:hyperlink>
      <w:r>
        <w:t xml:space="preserve">)</w:t>
      </w:r>
      <w:r>
        <w:t xml:space="preserve">. Separating intention and behaviour reduces noise in analyses, because the translation of intention into behaviour can be hindered by external factors beyond the scope of motivational research</w:t>
      </w:r>
      <w:r>
        <w:t xml:space="preserve"> </w:t>
      </w:r>
      <w:r>
        <w:t xml:space="preserve">(e.g., lack of resources, or unexpected situations;</w:t>
      </w:r>
      <w:r>
        <w:t xml:space="preserve"> </w:t>
      </w:r>
      <w:hyperlink w:anchor="ref-sheeran2002">
        <w:r>
          <w:rPr>
            <w:rStyle w:val="Hyperlink"/>
          </w:rPr>
          <w:t xml:space="preserve">Sheeran, 2002</w:t>
        </w:r>
      </w:hyperlink>
      <w:r>
        <w:t xml:space="preserve">)</w:t>
      </w:r>
      <w:r>
        <w:t xml:space="preserve">. Taken together, the NAM and TPB suggest that social justice advocacy can mobilize supportive behaviour by raising awareness for a problem, appealing to the audience’s responsibility, or strengthening norms regarding social justice, which contribute to the intention to support the social justice cause. However, problem awareness might have to precede the other components, especially when the social justice issue is lesser known.</w:t>
      </w:r>
    </w:p>
    <w:p>
      <w:pPr>
        <w:pStyle w:val="BodyText"/>
      </w:pPr>
      <w:r>
        <w:t xml:space="preserve">Beyond the moral motive, altruistic motives can promote the support of social justice causes. According to the empathy-altruism hypothesis, empathically adopting the perspective of a person in need creates an altruistic motivation to reduce their suffering. For example, empathizing with the experience of an innocent prisoner may give rise to a sense of concern about their well-being, which translates into a motivation to help improve the well-being of the innocent prisoner, irrespective of the behavioural consequences for oneself</w:t>
      </w:r>
      <w:r>
        <w:t xml:space="preserve"> </w:t>
      </w:r>
      <w:r>
        <w:t xml:space="preserve">(</w:t>
      </w:r>
      <w:hyperlink w:anchor="ref-batson1987">
        <w:r>
          <w:rPr>
            <w:rStyle w:val="Hyperlink"/>
          </w:rPr>
          <w:t xml:space="preserve">Batson, 1987</w:t>
        </w:r>
      </w:hyperlink>
      <w:r>
        <w:t xml:space="preserve">,</w:t>
      </w:r>
      <w:r>
        <w:t xml:space="preserve"> </w:t>
      </w:r>
      <w:hyperlink w:anchor="ref-batson2011">
        <w:r>
          <w:rPr>
            <w:rStyle w:val="Hyperlink"/>
          </w:rPr>
          <w:t xml:space="preserve">2011</w:t>
        </w:r>
      </w:hyperlink>
      <w:r>
        <w:t xml:space="preserve">)</w:t>
      </w:r>
      <w:r>
        <w:t xml:space="preserve">. There has been a long debate on whether helping can be purely altruistic, in that the actor is only acting in the interest of the person receiving the help, or whether the actor always has an egoistic interest to reduce their own distress arising from witnessing the other person suffering</w:t>
      </w:r>
      <w:r>
        <w:t xml:space="preserve"> </w:t>
      </w:r>
      <w:r>
        <w:t xml:space="preserve">(e.g.,</w:t>
      </w:r>
      <w:r>
        <w:t xml:space="preserve"> </w:t>
      </w:r>
      <w:hyperlink w:anchor="ref-cialdini1997">
        <w:r>
          <w:rPr>
            <w:rStyle w:val="Hyperlink"/>
          </w:rPr>
          <w:t xml:space="preserve">Cialdini et al., 1997</w:t>
        </w:r>
      </w:hyperlink>
      <w:r>
        <w:t xml:space="preserve">; for a review, see</w:t>
      </w:r>
      <w:r>
        <w:t xml:space="preserve"> </w:t>
      </w:r>
      <w:hyperlink w:anchor="ref-batson2011">
        <w:r>
          <w:rPr>
            <w:rStyle w:val="Hyperlink"/>
          </w:rPr>
          <w:t xml:space="preserve">Batson, 2011</w:t>
        </w:r>
      </w:hyperlink>
      <w:r>
        <w:t xml:space="preserve">)</w:t>
      </w:r>
      <w:r>
        <w:t xml:space="preserve">. Both empathic concern and personal distress, however, arise from empathic perspective-taking.</w:t>
      </w:r>
      <w:r>
        <w:t xml:space="preserve"> </w:t>
      </w:r>
      <w:r>
        <w:t xml:space="preserve"> </w:t>
      </w:r>
      <w:r>
        <w:t xml:space="preserve">Hence, social justice advocacy can mobilize supportive behaviour by conveying the experiences and point of view of those affected by the social justice issue, thereby facilitating empathic responses from the audience.</w:t>
      </w:r>
    </w:p>
    <w:p>
      <w:pPr>
        <w:pStyle w:val="BodyText"/>
      </w:pPr>
      <w:r>
        <w:t xml:space="preserve">Finally, social relationships play an important role in supporting social justice causes. A body of literature reports that perceived similarity and familiarity with another person strengthen the tendency to help them</w:t>
      </w:r>
      <w:r>
        <w:t xml:space="preserve"> </w:t>
      </w:r>
      <w:r>
        <w:t xml:space="preserve">(</w:t>
      </w:r>
      <w:hyperlink w:anchor="ref-batson1981">
        <w:r>
          <w:rPr>
            <w:rStyle w:val="Hyperlink"/>
          </w:rPr>
          <w:t xml:space="preserve">Batson et al., 1981</w:t>
        </w:r>
      </w:hyperlink>
      <w:r>
        <w:t xml:space="preserve">,</w:t>
      </w:r>
      <w:r>
        <w:t xml:space="preserve"> </w:t>
      </w:r>
      <w:hyperlink w:anchor="ref-batson1995">
        <w:r>
          <w:rPr>
            <w:rStyle w:val="Hyperlink"/>
          </w:rPr>
          <w:t xml:space="preserve">1995</w:t>
        </w:r>
      </w:hyperlink>
      <w:r>
        <w:t xml:space="preserve">;</w:t>
      </w:r>
      <w:r>
        <w:t xml:space="preserve"> </w:t>
      </w:r>
      <w:hyperlink w:anchor="ref-burger2004">
        <w:r>
          <w:rPr>
            <w:rStyle w:val="Hyperlink"/>
          </w:rPr>
          <w:t xml:space="preserve">Burger et al., 2004</w:t>
        </w:r>
      </w:hyperlink>
      <w:r>
        <w:t xml:space="preserve">;</w:t>
      </w:r>
      <w:r>
        <w:t xml:space="preserve"> </w:t>
      </w:r>
      <w:hyperlink w:anchor="ref-sole1975">
        <w:r>
          <w:rPr>
            <w:rStyle w:val="Hyperlink"/>
          </w:rPr>
          <w:t xml:space="preserve">Sole et al., 1975</w:t>
        </w:r>
      </w:hyperlink>
      <w:r>
        <w:t xml:space="preserve">)</w:t>
      </w:r>
      <w:r>
        <w:t xml:space="preserve">. One possible explanation is that if one feels closer to a person in need, it is easier to empathize with their need, and one cares more for their well-being, thus facilitating the empathically motivated altruism described above</w:t>
      </w:r>
      <w:r>
        <w:t xml:space="preserve"> </w:t>
      </w:r>
      <w:r>
        <w:t xml:space="preserve">(</w:t>
      </w:r>
      <w:hyperlink w:anchor="ref-batson1981">
        <w:r>
          <w:rPr>
            <w:rStyle w:val="Hyperlink"/>
          </w:rPr>
          <w:t xml:space="preserve">Batson et al., 1981</w:t>
        </w:r>
      </w:hyperlink>
      <w:r>
        <w:t xml:space="preserve">,</w:t>
      </w:r>
      <w:r>
        <w:t xml:space="preserve"> </w:t>
      </w:r>
      <w:hyperlink w:anchor="ref-batson1995">
        <w:r>
          <w:rPr>
            <w:rStyle w:val="Hyperlink"/>
          </w:rPr>
          <w:t xml:space="preserve">1995</w:t>
        </w:r>
      </w:hyperlink>
      <w:r>
        <w:t xml:space="preserve">;</w:t>
      </w:r>
      <w:r>
        <w:t xml:space="preserve"> </w:t>
      </w:r>
      <w:hyperlink w:anchor="ref-sturmer2009">
        <w:r>
          <w:rPr>
            <w:rStyle w:val="Hyperlink"/>
          </w:rPr>
          <w:t xml:space="preserve">Stürmer &amp; Snyder, 2009</w:t>
        </w:r>
      </w:hyperlink>
      <w:r>
        <w:t xml:space="preserve">)</w:t>
      </w:r>
      <w:r>
        <w:t xml:space="preserve">. In another line of argumentation, if one feels closer to a person in need, one values their social approval more and therefore might help them in hopes of getting their approval, or avoiding the risk of social punishment for not helping them</w:t>
      </w:r>
      <w:r>
        <w:t xml:space="preserve"> </w:t>
      </w:r>
      <w:r>
        <w:t xml:space="preserve">(</w:t>
      </w:r>
      <w:hyperlink w:anchor="ref-bekkers2011">
        <w:r>
          <w:rPr>
            <w:rStyle w:val="Hyperlink"/>
          </w:rPr>
          <w:t xml:space="preserve">Bekkers &amp; Wiepking, 2011</w:t>
        </w:r>
      </w:hyperlink>
      <w:r>
        <w:t xml:space="preserve">)</w:t>
      </w:r>
      <w:r>
        <w:t xml:space="preserve">. These lines of argumentation suggest that social justice advocacy can mobilize supportive behaviour by tightening the social bonds between audiences and those affected by the social justice issue, which should increase the tendency to help.</w:t>
      </w:r>
    </w:p>
    <w:bookmarkEnd w:id="34"/>
    <w:bookmarkStart w:id="38" w:name="advocacy-through-art"/>
    <w:p>
      <w:pPr>
        <w:pStyle w:val="Heading2"/>
      </w:pPr>
      <w:r>
        <w:t xml:space="preserve">Advocacy through art</w:t>
      </w:r>
    </w:p>
    <w:p>
      <w:pPr>
        <w:pStyle w:val="FirstParagraph"/>
      </w:pPr>
      <w:r>
        <w:t xml:space="preserve">Social injustices often become the subject of art. Beyond a mere inspiration or description of society, art often criticizes social injustices and advocates for change. Empirical evaluations of such advocacy through art have demonstrated effects of media like documentary films, theatre, and songs on the aforementioned normative, empathic, and relational dimensions, and on behaviour in support of social justice causes. For example,</w:t>
      </w:r>
      <w:r>
        <w:t xml:space="preserve"> </w:t>
      </w:r>
      <w:r>
        <w:t xml:space="preserve">Reddan et al. (</w:t>
      </w:r>
      <w:hyperlink w:anchor="ref-reddan2024">
        <w:r>
          <w:rPr>
            <w:rStyle w:val="Hyperlink"/>
          </w:rPr>
          <w:t xml:space="preserve">2024</w:t>
        </w:r>
      </w:hyperlink>
      <w:r>
        <w:t xml:space="preserve">)</w:t>
      </w:r>
      <w:r>
        <w:t xml:space="preserve"> </w:t>
      </w:r>
      <w:r>
        <w:t xml:space="preserve">compared audience responses to a documentary about wrongful imprisonment with two documentaries about injustices in sports, and found that the former enhanced audiences’ empathic responses towards prisoners, attitudes towards prison reform, and intentions to support a petition to restore voting rights for people with felony convictions. While this study is unique in its focus on documentaries on social issues, its results are consistent with the somewhat larger body of literature attesting that documentaries about climate change can increase audiences’ concern and pro-environmental intentions</w:t>
      </w:r>
      <w:r>
        <w:t xml:space="preserve"> </w:t>
      </w:r>
      <w:r>
        <w:t xml:space="preserve">(</w:t>
      </w:r>
      <w:hyperlink w:anchor="ref-howell2011">
        <w:r>
          <w:rPr>
            <w:rStyle w:val="Hyperlink"/>
          </w:rPr>
          <w:t xml:space="preserve">Howell, 2011</w:t>
        </w:r>
      </w:hyperlink>
      <w:r>
        <w:t xml:space="preserve">;</w:t>
      </w:r>
      <w:r>
        <w:t xml:space="preserve"> </w:t>
      </w:r>
      <w:hyperlink w:anchor="ref-nolan2010">
        <w:r>
          <w:rPr>
            <w:rStyle w:val="Hyperlink"/>
          </w:rPr>
          <w:t xml:space="preserve">Nolan, 2010</w:t>
        </w:r>
      </w:hyperlink>
      <w:r>
        <w:t xml:space="preserve">;</w:t>
      </w:r>
      <w:r>
        <w:t xml:space="preserve"> </w:t>
      </w:r>
      <w:hyperlink w:anchor="ref-sakellari2015">
        <w:r>
          <w:rPr>
            <w:rStyle w:val="Hyperlink"/>
          </w:rPr>
          <w:t xml:space="preserve">Sakellari, 2015</w:t>
        </w:r>
      </w:hyperlink>
      <w:r>
        <w:t xml:space="preserve">)</w:t>
      </w:r>
      <w:r>
        <w:t xml:space="preserve">. Turning to theatre, audiences of performances about disadvantaged groups have been shown to be more empathetic with the represented groups and more willing to donate to charity after the performance, compared to before. Effects on measures of attitude change remained ambiguous</w:t>
      </w:r>
      <w:r>
        <w:t xml:space="preserve"> </w:t>
      </w:r>
      <w:r>
        <w:t xml:space="preserve">(</w:t>
      </w:r>
      <w:hyperlink w:anchor="ref-rathje2021">
        <w:r>
          <w:rPr>
            <w:rStyle w:val="Hyperlink"/>
          </w:rPr>
          <w:t xml:space="preserve">Rathje et al., 2021</w:t>
        </w:r>
      </w:hyperlink>
      <w:r>
        <w:t xml:space="preserve">)</w:t>
      </w:r>
      <w:r>
        <w:t xml:space="preserve">. Moreover, even songs with prosocial lyrics like</w:t>
      </w:r>
      <w:r>
        <w:t xml:space="preserve"> </w:t>
      </w:r>
      <w:r>
        <w:t xml:space="preserve">“Love Generation”</w:t>
      </w:r>
      <w:r>
        <w:t xml:space="preserve"> </w:t>
      </w:r>
      <w:r>
        <w:t xml:space="preserve">by Bob Sinclair, though much shorter than documentaries or theatre, can prompt prosocial thoughts and empathic responses in listeners, with empathy mediating the effect of the lyrical content on charitable donations</w:t>
      </w:r>
      <w:r>
        <w:t xml:space="preserve"> </w:t>
      </w:r>
      <w:r>
        <w:t xml:space="preserve">(</w:t>
      </w:r>
      <w:hyperlink w:anchor="ref-greitemeyer2009">
        <w:r>
          <w:rPr>
            <w:rStyle w:val="Hyperlink"/>
          </w:rPr>
          <w:t xml:space="preserve">Greitemeyer, 2009a</w:t>
        </w:r>
      </w:hyperlink>
      <w:r>
        <w:t xml:space="preserve">,</w:t>
      </w:r>
      <w:r>
        <w:t xml:space="preserve"> </w:t>
      </w:r>
      <w:hyperlink w:anchor="ref-greitemeyer2009a">
        <w:r>
          <w:rPr>
            <w:rStyle w:val="Hyperlink"/>
          </w:rPr>
          <w:t xml:space="preserve">2009b</w:t>
        </w:r>
      </w:hyperlink>
      <w:r>
        <w:t xml:space="preserve">;</w:t>
      </w:r>
      <w:r>
        <w:t xml:space="preserve"> </w:t>
      </w:r>
      <w:hyperlink w:anchor="ref-hong2023">
        <w:r>
          <w:rPr>
            <w:rStyle w:val="Hyperlink"/>
          </w:rPr>
          <w:t xml:space="preserve">Hong et al., 2023</w:t>
        </w:r>
      </w:hyperlink>
      <w:r>
        <w:t xml:space="preserve">)</w:t>
      </w:r>
      <w:r>
        <w:t xml:space="preserve">.</w:t>
      </w:r>
    </w:p>
    <w:p>
      <w:pPr>
        <w:pStyle w:val="BodyText"/>
      </w:pPr>
      <w:r>
        <w:t xml:space="preserve">Most of the research cited above theorizes that art, be it film, theatre, or song, achieves its advocacy effect through powerful narratives influencing audiences’ emotions and cognition regarding the advocacy topic. However, not all art makes use of explicit narration. Visual art, for example, often conveys social critique in an implicit, symbolic, or abstract manner</w:t>
      </w:r>
      <w:r>
        <w:t xml:space="preserve"> </w:t>
      </w:r>
      <w:r>
        <w:t xml:space="preserve">(e.g.,</w:t>
      </w:r>
      <w:r>
        <w:t xml:space="preserve"> </w:t>
      </w:r>
      <w:hyperlink w:anchor="ref-pelowski2024">
        <w:r>
          <w:rPr>
            <w:rStyle w:val="Hyperlink"/>
          </w:rPr>
          <w:t xml:space="preserve">Pelowski et al., 2024</w:t>
        </w:r>
      </w:hyperlink>
      <w:r>
        <w:t xml:space="preserve">)</w:t>
      </w:r>
      <w:r>
        <w:t xml:space="preserve">. Similarly, much music beyond the song form is carried more by sounds and less by lyrics, and therefore has fewer tools for explicit narration. Still, there are many examples of classical and jazz music intended to advocate for concrete issues: The West-Eastern Divan Orchestra for instance, a classical symphony orchestra with Israeli and Palestinian musicians, promotes a peaceful solution to the Arab-Israeli conflict by playing for concert audiences and politicians alike (</w:t>
      </w:r>
      <w:hyperlink r:id="rId35">
        <w:r>
          <w:rPr>
            <w:rStyle w:val="Hyperlink"/>
          </w:rPr>
          <w:t xml:space="preserve">https://west-eastern-divan.org/</w:t>
        </w:r>
      </w:hyperlink>
      <w:r>
        <w:t xml:space="preserve">). Jazz icons sonified the struggle for racial justice with works such as Duke Ellington’s</w:t>
      </w:r>
      <w:r>
        <w:t xml:space="preserve"> </w:t>
      </w:r>
      <w:r>
        <w:rPr>
          <w:i/>
          <w:iCs/>
        </w:rPr>
        <w:t xml:space="preserve">Black and Tan Fantasy</w:t>
      </w:r>
      <w:r>
        <w:t xml:space="preserve">, Oscar Peterson’s</w:t>
      </w:r>
      <w:r>
        <w:t xml:space="preserve"> </w:t>
      </w:r>
      <w:r>
        <w:rPr>
          <w:i/>
          <w:iCs/>
        </w:rPr>
        <w:t xml:space="preserve">Hymn to Freedom</w:t>
      </w:r>
      <w:r>
        <w:t xml:space="preserve">, and John Coltrane’s</w:t>
      </w:r>
      <w:r>
        <w:t xml:space="preserve"> </w:t>
      </w:r>
      <w:r>
        <w:rPr>
          <w:i/>
          <w:iCs/>
        </w:rPr>
        <w:t xml:space="preserve">Alabama</w:t>
      </w:r>
      <w:r>
        <w:t xml:space="preserve"> </w:t>
      </w:r>
      <w:r>
        <w:t xml:space="preserve">(</w:t>
      </w:r>
      <w:hyperlink r:id="rId36">
        <w:r>
          <w:rPr>
            <w:rStyle w:val="Hyperlink"/>
          </w:rPr>
          <w:t xml:space="preserve">https://naacpsfnm.org/jazz-and-civil-rights/</w:t>
        </w:r>
      </w:hyperlink>
      <w:r>
        <w:t xml:space="preserve">). In the current study, we evaluate Allen Otte and John Lane’s</w:t>
      </w:r>
      <w:r>
        <w:t xml:space="preserve"> </w:t>
      </w:r>
      <w:r>
        <w:rPr>
          <w:i/>
          <w:iCs/>
        </w:rPr>
        <w:t xml:space="preserve">The Innocents,</w:t>
      </w:r>
      <w:r>
        <w:t xml:space="preserve"> </w:t>
      </w:r>
      <w:r>
        <w:t xml:space="preserve">a percussion performance about wrongful imprisonment in the United States, touring schools and universities to educate and engage its audience with this often overlooked social injustice (</w:t>
      </w:r>
      <w:hyperlink r:id="rId37">
        <w:r>
          <w:rPr>
            <w:rStyle w:val="Hyperlink"/>
          </w:rPr>
          <w:t xml:space="preserve">https://www.the-innocents.com/</w:t>
        </w:r>
      </w:hyperlink>
      <w:r>
        <w:t xml:space="preserve">). How does such music mobilize support for social justice causes, if not through explicit narrative lyrics?</w:t>
      </w:r>
    </w:p>
    <w:p>
      <w:pPr>
        <w:pStyle w:val="BodyText"/>
      </w:pPr>
      <w:r>
        <w:t xml:space="preserve">Music excels at deliberately eliciting specific intended emotions in the listener</w:t>
      </w:r>
      <w:r>
        <w:t xml:space="preserve">. Music-induced eudaimonic emotions, such as feeling moved or in awe, are thought to connect the listener to others and promote prosocial behaviour irrespective of lyrical content or narrative</w:t>
      </w:r>
      <w:r>
        <w:t xml:space="preserve"> </w:t>
      </w:r>
      <w:r>
        <w:t xml:space="preserve">(</w:t>
      </w:r>
      <w:hyperlink w:anchor="ref-tukachinskyforster2025">
        <w:r>
          <w:rPr>
            <w:rStyle w:val="Hyperlink"/>
          </w:rPr>
          <w:t xml:space="preserve">Tukachinsky Forster et al., 2025</w:t>
        </w:r>
      </w:hyperlink>
      <w:r>
        <w:t xml:space="preserve">)</w:t>
      </w:r>
      <w:r>
        <w:t xml:space="preserve">. This proposition is supported by research showing that emotional music without lyrics facilitates empathy and willingness to help, compared to neutral music</w:t>
      </w:r>
      <w:r>
        <w:t xml:space="preserve"> </w:t>
      </w:r>
      <w:r>
        <w:t xml:space="preserve">(</w:t>
      </w:r>
      <w:hyperlink w:anchor="ref-McDonald2022">
        <w:r>
          <w:rPr>
            <w:rStyle w:val="Hyperlink"/>
            <w:b/>
            <w:bCs/>
          </w:rPr>
          <w:t xml:space="preserve">McDonald2022?</w:t>
        </w:r>
      </w:hyperlink>
      <w:r>
        <w:t xml:space="preserve">)</w:t>
      </w:r>
      <w:r>
        <w:t xml:space="preserve"> </w:t>
      </w:r>
      <w:r>
        <w:t xml:space="preserve">or happy music</w:t>
      </w:r>
      <w:r>
        <w:t xml:space="preserve"> </w:t>
      </w:r>
      <w:r>
        <w:t xml:space="preserve">(</w:t>
      </w:r>
      <w:hyperlink w:anchor="ref-Wu2025">
        <w:r>
          <w:rPr>
            <w:rStyle w:val="Hyperlink"/>
            <w:b/>
            <w:bCs/>
          </w:rPr>
          <w:t xml:space="preserve">Wu2025?</w:t>
        </w:r>
      </w:hyperlink>
      <w:r>
        <w:t xml:space="preserve">)</w:t>
      </w:r>
      <w:r>
        <w:t xml:space="preserve">. More generally, musical activities can promote empathy</w:t>
      </w:r>
      <w:r>
        <w:t xml:space="preserve"> </w:t>
      </w:r>
      <w:r>
        <w:t xml:space="preserve">(</w:t>
      </w:r>
      <w:hyperlink w:anchor="ref-clarke2015">
        <w:r>
          <w:rPr>
            <w:rStyle w:val="Hyperlink"/>
          </w:rPr>
          <w:t xml:space="preserve">Clarke et al., 2015</w:t>
        </w:r>
      </w:hyperlink>
      <w:r>
        <w:t xml:space="preserve">;</w:t>
      </w:r>
      <w:r>
        <w:t xml:space="preserve"> </w:t>
      </w:r>
      <w:hyperlink w:anchor="ref-rabinowitch2013">
        <w:r>
          <w:rPr>
            <w:rStyle w:val="Hyperlink"/>
          </w:rPr>
          <w:t xml:space="preserve">Rabinowitch et al., 2013</w:t>
        </w:r>
      </w:hyperlink>
      <w:r>
        <w:t xml:space="preserve">;</w:t>
      </w:r>
      <w:r>
        <w:t xml:space="preserve"> </w:t>
      </w:r>
      <w:hyperlink w:anchor="ref-tzanaki2025">
        <w:r>
          <w:rPr>
            <w:rStyle w:val="Hyperlink"/>
          </w:rPr>
          <w:t xml:space="preserve">Tzanaki et al., 2025</w:t>
        </w:r>
      </w:hyperlink>
      <w:r>
        <w:t xml:space="preserve">)</w:t>
      </w:r>
      <w:r>
        <w:t xml:space="preserve"> </w:t>
      </w:r>
      <w:r>
        <w:t xml:space="preserve">and strengthen social bonds with other musicians and listeners</w:t>
      </w:r>
      <w:r>
        <w:t xml:space="preserve"> </w:t>
      </w:r>
      <w:r>
        <w:t xml:space="preserve">(</w:t>
      </w:r>
      <w:hyperlink w:anchor="ref-mogan2017">
        <w:r>
          <w:rPr>
            <w:rStyle w:val="Hyperlink"/>
          </w:rPr>
          <w:t xml:space="preserve">Mogan et al., 2017</w:t>
        </w:r>
      </w:hyperlink>
      <w:r>
        <w:t xml:space="preserve">;</w:t>
      </w:r>
      <w:r>
        <w:t xml:space="preserve"> </w:t>
      </w:r>
      <w:hyperlink w:anchor="ref-savage2021">
        <w:r>
          <w:rPr>
            <w:rStyle w:val="Hyperlink"/>
          </w:rPr>
          <w:t xml:space="preserve">Savage et al., 2021</w:t>
        </w:r>
      </w:hyperlink>
      <w:r>
        <w:t xml:space="preserve">;</w:t>
      </w:r>
      <w:r>
        <w:t xml:space="preserve"> </w:t>
      </w:r>
      <w:hyperlink w:anchor="ref-swarbrick2023">
        <w:r>
          <w:rPr>
            <w:rStyle w:val="Hyperlink"/>
          </w:rPr>
          <w:t xml:space="preserve">Swarbrick &amp; Vuoskoski, 2023</w:t>
        </w:r>
      </w:hyperlink>
      <w:r>
        <w:t xml:space="preserve">)</w:t>
      </w:r>
      <w:r>
        <w:t xml:space="preserve">. However, there is an ongoing debate as to who those social bonds extend to, beyond the musicians and listeners who are part of the music experience</w:t>
      </w:r>
      <w:r>
        <w:t xml:space="preserve"> </w:t>
      </w:r>
      <w:r>
        <w:t xml:space="preserve">(</w:t>
      </w:r>
      <w:hyperlink w:anchor="ref-cirelli2016">
        <w:r>
          <w:rPr>
            <w:rStyle w:val="Hyperlink"/>
          </w:rPr>
          <w:t xml:space="preserve">Cirelli et al., 2016</w:t>
        </w:r>
      </w:hyperlink>
      <w:r>
        <w:t xml:space="preserve">;</w:t>
      </w:r>
      <w:r>
        <w:t xml:space="preserve"> </w:t>
      </w:r>
      <w:hyperlink w:anchor="ref-cross2019">
        <w:r>
          <w:rPr>
            <w:rStyle w:val="Hyperlink"/>
          </w:rPr>
          <w:t xml:space="preserve">Cross et al., 2019</w:t>
        </w:r>
      </w:hyperlink>
      <w:r>
        <w:t xml:space="preserve">;</w:t>
      </w:r>
      <w:r>
        <w:t xml:space="preserve"> </w:t>
      </w:r>
      <w:hyperlink w:anchor="ref-cross2020">
        <w:r>
          <w:rPr>
            <w:rStyle w:val="Hyperlink"/>
          </w:rPr>
          <w:t xml:space="preserve">Cross et al., 2020</w:t>
        </w:r>
      </w:hyperlink>
      <w:r>
        <w:t xml:space="preserve">;</w:t>
      </w:r>
      <w:r>
        <w:t xml:space="preserve"> </w:t>
      </w:r>
      <w:hyperlink w:anchor="ref-fink2021">
        <w:r>
          <w:rPr>
            <w:rStyle w:val="Hyperlink"/>
          </w:rPr>
          <w:t xml:space="preserve">Fink et al., 2021</w:t>
        </w:r>
      </w:hyperlink>
      <w:r>
        <w:t xml:space="preserve">;</w:t>
      </w:r>
      <w:r>
        <w:t xml:space="preserve"> </w:t>
      </w:r>
      <w:hyperlink w:anchor="ref-rabinowitch2023">
        <w:r>
          <w:rPr>
            <w:rStyle w:val="Hyperlink"/>
          </w:rPr>
          <w:t xml:space="preserve">Rabinowitch, 2023</w:t>
        </w:r>
      </w:hyperlink>
      <w:r>
        <w:t xml:space="preserve">;</w:t>
      </w:r>
      <w:r>
        <w:t xml:space="preserve"> </w:t>
      </w:r>
      <w:hyperlink w:anchor="ref-reddish2014">
        <w:r>
          <w:rPr>
            <w:rStyle w:val="Hyperlink"/>
          </w:rPr>
          <w:t xml:space="preserve">Reddish et al., 2014</w:t>
        </w:r>
      </w:hyperlink>
      <w:r>
        <w:t xml:space="preserve">;</w:t>
      </w:r>
      <w:r>
        <w:t xml:space="preserve"> </w:t>
      </w:r>
      <w:hyperlink w:anchor="ref-reddish2016">
        <w:r>
          <w:rPr>
            <w:rStyle w:val="Hyperlink"/>
          </w:rPr>
          <w:t xml:space="preserve">Reddish et al., 2016</w:t>
        </w:r>
      </w:hyperlink>
      <w:r>
        <w:t xml:space="preserve">)</w:t>
      </w:r>
      <w:r>
        <w:t xml:space="preserve">. This latter aspect is crucial for advocacy contexts, because the recipients of charitable behaviour are usually absent during the advocacy</w:t>
      </w:r>
      <w:r>
        <w:t xml:space="preserve"> </w:t>
      </w:r>
      <w:r>
        <w:t xml:space="preserve">(e.g., when an activist speaks to a potential donor at a fundraiser for prison reforms, the affected prisoners usually are not present,</w:t>
      </w:r>
      <w:r>
        <w:t xml:space="preserve"> </w:t>
      </w:r>
      <w:hyperlink w:anchor="ref-bekkers2011">
        <w:r>
          <w:rPr>
            <w:rStyle w:val="Hyperlink"/>
          </w:rPr>
          <w:t xml:space="preserve">Bekkers &amp; Wiepking, 2011</w:t>
        </w:r>
      </w:hyperlink>
      <w:r>
        <w:t xml:space="preserve">)</w:t>
      </w:r>
      <w:r>
        <w:t xml:space="preserve">. Here, we build on existing research on art advocacy, such as songs with prosocial lyrics, and prosocial effects of music activities more generally. We extend previous work by investigating the advocacy effects of a music performance with a specific advocacy aim that is pursued less through narrative (compared to songs) and more through emotions. Because most research on art advocacy and prosocial effects of art has studied narrative media, we compare the effects of the music to those of a narrative documentary film.</w:t>
      </w:r>
    </w:p>
    <w:bookmarkEnd w:id="38"/>
    <w:bookmarkStart w:id="39" w:name="X924b71d678bfaf4f25cac8628037aa01c43136c"/>
    <w:p>
      <w:pPr>
        <w:pStyle w:val="Heading2"/>
      </w:pPr>
      <w:r>
        <w:t xml:space="preserve">Collective aspects of audience experience</w:t>
      </w:r>
    </w:p>
    <w:p>
      <w:pPr>
        <w:pStyle w:val="FirstParagraph"/>
      </w:pPr>
      <w:r>
        <w:t xml:space="preserve">Historically, audiences of both music and film would typically gather together in a concert venue or cinema to collectively experience a performance or screening. Over the past decades, however, inventions such as disc storage devices, and more recently online streaming services, have led to a shift towards individual experiences of music and film in private audiovisual environments at home or via individual screens and headphones. Media and communications scholars have theorized that being part of an audience gives rise to a different experience than watching or listening alone: For music,</w:t>
      </w:r>
      <w:r>
        <w:t xml:space="preserve"> </w:t>
      </w:r>
      <w:r>
        <w:t xml:space="preserve">Hargreaves et al. (</w:t>
      </w:r>
      <w:hyperlink w:anchor="ref-hargreaves2005">
        <w:r>
          <w:rPr>
            <w:rStyle w:val="Hyperlink"/>
          </w:rPr>
          <w:t xml:space="preserve">2005</w:t>
        </w:r>
      </w:hyperlink>
      <w:r>
        <w:t xml:space="preserve">)</w:t>
      </w:r>
      <w:r>
        <w:t xml:space="preserve"> </w:t>
      </w:r>
      <w:r>
        <w:t xml:space="preserve">emphasize that the presence or absence of others influences both the listener’s response to music, as well as the performer and thereby the music itself. Live music performances, other than recorded or broadcast performances, allow for bidirectional communication between spatio-temporally co-present performers and audience members: The performer can communicate through more channels than just the sound itself (e.g., body movements), and the audience can shape the performance through their immediate reactions.</w:t>
      </w:r>
      <w:r>
        <w:t xml:space="preserve"> </w:t>
      </w:r>
      <w:r>
        <w:t xml:space="preserve">Wald-Fuhrmann et al. (</w:t>
      </w:r>
      <w:hyperlink w:anchor="ref-wald-fuhrmann2021">
        <w:r>
          <w:rPr>
            <w:rStyle w:val="Hyperlink"/>
          </w:rPr>
          <w:t xml:space="preserve">2021</w:t>
        </w:r>
      </w:hyperlink>
      <w:r>
        <w:t xml:space="preserve">)</w:t>
      </w:r>
      <w:r>
        <w:t xml:space="preserve"> </w:t>
      </w:r>
      <w:r>
        <w:t xml:space="preserve">corroborate the importance of the presence of musicians and audience members in shaping audiences’ aesthetic experience of concerts. In addition to the communication between musicians and audience members, they also highlight the influence of the communication among audience members during, as well as before and after a music performance, and of the synchronization of bodily responses (like moving and cardiorespiratory activity) of co-present audience members. For film audiences, similar considerations have been put forward: Expressions (e.g., laughter) of other audience members can influence the viewing experience, but even a quietly attentive audience is aware of each other’s presence, making collective film viewing in cinemas a social experience distinct from individual viewing at home</w:t>
      </w:r>
      <w:r>
        <w:t xml:space="preserve"> </w:t>
      </w:r>
      <w:r>
        <w:t xml:space="preserve">(</w:t>
      </w:r>
      <w:hyperlink w:anchor="ref-hanich2014">
        <w:r>
          <w:rPr>
            <w:rStyle w:val="Hyperlink"/>
          </w:rPr>
          <w:t xml:space="preserve">Hanich, 2014</w:t>
        </w:r>
      </w:hyperlink>
      <w:r>
        <w:t xml:space="preserve">)</w:t>
      </w:r>
      <w:r>
        <w:t xml:space="preserve">.</w:t>
      </w:r>
    </w:p>
    <w:p>
      <w:pPr>
        <w:pStyle w:val="BodyText"/>
      </w:pPr>
      <w:r>
        <w:t xml:space="preserve">Empirical evidence confirms that music that is experienced together with other audience members elicits more intense emotional reactions</w:t>
      </w:r>
      <w:r>
        <w:t xml:space="preserve"> </w:t>
      </w:r>
      <w:r>
        <w:t xml:space="preserve">(</w:t>
      </w:r>
      <w:hyperlink w:anchor="ref-belfi2021">
        <w:r>
          <w:rPr>
            <w:rStyle w:val="Hyperlink"/>
            <w:b/>
            <w:bCs/>
          </w:rPr>
          <w:t xml:space="preserve">belfi2021?</w:t>
        </w:r>
      </w:hyperlink>
      <w:r>
        <w:t xml:space="preserve">)</w:t>
      </w:r>
      <w:r>
        <w:t xml:space="preserve">, immersion and absorption</w:t>
      </w:r>
      <w:r>
        <w:t xml:space="preserve"> </w:t>
      </w:r>
      <w:r>
        <w:t xml:space="preserve">(</w:t>
      </w:r>
      <w:hyperlink w:anchor="ref-kreuzer2025">
        <w:r>
          <w:rPr>
            <w:rStyle w:val="Hyperlink"/>
          </w:rPr>
          <w:t xml:space="preserve">Kreuzer et al., 2025</w:t>
        </w:r>
      </w:hyperlink>
      <w:r>
        <w:t xml:space="preserve">;</w:t>
      </w:r>
      <w:r>
        <w:t xml:space="preserve"> </w:t>
      </w:r>
      <w:hyperlink w:anchor="ref-swarbrick2024">
        <w:r>
          <w:rPr>
            <w:rStyle w:val="Hyperlink"/>
          </w:rPr>
          <w:t xml:space="preserve">Swarbrick et al., 2024</w:t>
        </w:r>
      </w:hyperlink>
      <w:r>
        <w:t xml:space="preserve">)</w:t>
      </w:r>
      <w:r>
        <w:t xml:space="preserve">, and intellectual stimulation</w:t>
      </w:r>
      <w:r>
        <w:t xml:space="preserve"> </w:t>
      </w:r>
      <w:r>
        <w:t xml:space="preserve">(</w:t>
      </w:r>
      <w:hyperlink w:anchor="ref-kreuzer2025">
        <w:r>
          <w:rPr>
            <w:rStyle w:val="Hyperlink"/>
          </w:rPr>
          <w:t xml:space="preserve">Kreuzer et al., 2025</w:t>
        </w:r>
      </w:hyperlink>
      <w:r>
        <w:t xml:space="preserve">)</w:t>
      </w:r>
      <w:r>
        <w:t xml:space="preserve">, than experiencing the same music alone or as part of a virtual audience. Regarding collective film viewing,</w:t>
      </w:r>
      <w:r>
        <w:t xml:space="preserve"> </w:t>
      </w:r>
      <w:r>
        <w:t xml:space="preserve">Kaltwasser et al. (</w:t>
      </w:r>
      <w:hyperlink w:anchor="ref-kaltwasser2019">
        <w:r>
          <w:rPr>
            <w:rStyle w:val="Hyperlink"/>
          </w:rPr>
          <w:t xml:space="preserve">2019</w:t>
        </w:r>
      </w:hyperlink>
      <w:r>
        <w:t xml:space="preserve">)</w:t>
      </w:r>
      <w:r>
        <w:t xml:space="preserve"> </w:t>
      </w:r>
      <w:r>
        <w:t xml:space="preserve">report that some participants had physiological reactions to the co-presence of other audience members, though self-reported emotional reactions did not differ between collective and individual viewing conditions. Note that the studies reporting no differences had small sample sizes and thus lack the power to conclude the absence of an effect.</w:t>
      </w:r>
    </w:p>
    <w:p>
      <w:pPr>
        <w:pStyle w:val="BodyText"/>
      </w:pPr>
      <w:r>
        <w:t xml:space="preserve">Very little is known about how the presence of other audience members might affect the mobilization potential of advocacy through art. This question is all the more relevant given that big charity concerts reach more livestream viewers at home than in-person attendees at the venue (from televised classics like Live Aid to entirely digital events like One World Together at Home). Swarbrick and colleagues found that co-presence in time and/or space strengthens connectedness among concert audiences</w:t>
      </w:r>
      <w:r>
        <w:t xml:space="preserve"> </w:t>
      </w:r>
      <w:r>
        <w:t xml:space="preserve">(</w:t>
      </w:r>
      <w:hyperlink w:anchor="ref-onderdijk2021">
        <w:r>
          <w:rPr>
            <w:rStyle w:val="Hyperlink"/>
          </w:rPr>
          <w:t xml:space="preserve">Onderdijk et al., 2021</w:t>
        </w:r>
      </w:hyperlink>
      <w:r>
        <w:t xml:space="preserve">;</w:t>
      </w:r>
      <w:r>
        <w:t xml:space="preserve"> </w:t>
      </w:r>
      <w:hyperlink w:anchor="ref-swarbrick2021">
        <w:r>
          <w:rPr>
            <w:rStyle w:val="Hyperlink"/>
          </w:rPr>
          <w:t xml:space="preserve">Swarbrick et al., 2021</w:t>
        </w:r>
      </w:hyperlink>
      <w:r>
        <w:t xml:space="preserve">;</w:t>
      </w:r>
      <w:r>
        <w:t xml:space="preserve"> </w:t>
      </w:r>
      <w:hyperlink w:anchor="ref-swarbrick2023">
        <w:r>
          <w:rPr>
            <w:rStyle w:val="Hyperlink"/>
          </w:rPr>
          <w:t xml:space="preserve">Swarbrick &amp; Vuoskoski, 2023</w:t>
        </w:r>
      </w:hyperlink>
      <w:r>
        <w:t xml:space="preserve">)</w:t>
      </w:r>
      <w:r>
        <w:t xml:space="preserve">, suggesting that the co-presence of the performers (in the case of music, but not film) and of other audience members (for both film and music) might facilitate advocacy effects via stronger social bonds.</w:t>
      </w:r>
      <w:r>
        <w:t xml:space="preserve"> </w:t>
      </w:r>
      <w:r>
        <w:t xml:space="preserve">To our knowledge, this is the first study to compare art advocacy effects in individual vs. collective audiences.</w:t>
      </w:r>
    </w:p>
    <w:bookmarkEnd w:id="39"/>
    <w:bookmarkStart w:id="40" w:name="the-present-studies"/>
    <w:p>
      <w:pPr>
        <w:pStyle w:val="Heading2"/>
      </w:pPr>
      <w:r>
        <w:t xml:space="preserve">The present studies</w:t>
      </w:r>
    </w:p>
    <w:p>
      <w:pPr>
        <w:pStyle w:val="FirstParagraph"/>
      </w:pPr>
      <w:r>
        <w:t xml:space="preserve">In two studies, we compared how the abstract percussion performance</w:t>
      </w:r>
      <w:r>
        <w:t xml:space="preserve"> </w:t>
      </w:r>
      <w:r>
        <w:rPr>
          <w:i/>
          <w:iCs/>
        </w:rPr>
        <w:t xml:space="preserve">The Innocents</w:t>
      </w:r>
      <w:r>
        <w:t xml:space="preserve">, and the narrative documentary film of the same title, mobilize support for the fight against wrongful imprisonment. Integrating multiple theoretical frameworks of social justice interventions, we assessed the effects of performance and film on problem awareness, empathic concern, and social bonding, and evaluated the contribution of these three variables to supportive behaviour. In Study 1, audiences in the concert hall and at home experienced an event featuring both a live performance of</w:t>
      </w:r>
      <w:r>
        <w:t xml:space="preserve"> </w:t>
      </w:r>
      <w:r>
        <w:rPr>
          <w:i/>
          <w:iCs/>
        </w:rPr>
        <w:t xml:space="preserve">The Innocents</w:t>
      </w:r>
      <w:r>
        <w:t xml:space="preserve"> </w:t>
      </w:r>
      <w:r>
        <w:t xml:space="preserve">and a screening of the documentary film about the performance and its social impacts. Participants answered surveys before and after each presentation and we observed their charitable behaviour at the end of the event, as an initial test of the hypotheses. In Study 2, participants at home watched either the performance or the film, to replicate the findings of Study 1 in a larger sample and clarify ambiguities in the comparison between performance and film.</w:t>
      </w:r>
    </w:p>
    <w:bookmarkEnd w:id="40"/>
    <w:bookmarkEnd w:id="41"/>
    <w:bookmarkStart w:id="75" w:name="study-1"/>
    <w:p>
      <w:pPr>
        <w:pStyle w:val="Heading1"/>
      </w:pPr>
      <w:r>
        <w:t xml:space="preserve">Study 1</w:t>
      </w:r>
    </w:p>
    <w:p>
      <w:pPr>
        <w:pStyle w:val="FirstParagraph"/>
      </w:pPr>
      <w:r>
        <w:t xml:space="preserve">Study 1 aimed to maximize ecological validity by evaluating two public events, organized on April 2nd and 4th, 2024. Both events featured percussionists John Lane and Allen Otte performing</w:t>
      </w:r>
      <w:r>
        <w:t xml:space="preserve"> </w:t>
      </w:r>
      <w:r>
        <w:rPr>
          <w:i/>
          <w:iCs/>
        </w:rPr>
        <w:t xml:space="preserve">The Innocents,</w:t>
      </w:r>
      <w:r>
        <w:t xml:space="preserve"> </w:t>
      </w:r>
      <w:r>
        <w:t xml:space="preserve">and a screening of the eponymous documentary film by Wojciech Lorenc, in counterbalanced order. The events could be attended either in-person or in an online livestream. Participation in the research study was optional for audience members, thus the events were attended by research participants and regular ticket holders alike. We tested the following hypotheses:</w:t>
      </w:r>
    </w:p>
    <w:p>
      <w:pPr>
        <w:pStyle w:val="Compact"/>
        <w:numPr>
          <w:ilvl w:val="0"/>
          <w:numId w:val="1001"/>
        </w:numPr>
      </w:pPr>
      <w:r>
        <w:t xml:space="preserve">The film, given its more explicit narrative, will increase audiences’</w:t>
      </w:r>
      <w:r>
        <w:t xml:space="preserve"> </w:t>
      </w:r>
      <w:r>
        <w:rPr>
          <w:b/>
          <w:bCs/>
        </w:rPr>
        <w:t xml:space="preserve">awareness</w:t>
      </w:r>
      <w:r>
        <w:t xml:space="preserve"> </w:t>
      </w:r>
      <w:r>
        <w:t xml:space="preserve">of wrongful imprisonment more than the music performance (1a). Problem awareness will predict charitable intentions across both stimuli, as theorized in the norm activation model (1b).</w:t>
      </w:r>
    </w:p>
    <w:p>
      <w:pPr>
        <w:pStyle w:val="Compact"/>
        <w:numPr>
          <w:ilvl w:val="0"/>
          <w:numId w:val="1001"/>
        </w:numPr>
      </w:pPr>
      <w:r>
        <w:t xml:space="preserve">Both the film and the performance will increase audiences’</w:t>
      </w:r>
      <w:r>
        <w:t xml:space="preserve"> </w:t>
      </w:r>
      <w:r>
        <w:rPr>
          <w:b/>
          <w:bCs/>
        </w:rPr>
        <w:t xml:space="preserve">empathic concern</w:t>
      </w:r>
      <w:r>
        <w:t xml:space="preserve"> </w:t>
      </w:r>
      <w:r>
        <w:t xml:space="preserve">for wrongfully imprisoned individuals equally, if not necessarily through the same mechanisms. We made no prediction whether the film or the performance would have a stronger effect on empathy; rather, we were interested in showing whether the performance would have an effect on empathy at all, and to use the film as a comparison to interpret the size of a potential effect. We did, however, expect that the performance would show larger increases for in-person compared to livestream audiences (2a). Based on the empathy-altruism hypothesis, we expected empathic concern to predict charitable intentions across both stimuli (2b).</w:t>
      </w:r>
    </w:p>
    <w:p>
      <w:pPr>
        <w:pStyle w:val="Compact"/>
        <w:numPr>
          <w:ilvl w:val="0"/>
          <w:numId w:val="1001"/>
        </w:numPr>
      </w:pPr>
      <w:r>
        <w:t xml:space="preserve">The film and the performance will increase the audiences’ feelings of</w:t>
      </w:r>
      <w:r>
        <w:t xml:space="preserve"> </w:t>
      </w:r>
      <w:r>
        <w:rPr>
          <w:b/>
          <w:bCs/>
        </w:rPr>
        <w:t xml:space="preserve">closeness</w:t>
      </w:r>
      <w:r>
        <w:t xml:space="preserve"> </w:t>
      </w:r>
      <w:r>
        <w:t xml:space="preserve">with wrongfully imprisoned individuals. The effect of the performance will be larger for in-person compared to online audiences (3a). Closeness will predict charitable intentions across both stimuli, based on associations between social relationships and helping in the literature (3b).</w:t>
      </w:r>
    </w:p>
    <w:p>
      <w:pPr>
        <w:pStyle w:val="Compact"/>
        <w:numPr>
          <w:ilvl w:val="0"/>
          <w:numId w:val="1001"/>
        </w:numPr>
      </w:pPr>
      <w:r>
        <w:t xml:space="preserve">Based on the theory of planned behaviour, we expected charitable intentions to predict behaviour in support of a charity that fights wrongful imprisonment.</w:t>
      </w:r>
    </w:p>
    <w:bookmarkStart w:id="51" w:name="method"/>
    <w:p>
      <w:pPr>
        <w:pStyle w:val="Heading2"/>
      </w:pPr>
      <w:r>
        <w:t xml:space="preserve">Method</w:t>
      </w:r>
    </w:p>
    <w:bookmarkStart w:id="42" w:name="participants"/>
    <w:p>
      <w:pPr>
        <w:pStyle w:val="Heading3"/>
      </w:pPr>
      <w:r>
        <w:t xml:space="preserve">Participants</w:t>
      </w:r>
    </w:p>
    <w:p>
      <w:pPr>
        <w:pStyle w:val="FirstParagraph"/>
      </w:pPr>
      <w:r>
        <w:t xml:space="preserve">Leading up to the event, all ticket holders were invited to sign up for participation in the research study via email. In addition, we asked in-person ticket holders as they arrived at the venue whether they would like to participate, and recruited additional livestream participants through Prolific. Participants had to be 16 years or older, speak English as their primary language, have healthy hearing and vision, and have not seen the performance or the film before. We initially restricted the upper age limit to 60 years to avoid age effects on eye movements, which were collected for a different research question and not analysed here. However, we made an exception for one participant over 60 who expressed interest in participating. By buying a ticket for in-person or livestream attendance at one of the events, participants self-assigned to an attendance mode and an order of stimli. However, participants were blind to the order in which film and performance would be presented on each of the days, since we did not advertise this information. A total of 90 participants completed the study (day 1 in-person: 30; livestream: 15; day 2 in-person: 31; livestream: 14). In addition, one in-person participant and 2 livestream participants left the event at intermission on day 1, and one livestream participant left at intermission on day 2. They are included in all analyses for which their data are available. Livestream participants were watching from Africa, Europe, North America, Asia, and New Zealand, with most participants watching from South Africa (</w:t>
      </w:r>
      <m:oMath>
        <m:r>
          <m:t>n</m:t>
        </m:r>
        <m:r>
          <m:rPr>
            <m:sty m:val="p"/>
          </m:rPr>
          <m:t>=</m:t>
        </m:r>
        <m:r>
          <m:t>12</m:t>
        </m:r>
      </m:oMath>
      <w:r>
        <w:t xml:space="preserve">). Upon completion of the study, ticket holders received $10 CAD compensation and Prolific participants were compensated £18 GBP. For a detailed description of the sample, see</w:t>
      </w:r>
      <w:r>
        <w:t xml:space="preserve"> </w:t>
      </w:r>
      <w:hyperlink w:anchor="apx-sampledescription">
        <w:r>
          <w:rPr>
            <w:rStyle w:val="Hyperlink"/>
          </w:rPr>
          <w:t xml:space="preserve">Appendix A</w:t>
        </w:r>
      </w:hyperlink>
      <w:r>
        <w:t xml:space="preserve">.</w:t>
      </w:r>
    </w:p>
    <w:bookmarkEnd w:id="42"/>
    <w:bookmarkStart w:id="45" w:name="procedure"/>
    <w:p>
      <w:pPr>
        <w:pStyle w:val="Heading3"/>
      </w:pPr>
      <w:r>
        <w:t xml:space="preserve">Procedure</w:t>
      </w:r>
    </w:p>
    <w:p>
      <w:pPr>
        <w:pStyle w:val="FirstParagraph"/>
      </w:pPr>
      <w:r>
        <w:t xml:space="preserve">Study 1 consisted of three surveys: A pre-survey before the event, a survey at intermission evaluating the stimulus presented in the first half of the event, and a survey at the end, evaluating the second half of the event (see</w:t>
      </w:r>
      <w:r>
        <w:t xml:space="preserve"> </w:t>
      </w:r>
      <w:r>
        <w:rPr>
          <w:b/>
          <w:bCs/>
        </w:rPr>
        <w:t xml:space="preserve">?@fig-procedure-study1</w:t>
      </w:r>
      <w:r>
        <w:t xml:space="preserve">). In addition, person-level covariates were assessed either in the pre-survey or in the survey at the end. After obtaining informed consent, the pre-survey assessed a baseline of the behavioural predictors interpersonal closeness with a wrongfully imprisoned person, state empathy for their story, problem awareness of wrongful imprisonment, and intentions to support organizations fighting wrongful imprisonment. Moreover, the pre-survey included the other NAM-TPB variables and an affect measure. Participants filled out the pre-survey either in the days leading up to the event, or in the hour right before the event. Closeness with the other audience members and affect were always assessed immediately before the event, because they are specific to the time and context of the event. Participants then saw the film or the performance in the first half of the event, and, after a 30-minute intermission, the other stimulus. After both the film and the performance, we assessed participants’ affect, experience of the event, and again measured their closeness, empathy, awareness, and intentions. The end survey additionally included the remaining NAM-TPB variables, and some questions that were used to answer other research questions not analysed here. At the end of the event, we observed actual behaviour in support of</w:t>
      </w:r>
      <w:r>
        <w:t xml:space="preserve"> </w:t>
      </w:r>
      <w:r>
        <w:rPr>
          <w:i/>
          <w:iCs/>
        </w:rPr>
        <w:t xml:space="preserve">Innocence Canada</w:t>
      </w:r>
      <w:r>
        <w:t xml:space="preserve">, an organization that advocates for innocent prisoners in Canada. Study 1 was approved by the McMaster Research Ethics Board (MREB#1975).</w:t>
      </w:r>
    </w:p>
    <w:p>
      <w:pPr>
        <w:pStyle w:val="BodyText"/>
      </w:pPr>
      <w:r>
        <w:t xml:space="preserve">The events took place in McMaster University’s Large Interactive Virtual Environment laboratory (LIVELab,</w:t>
      </w:r>
      <w:r>
        <w:t xml:space="preserve"> </w:t>
      </w:r>
      <w:hyperlink r:id="rId43">
        <w:r>
          <w:rPr>
            <w:rStyle w:val="Hyperlink"/>
          </w:rPr>
          <w:t xml:space="preserve">https://livelab.mcmaster.ca/</w:t>
        </w:r>
      </w:hyperlink>
      <w:r>
        <w:t xml:space="preserve">), a concert venue equipped for psychological research, and were also livestreamed via YouTube. Livestream participants opened a custom website on their personal computers which presented the surveys and the event stream. To create a controlled experience, the website prohibited access to stream controls (like pausing the stream) and only displayed the video stream, not any additional YouTube features like the chat. Livestream participants were instructed to sit in a quiet environment and use headphones for the best experience, but 9 participants self-reported that they still used the built-in speakers of their machine. Nonetheless, the sound quality was rated as very good (</w:t>
      </w:r>
      <m:oMath>
        <m:r>
          <m:t>M</m:t>
        </m:r>
        <m:r>
          <m:rPr>
            <m:sty m:val="p"/>
          </m:rPr>
          <m:t>=</m:t>
        </m:r>
        <m:r>
          <m:t>6.57</m:t>
        </m:r>
      </m:oMath>
      <w:r>
        <w:t xml:space="preserve"> </w:t>
      </w:r>
      <w:r>
        <w:t xml:space="preserve">on a 7-point scale), as was the video quality (</w:t>
      </w:r>
      <m:oMath>
        <m:r>
          <m:t>M</m:t>
        </m:r>
        <m:r>
          <m:rPr>
            <m:sty m:val="p"/>
          </m:rPr>
          <m:t>=</m:t>
        </m:r>
        <m:r>
          <m:t>6.48</m:t>
        </m:r>
      </m:oMath>
      <w:r>
        <w:t xml:space="preserve">), the video fluency (</w:t>
      </w:r>
      <m:oMath>
        <m:r>
          <m:t>M</m:t>
        </m:r>
        <m:r>
          <m:rPr>
            <m:sty m:val="p"/>
          </m:rPr>
          <m:t>=</m:t>
        </m:r>
        <m:r>
          <m:t>6.38</m:t>
        </m:r>
      </m:oMath>
      <w:r>
        <w:t xml:space="preserve">), and the camera framing (</w:t>
      </w:r>
      <m:oMath>
        <m:r>
          <m:t>M</m:t>
        </m:r>
        <m:r>
          <m:rPr>
            <m:sty m:val="p"/>
          </m:rPr>
          <m:t>=</m:t>
        </m:r>
        <m:r>
          <m:t>6.00</m:t>
        </m:r>
      </m:oMath>
      <w:r>
        <w:t xml:space="preserve">). In-person participants filled out the surveys on LIVELab’s tablets or on paper. Participants who signed up in advance were given a link to fill out the pre-survey on their own machines. All surveys, and the presentation of the stream for livestream participants, were coded in jsPsych</w:t>
      </w:r>
      <w:r>
        <w:t xml:space="preserve"> </w:t>
      </w:r>
      <w:r>
        <w:t xml:space="preserve">(</w:t>
      </w:r>
      <w:hyperlink w:anchor="ref-leeuw2023">
        <w:r>
          <w:rPr>
            <w:rStyle w:val="Hyperlink"/>
          </w:rPr>
          <w:t xml:space="preserve">Leeuw et al., 2023</w:t>
        </w:r>
      </w:hyperlink>
      <w:r>
        <w:t xml:space="preserve">)</w:t>
      </w:r>
      <w:r>
        <w:t xml:space="preserve">, using custom-built audiovisual presentation plugins [TODO cite AVOKE preprint] and hosted through JATOS</w:t>
      </w:r>
      <w:r>
        <w:t xml:space="preserve"> </w:t>
      </w:r>
      <w:r>
        <w:t xml:space="preserve">(</w:t>
      </w:r>
      <w:hyperlink w:anchor="ref-lange2015">
        <w:r>
          <w:rPr>
            <w:rStyle w:val="Hyperlink"/>
          </w:rPr>
          <w:t xml:space="preserve">Lange et al., 2015</w:t>
        </w:r>
      </w:hyperlink>
      <w:r>
        <w:t xml:space="preserve">)</w:t>
      </w:r>
      <w:r>
        <w:t xml:space="preserve"> </w:t>
      </w:r>
      <w:r>
        <w:t xml:space="preserve">on our lab server. Print versions and codebooks of the survey are available at</w:t>
      </w:r>
      <w:r>
        <w:t xml:space="preserve"> </w:t>
      </w:r>
      <w:hyperlink r:id="rId44">
        <w:r>
          <w:rPr>
            <w:rStyle w:val="Hyperlink"/>
          </w:rPr>
          <w:t xml:space="preserve">https://doi.org/10.5281/zenodo.15282949</w:t>
        </w:r>
      </w:hyperlink>
      <w:r>
        <w:t xml:space="preserve">. Note that in-person participants were equipped with mobile eye-tracking glasses and smartwatches for physiological measurements that were analysed for other research questions. For the same reason, livestream participants were recorded via their webcam. Both in-person and livestream participants had to undergo brief calibrations before and after the event and at intermission. For the full technical details of the event, see</w:t>
      </w:r>
      <w:r>
        <w:t xml:space="preserve"> </w:t>
      </w:r>
      <w:hyperlink w:anchor="apx-implementation">
        <w:r>
          <w:rPr>
            <w:rStyle w:val="Hyperlink"/>
          </w:rPr>
          <w:t xml:space="preserve">Appendix B</w:t>
        </w:r>
      </w:hyperlink>
      <w:r>
        <w:t xml:space="preserve">.</w:t>
      </w:r>
    </w:p>
    <w:bookmarkEnd w:id="45"/>
    <w:bookmarkStart w:id="48" w:name="stimuli"/>
    <w:p>
      <w:pPr>
        <w:pStyle w:val="Heading3"/>
      </w:pPr>
      <w:r>
        <w:t xml:space="preserve">Stimuli</w:t>
      </w:r>
    </w:p>
    <w:p>
      <w:pPr>
        <w:pStyle w:val="FirstParagraph"/>
      </w:pPr>
      <w:r>
        <w:rPr>
          <w:i/>
          <w:iCs/>
        </w:rPr>
        <w:t xml:space="preserve">The Innocents</w:t>
      </w:r>
      <w:r>
        <w:t xml:space="preserve"> </w:t>
      </w:r>
      <w:r>
        <w:t xml:space="preserve">(</w:t>
      </w:r>
      <w:hyperlink w:anchor="ref-lane2006">
        <w:r>
          <w:rPr>
            <w:rStyle w:val="Hyperlink"/>
          </w:rPr>
          <w:t xml:space="preserve">Lane &amp; Otte, 2006</w:t>
        </w:r>
      </w:hyperlink>
      <w:r>
        <w:t xml:space="preserve">)</w:t>
      </w:r>
      <w:r>
        <w:t xml:space="preserve"> </w:t>
      </w:r>
      <w:r>
        <w:t xml:space="preserve">is a 1-hour contemporary percussion performance by musicians John Lane and Allen Otte. The performance explores issues of the US-American criminal justice system, such as mistaken identity, interrogation malpractices, and forced prison labor. Associated objects, like keys and newspapers, are utilized to create a diverse soundscape ranging from conventional song to experimental noise. In some parts, the musicians speak or sing text fragments, while other parts feature field recordings of demonstrations, interrogations, or police radio. With the performance, the musicians intend to motivate their audiences to engage with the topic of wrongful imprisonment, which they aim to achieve by means of an emotional and experiential immersion, all while remaining artistically abstract</w:t>
      </w:r>
      <w:r>
        <w:t xml:space="preserve"> </w:t>
      </w:r>
      <w:r>
        <w:t xml:space="preserve">(</w:t>
      </w:r>
      <w:hyperlink w:anchor="ref-lane2021">
        <w:r>
          <w:rPr>
            <w:rStyle w:val="Hyperlink"/>
          </w:rPr>
          <w:t xml:space="preserve">Lane &amp; Otte, 2021</w:t>
        </w:r>
      </w:hyperlink>
      <w:r>
        <w:t xml:space="preserve">)</w:t>
      </w:r>
      <w:r>
        <w:t xml:space="preserve">. A full recording of the performance from April 4th, 2024 is available on YouTube (</w:t>
      </w:r>
      <w:hyperlink r:id="rId46">
        <w:r>
          <w:rPr>
            <w:rStyle w:val="Hyperlink"/>
          </w:rPr>
          <w:t xml:space="preserve">https://www.youtube.com/watch?v=sQW0a3NlQUo&amp;ab_channel=BEATLab</w:t>
        </w:r>
      </w:hyperlink>
      <w:r>
        <w:t xml:space="preserve">).</w:t>
      </w:r>
    </w:p>
    <w:p>
      <w:pPr>
        <w:pStyle w:val="BodyText"/>
      </w:pPr>
      <w:r>
        <w:t xml:space="preserve">Director Wojciech Lorenc created an eponymous documentary film about</w:t>
      </w:r>
      <w:r>
        <w:t xml:space="preserve"> </w:t>
      </w:r>
      <w:r>
        <w:rPr>
          <w:i/>
          <w:iCs/>
        </w:rPr>
        <w:t xml:space="preserve">The Innocents</w:t>
      </w:r>
      <w:r>
        <w:t xml:space="preserve"> </w:t>
      </w:r>
      <w:r>
        <w:t xml:space="preserve">(</w:t>
      </w:r>
      <w:hyperlink w:anchor="ref-lorenc2022">
        <w:r>
          <w:rPr>
            <w:rStyle w:val="Hyperlink"/>
          </w:rPr>
          <w:t xml:space="preserve">Lorenc, 2022</w:t>
        </w:r>
      </w:hyperlink>
      <w:r>
        <w:t xml:space="preserve">)</w:t>
      </w:r>
      <w:r>
        <w:t xml:space="preserve">. Over 80 minutes, the film features conversations between the musicians Lane and Otte about their creative process and personal rapport with the issue of wrongful imprisonment, as well as recordings of their rehearsals and interactions with audiences on tour. A third protagonist of the film is Anna Vasquez, who shares her personal story of being convicted for a crime she did not commit, and her thoughts and feelings about the</w:t>
      </w:r>
      <w:r>
        <w:t xml:space="preserve"> </w:t>
      </w:r>
      <w:r>
        <w:rPr>
          <w:i/>
          <w:iCs/>
        </w:rPr>
        <w:t xml:space="preserve">Innocents</w:t>
      </w:r>
      <w:r>
        <w:t xml:space="preserve"> </w:t>
      </w:r>
      <w:r>
        <w:t xml:space="preserve">performance. The film’s score includes excerpts from the performance. Compared to the performance, the film has a more explicit narrative and educates through first-person accounts and realistic, unambiguous images. A trailer for the film is available on YouTube (</w:t>
      </w:r>
      <w:hyperlink r:id="rId47">
        <w:r>
          <w:rPr>
            <w:rStyle w:val="Hyperlink"/>
          </w:rPr>
          <w:t xml:space="preserve">https://www.youtube.com/watch?v=PyYSohg-FpI&amp;ab_channel=WojciechLorenc</w:t>
        </w:r>
      </w:hyperlink>
      <w:r>
        <w:t xml:space="preserve">).</w:t>
      </w:r>
    </w:p>
    <w:bookmarkEnd w:id="48"/>
    <w:bookmarkStart w:id="49" w:name="measures"/>
    <w:p>
      <w:pPr>
        <w:pStyle w:val="Heading3"/>
      </w:pPr>
      <w:r>
        <w:t xml:space="preserve">Measures</w:t>
      </w:r>
    </w:p>
    <w:p>
      <w:pPr>
        <w:pStyle w:val="Heading4"/>
        <w:rPr>
          <w:vanish/>
          <w:specVanish/>
        </w:rPr>
      </w:pPr>
      <w:r>
        <w:t>Interpersonal closeness.</w:t>
      </w:r>
      <w:r>
        <w:t xml:space="preserve"> </w:t>
      </w:r>
    </w:p>
    <w:p>
      <w:pPr>
        <w:pStyle w:val="FirstParagraph"/>
      </w:pPr>
      <w:r>
        <w:t xml:space="preserve">We measured interpersonal closeness with the Inclusion of the Other in the Self scale</w:t>
      </w:r>
      <w:r>
        <w:t xml:space="preserve"> </w:t>
      </w:r>
      <w:r>
        <w:t xml:space="preserve">(</w:t>
      </w:r>
      <w:hyperlink w:anchor="ref-aron1992">
        <w:r>
          <w:rPr>
            <w:rStyle w:val="Hyperlink"/>
          </w:rPr>
          <w:t xml:space="preserve">Aron et al., 1992</w:t>
        </w:r>
      </w:hyperlink>
      <w:r>
        <w:t xml:space="preserve">)</w:t>
      </w:r>
      <w:r>
        <w:t xml:space="preserve">, a 7-point scale with pictorial anchors that show increasingly overlapping Venn diagrams with two circles labelled</w:t>
      </w:r>
      <w:r>
        <w:t xml:space="preserve"> </w:t>
      </w:r>
      <w:r>
        <w:t xml:space="preserve">“self”</w:t>
      </w:r>
      <w:r>
        <w:t xml:space="preserve"> </w:t>
      </w:r>
      <w:r>
        <w:t xml:space="preserve">and</w:t>
      </w:r>
      <w:r>
        <w:t xml:space="preserve"> </w:t>
      </w:r>
      <w:r>
        <w:t xml:space="preserve">“other”</w:t>
      </w:r>
      <w:r>
        <w:t xml:space="preserve">. Participants were instructed to rate which of the paired circles best described their relationship with the</w:t>
      </w:r>
      <w:r>
        <w:t xml:space="preserve"> </w:t>
      </w:r>
      <w:r>
        <w:t xml:space="preserve">“other”</w:t>
      </w:r>
      <w:r>
        <w:t xml:space="preserve">. Closeness was assessed separately for the musicians Allen Otte and John Lane, the wrongfully imprisoned Anna Vasquez, the in-person and the livestream audience.</w:t>
      </w:r>
    </w:p>
    <w:p>
      <w:pPr>
        <w:pStyle w:val="Heading4"/>
        <w:rPr>
          <w:vanish/>
          <w:specVanish/>
        </w:rPr>
      </w:pPr>
      <w:r>
        <w:t>State empathy.</w:t>
      </w:r>
      <w:r>
        <w:t xml:space="preserve"> </w:t>
      </w:r>
    </w:p>
    <w:p>
      <w:pPr>
        <w:pStyle w:val="BodyText"/>
      </w:pPr>
      <w:r>
        <w:t xml:space="preserve">To measure state empathy, participants read a vignette about the story of Anna Vasquez’s wrongful imprisonment and exoneration. We then administered the Empathic Concern Index</w:t>
      </w:r>
      <w:r>
        <w:t xml:space="preserve"> </w:t>
      </w:r>
      <w:r>
        <w:t xml:space="preserve">(</w:t>
      </w:r>
      <w:hyperlink w:anchor="ref-batson1987">
        <w:r>
          <w:rPr>
            <w:rStyle w:val="Hyperlink"/>
          </w:rPr>
          <w:t xml:space="preserve">Batson, 1987</w:t>
        </w:r>
      </w:hyperlink>
      <w:r>
        <w:t xml:space="preserve">)</w:t>
      </w:r>
      <w:r>
        <w:t xml:space="preserve"> </w:t>
      </w:r>
      <w:r>
        <w:t xml:space="preserve">for which participants rate the intensity of 14 emotional reactions on a 7-point scale ranging from 1 (</w:t>
      </w:r>
      <w:r>
        <w:t xml:space="preserve">“not at all”</w:t>
      </w:r>
      <w:r>
        <w:t xml:space="preserve">) to 7 (</w:t>
      </w:r>
      <w:r>
        <w:t xml:space="preserve">“extremely”</w:t>
      </w:r>
      <w:r>
        <w:t xml:space="preserve">). The items are averaged to obtain two indices, empathic concern (</w:t>
      </w:r>
      <m:oMath>
        <m:r>
          <m:t>α</m:t>
        </m:r>
        <m:r>
          <m:rPr>
            <m:sty m:val="p"/>
          </m:rPr>
          <m:t>=</m:t>
        </m:r>
        <m:r>
          <m:t>0.89</m:t>
        </m:r>
      </m:oMath>
      <w:r>
        <w:t xml:space="preserve">) and personal distress (</w:t>
      </w:r>
      <m:oMath>
        <m:r>
          <m:t>α</m:t>
        </m:r>
        <m:r>
          <m:rPr>
            <m:sty m:val="p"/>
          </m:rPr>
          <m:t>=</m:t>
        </m:r>
        <m:r>
          <m:t>0.91</m:t>
        </m:r>
      </m:oMath>
      <w:r>
        <w:t xml:space="preserve">).</w:t>
      </w:r>
    </w:p>
    <w:p>
      <w:pPr>
        <w:pStyle w:val="Heading4"/>
        <w:rPr>
          <w:vanish/>
          <w:specVanish/>
        </w:rPr>
      </w:pPr>
      <w:r>
        <w:t>Problem awareness.</w:t>
      </w:r>
      <w:r>
        <w:t xml:space="preserve"> </w:t>
      </w:r>
    </w:p>
    <w:p>
      <w:pPr>
        <w:pStyle w:val="BodyText"/>
      </w:pPr>
      <w:r>
        <w:t xml:space="preserve">We created an instrument to measure the variables of the NAM and TPB with regards to fighting wrongful imprisonment. The item wordings were based on previous studies using the NAM and TPB to explain social justice engagement</w:t>
      </w:r>
      <w:r>
        <w:t xml:space="preserve"> </w:t>
      </w:r>
      <w:r>
        <w:t xml:space="preserve">(</w:t>
      </w:r>
      <w:hyperlink w:anchor="ref-torres-harding2012">
        <w:r>
          <w:rPr>
            <w:rStyle w:val="Hyperlink"/>
          </w:rPr>
          <w:t xml:space="preserve">Torres-Harding et al., 2012</w:t>
        </w:r>
      </w:hyperlink>
      <w:r>
        <w:t xml:space="preserve">)</w:t>
      </w:r>
      <w:r>
        <w:t xml:space="preserve">, charitable giving</w:t>
      </w:r>
      <w:r>
        <w:t xml:space="preserve"> </w:t>
      </w:r>
      <w:r>
        <w:t xml:space="preserve">(</w:t>
      </w:r>
      <w:hyperlink w:anchor="ref-smith2007">
        <w:r>
          <w:rPr>
            <w:rStyle w:val="Hyperlink"/>
          </w:rPr>
          <w:t xml:space="preserve">Smith &amp; McSweeney, 2007</w:t>
        </w:r>
      </w:hyperlink>
      <w:r>
        <w:t xml:space="preserve">)</w:t>
      </w:r>
      <w:r>
        <w:t xml:space="preserve">, and pro-environmental behaviour</w:t>
      </w:r>
      <w:r>
        <w:t xml:space="preserve"> </w:t>
      </w:r>
      <w:r>
        <w:t xml:space="preserve">(</w:t>
      </w:r>
      <w:hyperlink w:anchor="ref-degroot2009">
        <w:r>
          <w:rPr>
            <w:rStyle w:val="Hyperlink"/>
          </w:rPr>
          <w:t xml:space="preserve">De Groot &amp; Steg, 2009</w:t>
        </w:r>
      </w:hyperlink>
      <w:r>
        <w:t xml:space="preserve">;</w:t>
      </w:r>
      <w:r>
        <w:t xml:space="preserve"> </w:t>
      </w:r>
      <w:hyperlink w:anchor="ref-savari2023">
        <w:r>
          <w:rPr>
            <w:rStyle w:val="Hyperlink"/>
          </w:rPr>
          <w:t xml:space="preserve">Savari et al., 2023</w:t>
        </w:r>
      </w:hyperlink>
      <w:r>
        <w:t xml:space="preserve">;</w:t>
      </w:r>
      <w:r>
        <w:t xml:space="preserve"> </w:t>
      </w:r>
      <w:hyperlink w:anchor="ref-steg2010">
        <w:r>
          <w:rPr>
            <w:rStyle w:val="Hyperlink"/>
          </w:rPr>
          <w:t xml:space="preserve">Steg &amp; De Groot, 2010</w:t>
        </w:r>
      </w:hyperlink>
      <w:r>
        <w:t xml:space="preserve">)</w:t>
      </w:r>
      <w:r>
        <w:t xml:space="preserve">. The instrument consists of four items for each of the NAM variables problem awareness (e.g.,</w:t>
      </w:r>
      <w:r>
        <w:t xml:space="preserve"> </w:t>
      </w:r>
      <w:r>
        <w:t xml:space="preserve">“Wrongful incarcerations are an urgent problem in our society”</w:t>
      </w:r>
      <w:r>
        <w:t xml:space="preserve">;</w:t>
      </w:r>
      <w:r>
        <w:t xml:space="preserve"> </w:t>
      </w:r>
      <m:oMath>
        <m:r>
          <m:t>α</m:t>
        </m:r>
        <m:r>
          <m:rPr>
            <m:sty m:val="p"/>
          </m:rPr>
          <m:t>=</m:t>
        </m:r>
        <m:r>
          <m:t>0.59</m:t>
        </m:r>
      </m:oMath>
      <w:r>
        <w:t xml:space="preserve">), ascription of responsibility (e.g.,</w:t>
      </w:r>
      <w:r>
        <w:t xml:space="preserve"> </w:t>
      </w:r>
      <w:r>
        <w:t xml:space="preserve">“Everyone must do something against social injustices in the legal system”</w:t>
      </w:r>
      <w:r>
        <w:t xml:space="preserve">;</w:t>
      </w:r>
      <w:r>
        <w:t xml:space="preserve"> </w:t>
      </w:r>
      <m:oMath>
        <m:r>
          <m:t>α</m:t>
        </m:r>
        <m:r>
          <m:rPr>
            <m:sty m:val="p"/>
          </m:rPr>
          <m:t>=</m:t>
        </m:r>
        <m:r>
          <m:t>0.81</m:t>
        </m:r>
      </m:oMath>
      <w:r>
        <w:t xml:space="preserve">), and personal norm (e.g.,</w:t>
      </w:r>
      <w:r>
        <w:t xml:space="preserve"> </w:t>
      </w:r>
      <w:r>
        <w:t xml:space="preserve">“I would feel guilty if I didn’t do something to make the criminal justice system more fair”</w:t>
      </w:r>
      <w:r>
        <w:t xml:space="preserve">;</w:t>
      </w:r>
      <w:r>
        <w:t xml:space="preserve"> </w:t>
      </w:r>
      <m:oMath>
        <m:r>
          <m:t>α</m:t>
        </m:r>
        <m:r>
          <m:rPr>
            <m:sty m:val="p"/>
          </m:rPr>
          <m:t>=</m:t>
        </m:r>
        <m:r>
          <m:t>0.83</m:t>
        </m:r>
      </m:oMath>
      <w:r>
        <w:t xml:space="preserve">), and the TPB variables attitude (e.g.,</w:t>
      </w:r>
      <w:r>
        <w:t xml:space="preserve"> </w:t>
      </w:r>
      <w:r>
        <w:t xml:space="preserve">“I believe that it is essential to make sure that defendants and convicts receive adequate legal support”</w:t>
      </w:r>
      <w:r>
        <w:t xml:space="preserve">;</w:t>
      </w:r>
      <w:r>
        <w:t xml:space="preserve"> </w:t>
      </w:r>
      <m:oMath>
        <m:r>
          <m:t>α</m:t>
        </m:r>
        <m:r>
          <m:rPr>
            <m:sty m:val="p"/>
          </m:rPr>
          <m:t>=</m:t>
        </m:r>
        <m:r>
          <m:t>0.76</m:t>
        </m:r>
      </m:oMath>
      <w:r>
        <w:t xml:space="preserve">), subjective norm (e.g.,</w:t>
      </w:r>
      <w:r>
        <w:t xml:space="preserve"> </w:t>
      </w:r>
      <w:r>
        <w:t xml:space="preserve">“Other people around me support organizations and groups that fight injustices in the legal system”</w:t>
      </w:r>
      <w:r>
        <w:t xml:space="preserve">;</w:t>
      </w:r>
      <w:r>
        <w:t xml:space="preserve"> </w:t>
      </w:r>
      <m:oMath>
        <m:r>
          <m:t>α</m:t>
        </m:r>
        <m:r>
          <m:rPr>
            <m:sty m:val="p"/>
          </m:rPr>
          <m:t>=</m:t>
        </m:r>
        <m:r>
          <m:t>0.73</m:t>
        </m:r>
      </m:oMath>
      <w:r>
        <w:t xml:space="preserve">), and perceived behavioural control (e.g.,</w:t>
      </w:r>
      <w:r>
        <w:t xml:space="preserve"> </w:t>
      </w:r>
      <w:r>
        <w:t xml:space="preserve">“I believe that I have the power to advocate for social justice in the legal system, if I choose to do so”</w:t>
      </w:r>
      <w:r>
        <w:t xml:space="preserve">;</w:t>
      </w:r>
      <w:r>
        <w:t xml:space="preserve"> </w:t>
      </w:r>
      <m:oMath>
        <m:r>
          <m:t>α</m:t>
        </m:r>
        <m:r>
          <m:rPr>
            <m:sty m:val="p"/>
          </m:rPr>
          <m:t>=</m:t>
        </m:r>
        <m:r>
          <m:t>0.34</m:t>
        </m:r>
      </m:oMath>
      <w:r>
        <w:t xml:space="preserve">). Behavioural intentions to support the fight against wrongful imprisonment was measured with three items relating to the charity</w:t>
      </w:r>
      <w:r>
        <w:t xml:space="preserve"> </w:t>
      </w:r>
      <w:r>
        <w:rPr>
          <w:i/>
          <w:iCs/>
        </w:rPr>
        <w:t xml:space="preserve">Innocence Canada</w:t>
      </w:r>
      <w:r>
        <w:t xml:space="preserve">:</w:t>
      </w:r>
      <w:r>
        <w:t xml:space="preserve"> </w:t>
      </w:r>
      <w:r>
        <w:t xml:space="preserve">“I intend to join the mailing list of an organization like</w:t>
      </w:r>
      <w:r>
        <w:t xml:space="preserve"> </w:t>
      </w:r>
      <w:r>
        <w:rPr>
          <w:i/>
          <w:iCs/>
        </w:rPr>
        <w:t xml:space="preserve">Innocence Canada</w:t>
      </w:r>
      <w:r>
        <w:t xml:space="preserve">”</w:t>
      </w:r>
      <w:r>
        <w:t xml:space="preserve">,</w:t>
      </w:r>
      <w:r>
        <w:t xml:space="preserve"> </w:t>
      </w:r>
      <w:r>
        <w:t xml:space="preserve">“I intend to read up on wrongful incarceration”</w:t>
      </w:r>
      <w:r>
        <w:t xml:space="preserve">, and</w:t>
      </w:r>
      <w:r>
        <w:t xml:space="preserve"> </w:t>
      </w:r>
      <w:r>
        <w:t xml:space="preserve">“I intend to donate to an organization like</w:t>
      </w:r>
      <w:r>
        <w:t xml:space="preserve"> </w:t>
      </w:r>
      <w:r>
        <w:rPr>
          <w:i/>
          <w:iCs/>
        </w:rPr>
        <w:t xml:space="preserve">Innocence Canada</w:t>
      </w:r>
      <w:r>
        <w:t xml:space="preserve">”</w:t>
      </w:r>
      <w:r>
        <w:t xml:space="preserve"> </w:t>
      </w:r>
      <w:r>
        <w:t xml:space="preserve">(</w:t>
      </w:r>
      <m:oMath>
        <m:r>
          <m:t>α</m:t>
        </m:r>
        <m:r>
          <m:rPr>
            <m:sty m:val="p"/>
          </m:rPr>
          <m:t>=</m:t>
        </m:r>
        <m:r>
          <m:t>0.82</m:t>
        </m:r>
      </m:oMath>
      <w:r>
        <w:t xml:space="preserve">). All NAM-TPB items were rated on a 7-point scale ranging from 1 (</w:t>
      </w:r>
      <w:r>
        <w:t xml:space="preserve">“strongly disagree”</w:t>
      </w:r>
      <w:r>
        <w:t xml:space="preserve">) to 7 (</w:t>
      </w:r>
      <w:r>
        <w:t xml:space="preserve">“strongly agree”</w:t>
      </w:r>
      <w:r>
        <w:t xml:space="preserve">) and were averaged within each construct.</w:t>
      </w:r>
    </w:p>
    <w:p>
      <w:pPr>
        <w:pStyle w:val="Heading4"/>
        <w:rPr>
          <w:vanish/>
          <w:specVanish/>
        </w:rPr>
      </w:pPr>
      <w:r>
        <w:t>Supportive behaviour.</w:t>
      </w:r>
      <w:r>
        <w:t xml:space="preserve"> </w:t>
      </w:r>
    </w:p>
    <w:p>
      <w:pPr>
        <w:pStyle w:val="BodyText"/>
      </w:pPr>
      <w:r>
        <w:t xml:space="preserve">At the end of the event, we observed whether participants took a flyer of</w:t>
      </w:r>
      <w:r>
        <w:t xml:space="preserve"> </w:t>
      </w:r>
      <w:r>
        <w:rPr>
          <w:i/>
          <w:iCs/>
        </w:rPr>
        <w:t xml:space="preserve">Innocence Canada</w:t>
      </w:r>
      <w:r>
        <w:t xml:space="preserve"> </w:t>
      </w:r>
      <w:r>
        <w:t xml:space="preserve">(in-person: paper flyer; livestream: digital download), and whether they signed up for their mailing list. We also provided opportunities to donate (in-person: donation box; livestream: donation link). Because we were ethically not allowed to observe donations directly, we followed up with participants one to two weeks after the event to ask whether and how much they had donated. Note that</w:t>
      </w:r>
      <w:r>
        <w:t xml:space="preserve"> </w:t>
      </w:r>
      <w:r>
        <w:rPr>
          <w:i/>
          <w:iCs/>
        </w:rPr>
        <w:t xml:space="preserve">The Innocents</w:t>
      </w:r>
      <w:r>
        <w:t xml:space="preserve"> </w:t>
      </w:r>
      <w:r>
        <w:t xml:space="preserve">performance and film were created in the USA, informed by and referring to wrongful imprisonment in the US-American criminal justice system. On the other hand,</w:t>
      </w:r>
      <w:r>
        <w:t xml:space="preserve"> </w:t>
      </w:r>
      <w:r>
        <w:rPr>
          <w:i/>
          <w:iCs/>
        </w:rPr>
        <w:t xml:space="preserve">Innocence Canada</w:t>
      </w:r>
      <w:r>
        <w:t xml:space="preserve"> </w:t>
      </w:r>
      <w:r>
        <w:t xml:space="preserve">fights wrongful imprisonment in Canada, the country in which this public performance and film screening took place. Nonetheless, both countries’ legal systems face related issues, and the advocacy of</w:t>
      </w:r>
      <w:r>
        <w:t xml:space="preserve"> </w:t>
      </w:r>
      <w:r>
        <w:rPr>
          <w:i/>
          <w:iCs/>
        </w:rPr>
        <w:t xml:space="preserve">The Innocents</w:t>
      </w:r>
      <w:r>
        <w:t xml:space="preserve"> </w:t>
      </w:r>
      <w:r>
        <w:t xml:space="preserve">is equally relevant in Canada. Audiences’ support for</w:t>
      </w:r>
      <w:r>
        <w:t xml:space="preserve"> </w:t>
      </w:r>
      <w:r>
        <w:rPr>
          <w:i/>
          <w:iCs/>
        </w:rPr>
        <w:t xml:space="preserve">Innocence Canada</w:t>
      </w:r>
      <w:r>
        <w:t xml:space="preserve">, therefore, further illustrates the advocacy’s ability to transfer to a new local context.</w:t>
      </w:r>
    </w:p>
    <w:p>
      <w:pPr>
        <w:pStyle w:val="Heading4"/>
        <w:rPr>
          <w:vanish/>
          <w:specVanish/>
        </w:rPr>
      </w:pPr>
      <w:r>
        <w:t>Affect.</w:t>
      </w:r>
      <w:r>
        <w:t xml:space="preserve"> </w:t>
      </w:r>
    </w:p>
    <w:p>
      <w:pPr>
        <w:pStyle w:val="BodyText"/>
      </w:pPr>
      <w:r>
        <w:t xml:space="preserve">We assessed affect with six items rated on a 4-point scale ranging from 1 (</w:t>
      </w:r>
      <w:r>
        <w:t xml:space="preserve">“I do not feel it”</w:t>
      </w:r>
      <w:r>
        <w:t xml:space="preserve">) to 4 (</w:t>
      </w:r>
      <w:r>
        <w:t xml:space="preserve">“I feel it strongly”</w:t>
      </w:r>
      <w:r>
        <w:t xml:space="preserve">). The six items were combined into three bipolar dimensions alert-tired, relaxed-tense, and positive-negative by subtracting the rating of one pole from the rating of the opposite pole</w:t>
      </w:r>
      <w:r>
        <w:t xml:space="preserve"> </w:t>
      </w:r>
      <w:r>
        <w:t xml:space="preserve">(</w:t>
      </w:r>
      <w:hyperlink w:anchor="ref-schimmack2000">
        <w:r>
          <w:rPr>
            <w:rStyle w:val="Hyperlink"/>
          </w:rPr>
          <w:t xml:space="preserve">Schimmack &amp; Grob, 2000</w:t>
        </w:r>
      </w:hyperlink>
      <w:r>
        <w:t xml:space="preserve">)</w:t>
      </w:r>
      <w:r>
        <w:t xml:space="preserve">.</w:t>
      </w:r>
      <w:r>
        <w:t xml:space="preserve"> </w:t>
      </w:r>
    </w:p>
    <w:p>
      <w:pPr>
        <w:pStyle w:val="Heading4"/>
        <w:rPr>
          <w:vanish/>
          <w:specVanish/>
        </w:rPr>
      </w:pPr>
      <w:r>
        <w:t>Event experience.</w:t>
      </w:r>
      <w:r>
        <w:t xml:space="preserve"> </w:t>
      </w:r>
    </w:p>
    <w:p>
      <w:pPr>
        <w:pStyle w:val="BodyText"/>
      </w:pPr>
      <w:r>
        <w:t xml:space="preserve">We asked participants to rate their experience of the film and the performance in terms of enjoyment, interest, being moved, gaining insight, being attentive, experiencing chills or shivers, tearing up or crying, and likelihood of reengaging with a similar event</w:t>
      </w:r>
      <w:r>
        <w:t xml:space="preserve"> </w:t>
      </w:r>
      <w:r>
        <w:t xml:space="preserve">(cf.</w:t>
      </w:r>
      <w:r>
        <w:t xml:space="preserve"> </w:t>
      </w:r>
      <w:hyperlink w:anchor="ref-fink2024">
        <w:r>
          <w:rPr>
            <w:rStyle w:val="Hyperlink"/>
          </w:rPr>
          <w:t xml:space="preserve">Fink et al., 2024</w:t>
        </w:r>
      </w:hyperlink>
      <w:r>
        <w:t xml:space="preserve">;</w:t>
      </w:r>
      <w:r>
        <w:t xml:space="preserve"> </w:t>
      </w:r>
      <w:hyperlink w:anchor="ref-schindler2017">
        <w:r>
          <w:rPr>
            <w:rStyle w:val="Hyperlink"/>
          </w:rPr>
          <w:t xml:space="preserve">Schindler et al., 2017</w:t>
        </w:r>
      </w:hyperlink>
      <w:r>
        <w:t xml:space="preserve">;</w:t>
      </w:r>
      <w:r>
        <w:t xml:space="preserve"> </w:t>
      </w:r>
      <w:hyperlink w:anchor="ref-swarbrick2023">
        <w:r>
          <w:rPr>
            <w:rStyle w:val="Hyperlink"/>
          </w:rPr>
          <w:t xml:space="preserve">Swarbrick &amp; Vuoskoski, 2023</w:t>
        </w:r>
      </w:hyperlink>
      <w:r>
        <w:t xml:space="preserve">)</w:t>
      </w:r>
      <w:r>
        <w:t xml:space="preserve">. These items were rated on a 7-point scale ranging from 1 (</w:t>
      </w:r>
      <w:r>
        <w:t xml:space="preserve">“not at all”</w:t>
      </w:r>
      <w:r>
        <w:t xml:space="preserve">) to 7 (</w:t>
      </w:r>
      <w:r>
        <w:t xml:space="preserve">“extremely”</w:t>
      </w:r>
      <w:r>
        <w:t xml:space="preserve">). Furthermore, we assessed the perceived duration on a 7-point scale from -3 (</w:t>
      </w:r>
      <w:r>
        <w:t xml:space="preserve">“much too short”</w:t>
      </w:r>
      <w:r>
        <w:t xml:space="preserve">) to 3 (</w:t>
      </w:r>
      <w:r>
        <w:t xml:space="preserve">“much too long”</w:t>
      </w:r>
      <w:r>
        <w:t xml:space="preserve">). For the performance only, we asked participants to describe the performance in up to ten of their own words. At the end of the event, we also asked participants whether they liked the order of film and performance that they saw.</w:t>
      </w:r>
    </w:p>
    <w:p>
      <w:pPr>
        <w:pStyle w:val="Heading4"/>
        <w:rPr>
          <w:vanish/>
          <w:specVanish/>
        </w:rPr>
      </w:pPr>
      <w:r>
        <w:t>Person-level covariates.</w:t>
      </w:r>
      <w:r>
        <w:t xml:space="preserve"> </w:t>
      </w:r>
    </w:p>
    <w:p>
      <w:pPr>
        <w:pStyle w:val="BodyText"/>
      </w:pPr>
      <w:r>
        <w:t xml:space="preserve">We assessed participants’ age, income, education, and political orientation. Furthermore, based on the Wheel of Power/Privilege</w:t>
      </w:r>
      <w:r>
        <w:t xml:space="preserve"> </w:t>
      </w:r>
      <w:r>
        <w:t xml:space="preserve">(</w:t>
      </w:r>
      <w:hyperlink w:anchor="ref-bauer2021">
        <w:r>
          <w:rPr>
            <w:rStyle w:val="Hyperlink"/>
          </w:rPr>
          <w:t xml:space="preserve">Bauer, 2021</w:t>
        </w:r>
      </w:hyperlink>
      <w:r>
        <w:t xml:space="preserve">;</w:t>
      </w:r>
      <w:r>
        <w:t xml:space="preserve"> </w:t>
      </w:r>
      <w:hyperlink w:anchor="ref-canadiancouncilforrefugees">
        <w:r>
          <w:rPr>
            <w:rStyle w:val="Hyperlink"/>
          </w:rPr>
          <w:t xml:space="preserve">Canadian Council for Refugees, n.d.</w:t>
        </w:r>
      </w:hyperlink>
      <w:r>
        <w:t xml:space="preserve">;</w:t>
      </w:r>
      <w:r>
        <w:t xml:space="preserve"> </w:t>
      </w:r>
      <w:hyperlink w:anchor="ref-duckworth2020">
        <w:r>
          <w:rPr>
            <w:rStyle w:val="Hyperlink"/>
          </w:rPr>
          <w:t xml:space="preserve">Duckworth, 2020</w:t>
        </w:r>
      </w:hyperlink>
      <w:r>
        <w:t xml:space="preserve">)</w:t>
      </w:r>
      <w:r>
        <w:t xml:space="preserve">, we asked participants whether they felt part of equity-deserving groups (Women, genderdiverse, LGBQ+, Indigenous Peoples, and Persons of colour) and inquired about their lived experiences (of disability, justice-involvement, and unshelteredness). We assessed participants’ musical background with one item from the Ollen Musical Sophistication Index</w:t>
      </w:r>
      <w:r>
        <w:t xml:space="preserve"> </w:t>
      </w:r>
      <w:r>
        <w:t xml:space="preserve">(</w:t>
      </w:r>
      <w:hyperlink w:anchor="ref-ollen2006">
        <w:r>
          <w:rPr>
            <w:rStyle w:val="Hyperlink"/>
          </w:rPr>
          <w:t xml:space="preserve">Ollen, 2006</w:t>
        </w:r>
      </w:hyperlink>
      <w:r>
        <w:t xml:space="preserve">;</w:t>
      </w:r>
      <w:r>
        <w:t xml:space="preserve"> </w:t>
      </w:r>
      <w:hyperlink w:anchor="ref-zhang2019">
        <w:r>
          <w:rPr>
            <w:rStyle w:val="Hyperlink"/>
          </w:rPr>
          <w:t xml:space="preserve">Zhang &amp; Schubert, 2019</w:t>
        </w:r>
      </w:hyperlink>
      <w:r>
        <w:t xml:space="preserve">)</w:t>
      </w:r>
      <w:r>
        <w:t xml:space="preserve">. Moreover, we asked for participants’ familiarity with and preference for contemporary percussion music, on scales ranging from 1 (</w:t>
      </w:r>
      <w:r>
        <w:t xml:space="preserve">“very unfamiliar”</w:t>
      </w:r>
      <w:r>
        <w:t xml:space="preserve">/</w:t>
      </w:r>
      <w:r>
        <w:t xml:space="preserve">“strongly dislike”</w:t>
      </w:r>
      <w:r>
        <w:t xml:space="preserve">) to 7 (</w:t>
      </w:r>
      <w:r>
        <w:t xml:space="preserve">“very familiar”</w:t>
      </w:r>
      <w:r>
        <w:t xml:space="preserve">/</w:t>
      </w:r>
      <w:r>
        <w:t xml:space="preserve">“strongly like”</w:t>
      </w:r>
      <w:r>
        <w:t xml:space="preserve">). We also asked for their motivations to attend the event, and whether they had a personal relationship to the researchers or the artists. Finally, we measured relevant personality traits: Openness to experience with the six-item facet of the Big Five Inventory-2-Short</w:t>
      </w:r>
      <w:r>
        <w:t xml:space="preserve"> </w:t>
      </w:r>
      <w:r>
        <w:t xml:space="preserve">(</w:t>
      </w:r>
      <w:hyperlink w:anchor="ref-soto2017">
        <w:r>
          <w:rPr>
            <w:rStyle w:val="Hyperlink"/>
          </w:rPr>
          <w:t xml:space="preserve">Soto &amp; John, 2017</w:t>
        </w:r>
      </w:hyperlink>
      <w:r>
        <w:t xml:space="preserve">)</w:t>
      </w:r>
      <w:r>
        <w:t xml:space="preserve">, and trait empathy with 14 items making up the empathic concern and personal distress facets of the Interpersonal Reactivity Index</w:t>
      </w:r>
      <w:r>
        <w:t xml:space="preserve"> </w:t>
      </w:r>
      <w:r>
        <w:t xml:space="preserve">(</w:t>
      </w:r>
      <w:hyperlink w:anchor="ref-davis1980">
        <w:r>
          <w:rPr>
            <w:rStyle w:val="Hyperlink"/>
          </w:rPr>
          <w:t xml:space="preserve">Davis, 1980</w:t>
        </w:r>
      </w:hyperlink>
      <w:r>
        <w:t xml:space="preserve">)</w:t>
      </w:r>
      <w:r>
        <w:t xml:space="preserve">.</w:t>
      </w:r>
    </w:p>
    <w:bookmarkEnd w:id="49"/>
    <w:bookmarkStart w:id="50" w:name="analysis"/>
    <w:p>
      <w:pPr>
        <w:pStyle w:val="Heading3"/>
      </w:pPr>
      <w:r>
        <w:t xml:space="preserve">Analysis</w:t>
      </w:r>
    </w:p>
    <w:p>
      <w:pPr>
        <w:pStyle w:val="FirstParagraph"/>
      </w:pPr>
      <w:r>
        <w:t xml:space="preserve">All analyses were performed in R 4.5.1</w:t>
      </w:r>
      <w:r>
        <w:t xml:space="preserve"> </w:t>
      </w:r>
      <w:r>
        <w:t xml:space="preserve">(</w:t>
      </w:r>
      <w:hyperlink w:anchor="ref-R-base">
        <w:r>
          <w:rPr>
            <w:rStyle w:val="Hyperlink"/>
          </w:rPr>
          <w:t xml:space="preserve">R Core Team, 2024</w:t>
        </w:r>
      </w:hyperlink>
      <w:r>
        <w:t xml:space="preserve">)</w:t>
      </w:r>
      <w:r>
        <w:t xml:space="preserve">. First, we screened for rushing within each survey component, but no participant was faster than our cutoff criterion of the first quartile minus 1.5 times the interquartile range of the completion times. We further screened for insufficient variance in the response patterns of each participant, which can indicate inattentiveness or dishonesty. For each participant and each multi-item instrument, we calculated the number of unique response values. Responses were excluded if they consisted of only a single repeated value (for instruments with up to 10 items) or only two unique values (for instruments with more items), which was the case for out of (2.36%) responses. Finally, multi-item indices were only computed if a participant had replied to at least 80% of the items making up that index. The resulting sample size for each analysis is reported alongside the results.</w:t>
      </w:r>
    </w:p>
    <w:p>
      <w:pPr>
        <w:pStyle w:val="BodyText"/>
      </w:pPr>
      <w:r>
        <w:t xml:space="preserve">To test the effects of the event on each of the potential drivers of prosociality (closeness, emphatic concern, and problem awareness), we fitted linear mixed models (LMMs) with</w:t>
      </w:r>
      <w:r>
        <w:t xml:space="preserve"> </w:t>
      </w:r>
      <w:r>
        <w:rPr>
          <w:i/>
          <w:iCs/>
        </w:rPr>
        <w:t xml:space="preserve">lmerTest</w:t>
      </w:r>
      <w:r>
        <w:t xml:space="preserve"> </w:t>
      </w:r>
      <w:r>
        <w:t xml:space="preserve">(</w:t>
      </w:r>
      <w:hyperlink w:anchor="ref-R-lmerTest">
        <w:r>
          <w:rPr>
            <w:rStyle w:val="Hyperlink"/>
          </w:rPr>
          <w:t xml:space="preserve">Kuznetsova et al., 2017</w:t>
        </w:r>
      </w:hyperlink>
      <w:r>
        <w:t xml:space="preserve">)</w:t>
      </w:r>
      <w:r>
        <w:t xml:space="preserve">. Sum-to-Zero contrasts tested whether the outcomes were higher for in-person compared to livestream attendance, after watching the performance compared to after the film, and at the end of the event compared to at intermission. We added the baseline rating of the respective outcome as a covariate, estimating a fixed effect for the entire sample to account for measured variances in the outcome prior to the event. We also added random intercepts for each participant to account for unmeasured variances and capture intra-participant correlations due to the repeated measures design. The outcomes and baseline covariates were z-scored. Missing values for the baseline covariate were imputed with zero (the mean value after z-scoring). Control variables that had a sizable correlation with the outcome variables (</w:t>
      </w:r>
      <m:oMath>
        <m:r>
          <m:t>r</m:t>
        </m:r>
        <m:r>
          <m:rPr>
            <m:sty m:val="p"/>
          </m:rPr>
          <m:t>≥</m:t>
        </m:r>
        <m:r>
          <m:t>.30</m:t>
        </m:r>
      </m:oMath>
      <w:r>
        <w:t xml:space="preserve">) were included as additional covariates in the models. We tested the model assumptions (normally distributed residuals and random intercepts, and homogeneity of variances) and excluded outliers that violated the assumptions (see</w:t>
      </w:r>
      <w:r>
        <w:t xml:space="preserve"> </w:t>
      </w:r>
      <w:hyperlink w:anchor="apx-modelcomps">
        <w:r>
          <w:rPr>
            <w:rStyle w:val="Hyperlink"/>
          </w:rPr>
          <w:t xml:space="preserve">Appendix D</w:t>
        </w:r>
      </w:hyperlink>
      <w:r>
        <w:t xml:space="preserve">). The model fit was evaluated against a covariate model predicting the outcome from only the baseline and the random intercept using a Likelihood Ratio Test of the maximum likelihood (ML)-generated models, which is also reported in the appendix. Main and interaction effects were evaluated using the t-statistic of the parameter estimates and Satterthwaite approximations for degrees of freedom of the restricted maximum likelihood (REML)-generated models, as recommended by</w:t>
      </w:r>
      <w:r>
        <w:t xml:space="preserve"> </w:t>
      </w:r>
      <w:r>
        <w:t xml:space="preserve">Meteyard and Davies (</w:t>
      </w:r>
      <w:hyperlink w:anchor="ref-meteyard2020">
        <w:r>
          <w:rPr>
            <w:rStyle w:val="Hyperlink"/>
          </w:rPr>
          <w:t xml:space="preserve">2020</w:t>
        </w:r>
      </w:hyperlink>
      <w:r>
        <w:t xml:space="preserve">)</w:t>
      </w:r>
      <w:r>
        <w:t xml:space="preserve">. Cohen’s</w:t>
      </w:r>
      <w:r>
        <w:t xml:space="preserve"> </w:t>
      </w:r>
      <m:oMath>
        <m:r>
          <m:t>d</m:t>
        </m:r>
      </m:oMath>
      <w:r>
        <w:t xml:space="preserve"> </w:t>
      </w:r>
      <w:r>
        <w:t xml:space="preserve">as effect size measure for the fixed effects was calculated using the equation by</w:t>
      </w:r>
      <w:r>
        <w:t xml:space="preserve"> </w:t>
      </w:r>
      <w:r>
        <w:t xml:space="preserve">Westfall et al. (</w:t>
      </w:r>
      <w:hyperlink w:anchor="ref-westfall2014">
        <w:r>
          <w:rPr>
            <w:rStyle w:val="Hyperlink"/>
          </w:rPr>
          <w:t xml:space="preserve">2014</w:t>
        </w:r>
      </w:hyperlink>
      <w:r>
        <w:t xml:space="preserve">; see</w:t>
      </w:r>
      <w:r>
        <w:t xml:space="preserve"> </w:t>
      </w:r>
      <w:hyperlink w:anchor="ref-brysbaert2018">
        <w:r>
          <w:rPr>
            <w:rStyle w:val="Hyperlink"/>
          </w:rPr>
          <w:t xml:space="preserve">Brysbaert and Stevens, 2018</w:t>
        </w:r>
      </w:hyperlink>
      <w:r>
        <w:t xml:space="preserve">)</w:t>
      </w:r>
      <w:r>
        <w:t xml:space="preserve">, and interpreted according to the norms by</w:t>
      </w:r>
      <w:r>
        <w:t xml:space="preserve"> </w:t>
      </w:r>
      <w:r>
        <w:t xml:space="preserve">Cohen (</w:t>
      </w:r>
      <w:hyperlink w:anchor="ref-cohen1992">
        <w:r>
          <w:rPr>
            <w:rStyle w:val="Hyperlink"/>
          </w:rPr>
          <w:t xml:space="preserve">1992</w:t>
        </w:r>
      </w:hyperlink>
      <w:r>
        <w:t xml:space="preserve">)</w:t>
      </w:r>
      <w:r>
        <w:t xml:space="preserve">. Significant interactions were decomposed using one-sided paired t-tests.</w:t>
      </w:r>
    </w:p>
    <w:p>
      <w:pPr>
        <w:pStyle w:val="BodyText"/>
      </w:pPr>
      <w:r>
        <w:t xml:space="preserve">To test the influence of closeness, empathic concern, and problem awareness on behavioural intention, we fitted a multiple linear regression with the lm function in the</w:t>
      </w:r>
      <w:r>
        <w:t xml:space="preserve"> </w:t>
      </w:r>
      <w:r>
        <w:rPr>
          <w:i/>
          <w:iCs/>
        </w:rPr>
        <w:t xml:space="preserve">stats</w:t>
      </w:r>
      <w:r>
        <w:t xml:space="preserve"> </w:t>
      </w:r>
      <w:r>
        <w:t xml:space="preserve">package. Again, covariates that were sizably correlated with intention were included in the model. All predictors and the outcome were z-scored. Predictors were evaluated with t-test of their regression weights against zero.</w:t>
      </w:r>
    </w:p>
    <w:p>
      <w:pPr>
        <w:pStyle w:val="BodyText"/>
      </w:pPr>
      <w:r>
        <w:t xml:space="preserve">To test the influence of intention on observed behaviour, we used ordinal logistic regression with the polr function in</w:t>
      </w:r>
      <w:r>
        <w:t xml:space="preserve"> </w:t>
      </w:r>
      <w:r>
        <w:rPr>
          <w:i/>
          <w:iCs/>
        </w:rPr>
        <w:t xml:space="preserve">MASS</w:t>
      </w:r>
      <w:r>
        <w:t xml:space="preserve"> </w:t>
      </w:r>
      <w:r>
        <w:t xml:space="preserve">(</w:t>
      </w:r>
      <w:hyperlink w:anchor="ref-R-MASS">
        <w:r>
          <w:rPr>
            <w:rStyle w:val="Hyperlink"/>
          </w:rPr>
          <w:t xml:space="preserve">Venables &amp; Ripley, 2002</w:t>
        </w:r>
      </w:hyperlink>
      <w:r>
        <w:t xml:space="preserve">)</w:t>
      </w:r>
      <w:r>
        <w:t xml:space="preserve"> </w:t>
      </w:r>
      <w:r>
        <w:t xml:space="preserve">to predict the number of behaviours participants performed. No control variables were sizably correlated with the outcome, and hence no further variables were added to the model. All predictors were z-scored. Predictors were interpreted as having a significant effect if the 95% confidence interval of the Odd’s Ratio (calculated as</w:t>
      </w:r>
      <w:r>
        <w:t xml:space="preserve"> </w:t>
      </w:r>
      <m:oMath>
        <m:sSup>
          <m:e>
            <m:d>
              <m:dPr>
                <m:begChr m:val="("/>
                <m:sepChr m:val=""/>
                <m:endChr m:val=")"/>
                <m:grow/>
              </m:dPr>
              <m:e>
                <m:r>
                  <m:t>C</m:t>
                </m:r>
                <m:r>
                  <m:t>o</m:t>
                </m:r>
                <m:r>
                  <m:t>e</m:t>
                </m:r>
                <m:r>
                  <m:t>f</m:t>
                </m:r>
                <m:r>
                  <m:t>f</m:t>
                </m:r>
                <m:r>
                  <m:t>i</m:t>
                </m:r>
                <m:r>
                  <m:t>c</m:t>
                </m:r>
                <m:r>
                  <m:t>i</m:t>
                </m:r>
                <m:r>
                  <m:t>e</m:t>
                </m:r>
                <m:r>
                  <m:t>n</m:t>
                </m:r>
                <m:r>
                  <m:t>t</m:t>
                </m:r>
                <m:r>
                  <m:rPr>
                    <m:sty m:val="p"/>
                  </m:rPr>
                  <m:t>±</m:t>
                </m:r>
                <m:r>
                  <m:t>1.96</m:t>
                </m:r>
                <m:r>
                  <m:rPr>
                    <m:sty m:val="p"/>
                  </m:rPr>
                  <m:t>*</m:t>
                </m:r>
                <m:r>
                  <m:t>S</m:t>
                </m:r>
                <m:r>
                  <m:t>t</m:t>
                </m:r>
                <m:r>
                  <m:t>a</m:t>
                </m:r>
                <m:r>
                  <m:t>n</m:t>
                </m:r>
                <m:r>
                  <m:t>d</m:t>
                </m:r>
                <m:r>
                  <m:t>a</m:t>
                </m:r>
                <m:r>
                  <m:t>r</m:t>
                </m:r>
                <m:r>
                  <m:t>d</m:t>
                </m:r>
                <m:r>
                  <m:t>E</m:t>
                </m:r>
                <m:r>
                  <m:t>r</m:t>
                </m:r>
                <m:r>
                  <m:t>r</m:t>
                </m:r>
                <m:r>
                  <m:t>o</m:t>
                </m:r>
                <m:r>
                  <m:t>r</m:t>
                </m:r>
              </m:e>
            </m:d>
          </m:e>
          <m:sup>
            <m:r>
              <m:t>2</m:t>
            </m:r>
          </m:sup>
        </m:sSup>
      </m:oMath>
      <w:r>
        <w:t xml:space="preserve">) did not cross 1.</w:t>
      </w:r>
    </w:p>
    <w:p>
      <w:pPr>
        <w:pStyle w:val="BodyText"/>
      </w:pPr>
      <w:r>
        <w:t xml:space="preserve">Figures were created with</w:t>
      </w:r>
      <w:r>
        <w:t xml:space="preserve"> </w:t>
      </w:r>
      <w:r>
        <w:rPr>
          <w:i/>
          <w:iCs/>
        </w:rPr>
        <w:t xml:space="preserve">ggplot2</w:t>
      </w:r>
      <w:r>
        <w:t xml:space="preserve"> </w:t>
      </w:r>
      <w:r>
        <w:t xml:space="preserve">(</w:t>
      </w:r>
      <w:hyperlink w:anchor="ref-R-ggplot2">
        <w:r>
          <w:rPr>
            <w:rStyle w:val="Hyperlink"/>
          </w:rPr>
          <w:t xml:space="preserve">Wickham, 2016</w:t>
        </w:r>
      </w:hyperlink>
      <w:r>
        <w:t xml:space="preserve">)</w:t>
      </w:r>
      <w:r>
        <w:t xml:space="preserve">,</w:t>
      </w:r>
      <w:r>
        <w:t xml:space="preserve"> </w:t>
      </w:r>
      <w:r>
        <w:rPr>
          <w:i/>
          <w:iCs/>
        </w:rPr>
        <w:t xml:space="preserve">ggpubr</w:t>
      </w:r>
      <w:r>
        <w:t xml:space="preserve"> </w:t>
      </w:r>
      <w:r>
        <w:t xml:space="preserve">(</w:t>
      </w:r>
      <w:hyperlink w:anchor="ref-R-ggpubr">
        <w:r>
          <w:rPr>
            <w:rStyle w:val="Hyperlink"/>
          </w:rPr>
          <w:t xml:space="preserve">Kassambara, 2023</w:t>
        </w:r>
      </w:hyperlink>
      <w:r>
        <w:t xml:space="preserve">)</w:t>
      </w:r>
      <w:r>
        <w:t xml:space="preserve">,</w:t>
      </w:r>
      <w:r>
        <w:t xml:space="preserve"> </w:t>
      </w:r>
      <w:r>
        <w:rPr>
          <w:i/>
          <w:iCs/>
        </w:rPr>
        <w:t xml:space="preserve">ggridges</w:t>
      </w:r>
      <w:r>
        <w:t xml:space="preserve"> </w:t>
      </w:r>
      <w:r>
        <w:t xml:space="preserve">(</w:t>
      </w:r>
      <w:hyperlink w:anchor="ref-R-ggridges">
        <w:r>
          <w:rPr>
            <w:rStyle w:val="Hyperlink"/>
          </w:rPr>
          <w:t xml:space="preserve">Wilke, 2024</w:t>
        </w:r>
      </w:hyperlink>
      <w:r>
        <w:t xml:space="preserve">)</w:t>
      </w:r>
      <w:r>
        <w:t xml:space="preserve">,</w:t>
      </w:r>
      <w:r>
        <w:t xml:space="preserve"> </w:t>
      </w:r>
      <w:r>
        <w:rPr>
          <w:i/>
          <w:iCs/>
        </w:rPr>
        <w:t xml:space="preserve">ggsignif</w:t>
      </w:r>
      <w:r>
        <w:t xml:space="preserve"> </w:t>
      </w:r>
      <w:r>
        <w:t xml:space="preserve">(</w:t>
      </w:r>
      <w:hyperlink w:anchor="ref-R-ggsignif">
        <w:r>
          <w:rPr>
            <w:rStyle w:val="Hyperlink"/>
          </w:rPr>
          <w:t xml:space="preserve">Constantin &amp; Patil, 2021</w:t>
        </w:r>
      </w:hyperlink>
      <w:r>
        <w:t xml:space="preserve">)</w:t>
      </w:r>
      <w:r>
        <w:t xml:space="preserve">,</w:t>
      </w:r>
      <w:r>
        <w:t xml:space="preserve"> </w:t>
      </w:r>
      <w:r>
        <w:rPr>
          <w:i/>
          <w:iCs/>
        </w:rPr>
        <w:t xml:space="preserve">ggnewscale</w:t>
      </w:r>
      <w:r>
        <w:t xml:space="preserve"> </w:t>
      </w:r>
      <w:r>
        <w:t xml:space="preserve">(</w:t>
      </w:r>
      <w:hyperlink w:anchor="ref-R-ggnewscale">
        <w:r>
          <w:rPr>
            <w:rStyle w:val="Hyperlink"/>
          </w:rPr>
          <w:t xml:space="preserve">Campitelli, n.d.</w:t>
        </w:r>
      </w:hyperlink>
      <w:r>
        <w:t xml:space="preserve">)</w:t>
      </w:r>
      <w:r>
        <w:t xml:space="preserve">, and</w:t>
      </w:r>
      <w:r>
        <w:t xml:space="preserve"> </w:t>
      </w:r>
      <w:r>
        <w:rPr>
          <w:i/>
          <w:iCs/>
        </w:rPr>
        <w:t xml:space="preserve">png</w:t>
      </w:r>
      <w:r>
        <w:t xml:space="preserve"> </w:t>
      </w:r>
      <w:r>
        <w:t xml:space="preserve">(</w:t>
      </w:r>
      <w:hyperlink w:anchor="ref-R-png">
        <w:r>
          <w:rPr>
            <w:rStyle w:val="Hyperlink"/>
          </w:rPr>
          <w:t xml:space="preserve">Urbanek, 2022</w:t>
        </w:r>
      </w:hyperlink>
      <w:r>
        <w:t xml:space="preserve">)</w:t>
      </w:r>
      <w:r>
        <w:t xml:space="preserve">. Error bars represent 95% confidence intervals (CI) based on 1000 bootstrap resamples implemented in</w:t>
      </w:r>
      <w:r>
        <w:t xml:space="preserve"> </w:t>
      </w:r>
      <w:r>
        <w:rPr>
          <w:i/>
          <w:iCs/>
        </w:rPr>
        <w:t xml:space="preserve">Hmisc</w:t>
      </w:r>
      <w:r>
        <w:t xml:space="preserve"> </w:t>
      </w:r>
      <w:r>
        <w:t xml:space="preserve">(</w:t>
      </w:r>
      <w:hyperlink w:anchor="ref-R-Hmisc">
        <w:r>
          <w:rPr>
            <w:rStyle w:val="Hyperlink"/>
          </w:rPr>
          <w:t xml:space="preserve">Harrell Jr, 2024</w:t>
        </w:r>
      </w:hyperlink>
      <w:r>
        <w:t xml:space="preserve">)</w:t>
      </w:r>
      <w:r>
        <w:t xml:space="preserve">.</w:t>
      </w:r>
    </w:p>
    <w:bookmarkEnd w:id="50"/>
    <w:bookmarkEnd w:id="51"/>
    <w:bookmarkStart w:id="73" w:name="results"/>
    <w:p>
      <w:pPr>
        <w:pStyle w:val="Heading2"/>
      </w:pPr>
      <w:r>
        <w:t xml:space="preserve">Results</w:t>
      </w:r>
    </w:p>
    <w:p>
      <w:pPr>
        <w:pStyle w:val="FirstParagraph"/>
      </w:pPr>
      <w:r>
        <w:t xml:space="preserve">TODO change to engagement factorscore?, check whether print_descr works</w:t>
      </w:r>
    </w:p>
    <w:p>
      <w:pPr>
        <w:pStyle w:val="BodyText"/>
      </w:pPr>
      <w:r>
        <w:t xml:space="preserve">In contrast to the affective reactions to typical live entertainment events reported in the literature, participants’ positivity (</w:t>
      </w:r>
      <m:oMath>
        <m:r>
          <m:t>M</m:t>
        </m:r>
        <m:r>
          <m:rPr>
            <m:sty m:val="p"/>
          </m:rPr>
          <m:t>=</m:t>
        </m:r>
        <m:r>
          <m:rPr>
            <m:sty m:val="p"/>
          </m:rPr>
          <m:t>−</m:t>
        </m:r>
        <m:r>
          <m:t>0.76</m:t>
        </m:r>
      </m:oMath>
      <w:r>
        <w:t xml:space="preserve">,</w:t>
      </w:r>
      <w:r>
        <w:t xml:space="preserve"> </w:t>
      </w:r>
      <m:oMath>
        <m:r>
          <m:t>S</m:t>
        </m:r>
        <m:r>
          <m:t>D</m:t>
        </m:r>
        <m:r>
          <m:rPr>
            <m:sty m:val="p"/>
          </m:rPr>
          <m:t>=</m:t>
        </m:r>
        <m:r>
          <m:t>1.54</m:t>
        </m:r>
      </m:oMath>
      <w:r>
        <w:t xml:space="preserve">), relaxation (</w:t>
      </w:r>
      <m:oMath>
        <m:r>
          <m:t>M</m:t>
        </m:r>
        <m:r>
          <m:rPr>
            <m:sty m:val="p"/>
          </m:rPr>
          <m:t>=</m:t>
        </m:r>
        <m:r>
          <m:rPr>
            <m:sty m:val="p"/>
          </m:rPr>
          <m:t>−</m:t>
        </m:r>
        <m:r>
          <m:t>0.54</m:t>
        </m:r>
      </m:oMath>
      <w:r>
        <w:t xml:space="preserve">,</w:t>
      </w:r>
      <w:r>
        <w:t xml:space="preserve"> </w:t>
      </w:r>
      <m:oMath>
        <m:r>
          <m:t>S</m:t>
        </m:r>
        <m:r>
          <m:t>D</m:t>
        </m:r>
        <m:r>
          <m:rPr>
            <m:sty m:val="p"/>
          </m:rPr>
          <m:t>=</m:t>
        </m:r>
        <m:r>
          <m:t>1.66</m:t>
        </m:r>
      </m:oMath>
      <w:r>
        <w:t xml:space="preserve">), and alertness (</w:t>
      </w:r>
      <m:oMath>
        <m:r>
          <m:t>M</m:t>
        </m:r>
        <m:r>
          <m:rPr>
            <m:sty m:val="p"/>
          </m:rPr>
          <m:t>=</m:t>
        </m:r>
        <m:r>
          <m:rPr>
            <m:sty m:val="p"/>
          </m:rPr>
          <m:t>−</m:t>
        </m:r>
        <m:r>
          <m:t>1.07</m:t>
        </m:r>
      </m:oMath>
      <w:r>
        <w:t xml:space="preserve">,</w:t>
      </w:r>
      <w:r>
        <w:t xml:space="preserve"> </w:t>
      </w:r>
      <m:oMath>
        <m:r>
          <m:t>S</m:t>
        </m:r>
        <m:r>
          <m:t>D</m:t>
        </m:r>
        <m:r>
          <m:rPr>
            <m:sty m:val="p"/>
          </m:rPr>
          <m:t>=</m:t>
        </m:r>
        <m:r>
          <m:t>1.79</m:t>
        </m:r>
      </m:oMath>
      <w:r>
        <w:t xml:space="preserve">) tended to decrease throughout the event. Congruously, both the film (</w:t>
      </w:r>
      <m:oMath>
        <m:r>
          <m:t>M</m:t>
        </m:r>
        <m:r>
          <m:rPr>
            <m:sty m:val="p"/>
          </m:rPr>
          <m:t>=</m:t>
        </m:r>
        <m:r>
          <m:t>1.06</m:t>
        </m:r>
      </m:oMath>
      <w:r>
        <w:t xml:space="preserve">,</w:t>
      </w:r>
      <w:r>
        <w:t xml:space="preserve"> </w:t>
      </w:r>
      <m:oMath>
        <m:r>
          <m:t>S</m:t>
        </m:r>
        <m:r>
          <m:t>D</m:t>
        </m:r>
        <m:r>
          <m:rPr>
            <m:sty m:val="p"/>
          </m:rPr>
          <m:t>=</m:t>
        </m:r>
        <m:r>
          <m:t>0.95</m:t>
        </m:r>
      </m:oMath>
      <w:r>
        <w:t xml:space="preserve">) and the performance (</w:t>
      </w:r>
      <m:oMath>
        <m:r>
          <m:t>M</m:t>
        </m:r>
        <m:r>
          <m:rPr>
            <m:sty m:val="p"/>
          </m:rPr>
          <m:t>=</m:t>
        </m:r>
        <m:r>
          <m:t>0.78</m:t>
        </m:r>
      </m:oMath>
      <w:r>
        <w:t xml:space="preserve">,</w:t>
      </w:r>
      <w:r>
        <w:t xml:space="preserve"> </w:t>
      </w:r>
      <m:oMath>
        <m:r>
          <m:t>S</m:t>
        </m:r>
        <m:r>
          <m:t>D</m:t>
        </m:r>
        <m:r>
          <m:rPr>
            <m:sty m:val="p"/>
          </m:rPr>
          <m:t>=</m:t>
        </m:r>
        <m:r>
          <m:t>0.92</m:t>
        </m:r>
      </m:oMath>
      <w:r>
        <w:t xml:space="preserve">) were rated as slightly too long on average. Nonetheless, participants reported high attentiveness (</w:t>
      </w:r>
      <m:oMath>
        <m:r>
          <m:t>M</m:t>
        </m:r>
        <m:r>
          <m:rPr>
            <m:sty m:val="p"/>
          </m:rPr>
          <m:t>=</m:t>
        </m:r>
        <m:r>
          <m:t>5.16</m:t>
        </m:r>
      </m:oMath>
      <w:r>
        <w:t xml:space="preserve">,</w:t>
      </w:r>
      <w:r>
        <w:t xml:space="preserve"> </w:t>
      </w:r>
      <m:oMath>
        <m:r>
          <m:t>S</m:t>
        </m:r>
        <m:r>
          <m:t>D</m:t>
        </m:r>
        <m:r>
          <m:rPr>
            <m:sty m:val="p"/>
          </m:rPr>
          <m:t>=</m:t>
        </m:r>
        <m:r>
          <m:t>1.32</m:t>
        </m:r>
      </m:oMath>
      <w:r>
        <w:t xml:space="preserve">), interest (</w:t>
      </w:r>
      <m:oMath>
        <m:r>
          <m:t>M</m:t>
        </m:r>
        <m:r>
          <m:rPr>
            <m:sty m:val="p"/>
          </m:rPr>
          <m:t>=</m:t>
        </m:r>
        <m:r>
          <m:t>4.96</m:t>
        </m:r>
      </m:oMath>
      <w:r>
        <w:t xml:space="preserve">,</w:t>
      </w:r>
      <w:r>
        <w:t xml:space="preserve"> </w:t>
      </w:r>
      <m:oMath>
        <m:r>
          <m:t>S</m:t>
        </m:r>
        <m:r>
          <m:t>D</m:t>
        </m:r>
        <m:r>
          <m:rPr>
            <m:sty m:val="p"/>
          </m:rPr>
          <m:t>=</m:t>
        </m:r>
        <m:r>
          <m:t>1.56</m:t>
        </m:r>
      </m:oMath>
      <w:r>
        <w:t xml:space="preserve">), enjoyment (</w:t>
      </w:r>
      <m:oMath>
        <m:r>
          <m:t>M</m:t>
        </m:r>
        <m:r>
          <m:rPr>
            <m:sty m:val="p"/>
          </m:rPr>
          <m:t>=</m:t>
        </m:r>
        <m:r>
          <m:t>4.7</m:t>
        </m:r>
      </m:oMath>
      <w:r>
        <w:t xml:space="preserve">,</w:t>
      </w:r>
      <w:r>
        <w:t xml:space="preserve"> </w:t>
      </w:r>
      <m:oMath>
        <m:r>
          <m:t>S</m:t>
        </m:r>
        <m:r>
          <m:t>D</m:t>
        </m:r>
        <m:r>
          <m:rPr>
            <m:sty m:val="p"/>
          </m:rPr>
          <m:t>=</m:t>
        </m:r>
        <m:r>
          <m:t>1.49</m:t>
        </m:r>
      </m:oMath>
      <w:r>
        <w:t xml:space="preserve">), insightfulness (</w:t>
      </w:r>
      <m:oMath>
        <m:r>
          <m:t>M</m:t>
        </m:r>
        <m:r>
          <m:rPr>
            <m:sty m:val="p"/>
          </m:rPr>
          <m:t>=</m:t>
        </m:r>
        <m:r>
          <m:t>4.53</m:t>
        </m:r>
      </m:oMath>
      <w:r>
        <w:t xml:space="preserve">,</w:t>
      </w:r>
      <w:r>
        <w:t xml:space="preserve"> </w:t>
      </w:r>
      <m:oMath>
        <m:r>
          <m:t>S</m:t>
        </m:r>
        <m:r>
          <m:t>D</m:t>
        </m:r>
        <m:r>
          <m:rPr>
            <m:sty m:val="p"/>
          </m:rPr>
          <m:t>=</m:t>
        </m:r>
        <m:r>
          <m:t>1.59</m:t>
        </m:r>
      </m:oMath>
      <w:r>
        <w:t xml:space="preserve">), and felt moved (</w:t>
      </w:r>
      <m:oMath>
        <m:r>
          <m:t>M</m:t>
        </m:r>
        <m:r>
          <m:rPr>
            <m:sty m:val="p"/>
          </m:rPr>
          <m:t>=</m:t>
        </m:r>
        <m:r>
          <m:t>4.42</m:t>
        </m:r>
      </m:oMath>
      <w:r>
        <w:t xml:space="preserve">,</w:t>
      </w:r>
      <w:r>
        <w:t xml:space="preserve"> </w:t>
      </w:r>
      <m:oMath>
        <m:r>
          <m:t>S</m:t>
        </m:r>
        <m:r>
          <m:t>D</m:t>
        </m:r>
        <m:r>
          <m:rPr>
            <m:sty m:val="p"/>
          </m:rPr>
          <m:t>=</m:t>
        </m:r>
        <m:r>
          <m:t>1.61</m:t>
        </m:r>
      </m:oMath>
      <w:r>
        <w:t xml:space="preserve">) and wanted to re-engage with similar stimuli (</w:t>
      </w:r>
      <m:oMath>
        <m:r>
          <m:t>M</m:t>
        </m:r>
        <m:r>
          <m:rPr>
            <m:sty m:val="p"/>
          </m:rPr>
          <m:t>=</m:t>
        </m:r>
        <m:r>
          <m:t>3.73</m:t>
        </m:r>
      </m:oMath>
      <w:r>
        <w:t xml:space="preserve">,</w:t>
      </w:r>
      <w:r>
        <w:t xml:space="preserve"> </w:t>
      </w:r>
      <m:oMath>
        <m:r>
          <m:t>S</m:t>
        </m:r>
        <m:r>
          <m:t>D</m:t>
        </m:r>
        <m:r>
          <m:rPr>
            <m:sty m:val="p"/>
          </m:rPr>
          <m:t>=</m:t>
        </m:r>
        <m:r>
          <m:t>1.81</m:t>
        </m:r>
      </m:oMath>
      <w:r>
        <w:t xml:space="preserve">), for both the film and the performance, and both in-person and livestream attendance. Feeling chills and tearing up were less common. Interestingly, regardless of whether participants saw the film or the performance first, a majority indicated that they preferred the order they saw the stimuli, over the alternative order. This preference was stronger among participants who saw the film first and the performance afterwards. For more details regarding participants’ self-reported experience, see</w:t>
      </w:r>
      <w:r>
        <w:t xml:space="preserve"> </w:t>
      </w:r>
      <w:hyperlink w:anchor="apx-eventexperience">
        <w:r>
          <w:rPr>
            <w:rStyle w:val="Hyperlink"/>
          </w:rPr>
          <w:t xml:space="preserve">Appendix C</w:t>
        </w:r>
      </w:hyperlink>
      <w:r>
        <w:t xml:space="preserve">.</w:t>
      </w:r>
    </w:p>
    <w:bookmarkStart w:id="56" w:name="awareness"/>
    <w:p>
      <w:pPr>
        <w:pStyle w:val="Heading3"/>
      </w:pPr>
      <w:r>
        <w:t xml:space="preserve">Awareness</w:t>
      </w:r>
    </w:p>
    <w:p>
      <w:pPr>
        <w:pStyle w:val="FirstParagraph"/>
      </w:pPr>
      <w:r>
        <w:t xml:space="preserve">We evaluated the effects of the event conditions on</w:t>
      </w:r>
      <w:r>
        <w:t xml:space="preserve"> </w:t>
      </w:r>
      <w:r>
        <w:rPr>
          <w:i/>
          <w:iCs/>
        </w:rPr>
        <w:t xml:space="preserve">awareness</w:t>
      </w:r>
      <w:r>
        <w:t xml:space="preserve"> </w:t>
      </w:r>
      <w:r>
        <w:t xml:space="preserve">of wrongful imprisonment,</w:t>
      </w:r>
      <w:r>
        <w:t xml:space="preserve"> </w:t>
      </w:r>
      <w:r>
        <w:rPr>
          <w:i/>
          <w:iCs/>
        </w:rPr>
        <w:t xml:space="preserve">empathy</w:t>
      </w:r>
      <w:r>
        <w:t xml:space="preserve"> </w:t>
      </w:r>
      <w:r>
        <w:t xml:space="preserve">with the wrongfully imprisoned Anna Vasquez, and</w:t>
      </w:r>
      <w:r>
        <w:t xml:space="preserve"> </w:t>
      </w:r>
      <w:r>
        <w:rPr>
          <w:i/>
          <w:iCs/>
        </w:rPr>
        <w:t xml:space="preserve">closeness</w:t>
      </w:r>
      <w:r>
        <w:t xml:space="preserve"> </w:t>
      </w:r>
      <w:r>
        <w:t xml:space="preserve">with Anna Vasquez (Hypotheses 1a, 2a, and 3a), using LMMs. Higher awareness was moderately associated with openness to experience (</w:t>
      </w:r>
      <m:oMath>
        <m:sSub>
          <m:e>
            <m:r>
              <m:t>r</m:t>
            </m:r>
          </m:e>
          <m:sub>
            <m:r>
              <m:rPr>
                <m:sty m:val="p"/>
              </m:rPr>
              <m:t>s</m:t>
            </m:r>
          </m:sub>
        </m:sSub>
        <m:r>
          <m:rPr>
            <m:sty m:val="p"/>
          </m:rPr>
          <m:t>=</m:t>
        </m:r>
        <m:r>
          <m:t>.30</m:t>
        </m:r>
      </m:oMath>
      <w:r>
        <w:t xml:space="preserve">,</w:t>
      </w:r>
      <w:r>
        <w:t xml:space="preserve"> </w:t>
      </w:r>
      <m:oMath>
        <m:r>
          <m:t>S</m:t>
        </m:r>
        <m:r>
          <m:rPr>
            <m:sty m:val="p"/>
          </m:rPr>
          <m:t>=</m:t>
        </m:r>
        <m:r>
          <m:t>2</m:t>
        </m:r>
        <m:r>
          <m:rPr>
            <m:sty m:val="p"/>
          </m:rPr>
          <m:t>,</m:t>
        </m:r>
        <m:r>
          <m:t>001</m:t>
        </m:r>
        <m:r>
          <m:rPr>
            <m:sty m:val="p"/>
          </m:rPr>
          <m:t>,</m:t>
        </m:r>
        <m:r>
          <m:t>525.95</m:t>
        </m:r>
      </m:oMath>
      <w:r>
        <w:t xml:space="preserve">,</w:t>
      </w:r>
      <w:r>
        <w:t xml:space="preserve"> </w:t>
      </w:r>
      <m:oMath>
        <m:r>
          <m:t>p</m:t>
        </m:r>
        <m:r>
          <m:rPr>
            <m:sty m:val="p"/>
          </m:rPr>
          <m:t>&lt;</m:t>
        </m:r>
        <m:r>
          <m:t>.001</m:t>
        </m:r>
      </m:oMath>
      <w:r>
        <w:t xml:space="preserve">), and with left-leaning political orientation (</w:t>
      </w:r>
      <m:oMath>
        <m:sSub>
          <m:e>
            <m:r>
              <m:t>r</m:t>
            </m:r>
          </m:e>
          <m:sub>
            <m:r>
              <m:rPr>
                <m:sty m:val="p"/>
              </m:rPr>
              <m:t>s</m:t>
            </m:r>
          </m:sub>
        </m:sSub>
        <m:r>
          <m:rPr>
            <m:sty m:val="p"/>
          </m:rPr>
          <m:t>=</m:t>
        </m:r>
        <m:r>
          <m:t>.34</m:t>
        </m:r>
      </m:oMath>
      <w:r>
        <w:t xml:space="preserve">,</w:t>
      </w:r>
      <w:r>
        <w:t xml:space="preserve"> </w:t>
      </w:r>
      <m:oMath>
        <m:r>
          <m:t>S</m:t>
        </m:r>
        <m:r>
          <m:rPr>
            <m:sty m:val="p"/>
          </m:rPr>
          <m:t>=</m:t>
        </m:r>
        <m:r>
          <m:t>1</m:t>
        </m:r>
        <m:r>
          <m:rPr>
            <m:sty m:val="p"/>
          </m:rPr>
          <m:t>,</m:t>
        </m:r>
        <m:r>
          <m:t>725</m:t>
        </m:r>
        <m:r>
          <m:rPr>
            <m:sty m:val="p"/>
          </m:rPr>
          <m:t>,</m:t>
        </m:r>
        <m:r>
          <m:t>639.37</m:t>
        </m:r>
      </m:oMath>
      <w:r>
        <w:t xml:space="preserve">,</w:t>
      </w:r>
      <w:r>
        <w:t xml:space="preserve"> </w:t>
      </w:r>
      <m:oMath>
        <m:r>
          <m:t>p</m:t>
        </m:r>
        <m:r>
          <m:rPr>
            <m:sty m:val="p"/>
          </m:rPr>
          <m:t>&lt;</m:t>
        </m:r>
        <m:r>
          <m:t>.001</m:t>
        </m:r>
      </m:oMath>
      <w:r>
        <w:t xml:space="preserve">). Both variables were therefore included as covariates in the LMM, resulting in the formula</w:t>
      </w:r>
      <w:r>
        <w:t xml:space="preserve"> </w:t>
      </w:r>
      <m:oMath>
        <m:r>
          <m:t>A</m:t>
        </m:r>
        <m:r>
          <m:t>w</m:t>
        </m:r>
        <m:r>
          <m:t>a</m:t>
        </m:r>
        <m:r>
          <m:t>r</m:t>
        </m:r>
        <m:r>
          <m:t>e</m:t>
        </m:r>
        <m:r>
          <m:t>n</m:t>
        </m:r>
        <m:r>
          <m:t>e</m:t>
        </m:r>
        <m:r>
          <m:t>s</m:t>
        </m:r>
        <m:r>
          <m:t>s</m:t>
        </m:r>
        <m:r>
          <m:rPr>
            <m:sty m:val="p"/>
          </m:rPr>
          <m:t>∼</m:t>
        </m:r>
        <m:r>
          <m:t>O</m:t>
        </m:r>
        <m:r>
          <m:t>p</m:t>
        </m:r>
        <m:r>
          <m:t>e</m:t>
        </m:r>
        <m:r>
          <m:t>n</m:t>
        </m:r>
        <m:r>
          <m:t>n</m:t>
        </m:r>
        <m:r>
          <m:t>e</m:t>
        </m:r>
        <m:r>
          <m:t>s</m:t>
        </m:r>
        <m:r>
          <m:t>s</m:t>
        </m:r>
        <m:r>
          <m:rPr>
            <m:sty m:val="p"/>
          </m:rPr>
          <m:t>+</m:t>
        </m:r>
        <m:r>
          <m:t>P</m:t>
        </m:r>
        <m:r>
          <m:t>o</m:t>
        </m:r>
        <m:r>
          <m:t>l</m:t>
        </m:r>
        <m:r>
          <m:t>i</m:t>
        </m:r>
        <m:r>
          <m:t>t</m:t>
        </m:r>
        <m:r>
          <m:t>i</m:t>
        </m:r>
        <m:r>
          <m:t>c</m:t>
        </m:r>
        <m:r>
          <m:t>s</m:t>
        </m:r>
        <m:r>
          <m:rPr>
            <m:sty m:val="p"/>
          </m:rPr>
          <m:t>+</m:t>
        </m:r>
        <m:r>
          <m:t>B</m:t>
        </m:r>
        <m:r>
          <m:t>a</m:t>
        </m:r>
        <m:r>
          <m:t>s</m:t>
        </m:r>
        <m:r>
          <m:t>e</m:t>
        </m:r>
        <m:r>
          <m:t>l</m:t>
        </m:r>
        <m:r>
          <m:t>i</m:t>
        </m:r>
        <m:r>
          <m:t>n</m:t>
        </m:r>
        <m:r>
          <m:t>e</m:t>
        </m:r>
        <m:r>
          <m:rPr>
            <m:sty m:val="p"/>
          </m:rPr>
          <m:t>+</m:t>
        </m:r>
        <m:r>
          <m:t>A</m:t>
        </m:r>
        <m:r>
          <m:t>t</m:t>
        </m:r>
        <m:r>
          <m:t>t</m:t>
        </m:r>
        <m:r>
          <m:t>e</m:t>
        </m:r>
        <m:r>
          <m:t>n</m:t>
        </m:r>
        <m:r>
          <m:t>d</m:t>
        </m:r>
        <m:r>
          <m:t>a</m:t>
        </m:r>
        <m:r>
          <m:t>n</m:t>
        </m:r>
        <m:r>
          <m:t>c</m:t>
        </m:r>
        <m:r>
          <m:t>e</m:t>
        </m:r>
        <m:r>
          <m:rPr>
            <m:sty m:val="p"/>
          </m:rPr>
          <m:t>*</m:t>
        </m:r>
        <m:r>
          <m:t>S</m:t>
        </m:r>
        <m:r>
          <m:t>t</m:t>
        </m:r>
        <m:r>
          <m:t>i</m:t>
        </m:r>
        <m:r>
          <m:t>m</m:t>
        </m:r>
        <m:r>
          <m:t>u</m:t>
        </m:r>
        <m:r>
          <m:t>l</m:t>
        </m:r>
        <m:r>
          <m:t>u</m:t>
        </m:r>
        <m:r>
          <m:t>s</m:t>
        </m:r>
        <m:r>
          <m:rPr>
            <m:sty m:val="p"/>
          </m:rPr>
          <m:t>*</m:t>
        </m:r>
        <m:r>
          <m:t>T</m:t>
        </m:r>
        <m:r>
          <m:t>i</m:t>
        </m:r>
        <m:r>
          <m:t>m</m:t>
        </m:r>
        <m:r>
          <m:t>e</m:t>
        </m:r>
        <m:r>
          <m:rPr>
            <m:sty m:val="p"/>
          </m:rPr>
          <m:t>+</m:t>
        </m:r>
        <m:d>
          <m:dPr>
            <m:begChr m:val="("/>
            <m:sepChr m:val=""/>
            <m:endChr m:val=")"/>
            <m:grow/>
          </m:dPr>
          <m:e>
            <m:r>
              <m:t>1</m:t>
            </m:r>
            <m:r>
              <m:rPr>
                <m:sty m:val="p"/>
              </m:rPr>
              <m:t>|</m:t>
            </m:r>
            <m:r>
              <m:t>P</m:t>
            </m:r>
            <m:r>
              <m:t>a</m:t>
            </m:r>
            <m:r>
              <m:t>r</m:t>
            </m:r>
            <m:r>
              <m:t>t</m:t>
            </m:r>
            <m:r>
              <m:t>i</m:t>
            </m:r>
            <m:r>
              <m:t>c</m:t>
            </m:r>
            <m:r>
              <m:t>i</m:t>
            </m:r>
            <m:r>
              <m:t>p</m:t>
            </m:r>
            <m:r>
              <m:t>a</m:t>
            </m:r>
            <m:r>
              <m:t>n</m:t>
            </m:r>
            <m:r>
              <m:t>t</m:t>
            </m:r>
          </m:e>
        </m:d>
      </m:oMath>
      <w:r>
        <w:t xml:space="preserve">. For all three outcomes (awareness, empathy, and closeness), the baseline significantly predicted the outcome, but the data were significantly more likely under the full model including the event conditions, compared to a model with just the covariates and the random intercept (for the full model details and model comparisons see</w:t>
      </w:r>
      <w:r>
        <w:t xml:space="preserve"> </w:t>
      </w:r>
      <w:hyperlink w:anchor="apx-modelcomps">
        <w:r>
          <w:rPr>
            <w:rStyle w:val="Hyperlink"/>
          </w:rPr>
          <w:t xml:space="preserve">Appendix D</w:t>
        </w:r>
      </w:hyperlink>
      <w:r>
        <w:t xml:space="preserve">).</w:t>
      </w:r>
    </w:p>
    <w:p>
      <w:pPr>
        <w:pStyle w:val="BodyText"/>
      </w:pPr>
      <w:r>
        <w:t xml:space="preserve">The main effect and interactions involving the stimuli were not significant, indicating no difference in problem awareness between participants who had seen the performance compared to the film. Thus, the data did not support Hypothesis 1a. The only significant fixed effect was a small main effect of time,</w:t>
      </w:r>
      <w:r>
        <w:t xml:space="preserve"> </w:t>
      </w:r>
      <m:oMath>
        <m:r>
          <m:t>β</m:t>
        </m:r>
        <m:r>
          <m:rPr>
            <m:sty m:val="p"/>
          </m:rPr>
          <m:t>=</m:t>
        </m:r>
        <m:r>
          <m:t>0.1</m:t>
        </m:r>
      </m:oMath>
      <w:r>
        <w:t xml:space="preserve">,</w:t>
      </w:r>
      <w:r>
        <w:t xml:space="preserve"> </w:t>
      </w:r>
      <m:oMath>
        <m:r>
          <m:t>t</m:t>
        </m:r>
        <m:d>
          <m:dPr>
            <m:begChr m:val="("/>
            <m:sepChr m:val=""/>
            <m:endChr m:val=")"/>
            <m:grow/>
          </m:dPr>
          <m:e>
            <m:r>
              <m:t>86</m:t>
            </m:r>
          </m:e>
        </m:d>
        <m:r>
          <m:rPr>
            <m:sty m:val="p"/>
          </m:rPr>
          <m:t>=</m:t>
        </m:r>
        <m:r>
          <m:t>2.77</m:t>
        </m:r>
      </m:oMath>
      <w:r>
        <w:t xml:space="preserve">,</w:t>
      </w:r>
      <w:r>
        <w:t xml:space="preserve"> </w:t>
      </w:r>
      <m:oMath>
        <m:r>
          <m:t>p</m:t>
        </m:r>
        <m:r>
          <m:rPr>
            <m:sty m:val="p"/>
          </m:rPr>
          <m:t>=</m:t>
        </m:r>
        <m:r>
          <m:t>0.007</m:t>
        </m:r>
      </m:oMath>
      <w:r>
        <w:t xml:space="preserve">,</w:t>
      </w:r>
      <w:r>
        <w:t xml:space="preserve"> </w:t>
      </w:r>
      <m:oMath>
        <m:r>
          <m:t>d</m:t>
        </m:r>
        <m:r>
          <m:rPr>
            <m:sty m:val="p"/>
          </m:rPr>
          <m:t>=</m:t>
        </m:r>
        <m:r>
          <m:t>0.33</m:t>
        </m:r>
      </m:oMath>
      <w:r>
        <w:t xml:space="preserve">, with participants reporting higher problem awareness at the end of the event (</w:t>
      </w:r>
      <m:oMath>
        <m:r>
          <m:t>M</m:t>
        </m:r>
        <m:r>
          <m:rPr>
            <m:sty m:val="p"/>
          </m:rPr>
          <m:t>=</m:t>
        </m:r>
        <m:r>
          <m:t>5.67</m:t>
        </m:r>
      </m:oMath>
      <w:r>
        <w:t xml:space="preserve">,</w:t>
      </w:r>
      <w:r>
        <w:t xml:space="preserve"> </w:t>
      </w:r>
      <m:oMath>
        <m:r>
          <m:t>S</m:t>
        </m:r>
        <m:r>
          <m:t>D</m:t>
        </m:r>
        <m:r>
          <m:rPr>
            <m:sty m:val="p"/>
          </m:rPr>
          <m:t>=</m:t>
        </m:r>
        <m:r>
          <m:t>0.88</m:t>
        </m:r>
      </m:oMath>
      <w:r>
        <w:t xml:space="preserve">) compared to intermission (</w:t>
      </w:r>
      <m:oMath>
        <m:r>
          <m:t>M</m:t>
        </m:r>
        <m:r>
          <m:rPr>
            <m:sty m:val="p"/>
          </m:rPr>
          <m:t>=</m:t>
        </m:r>
        <m:r>
          <m:t>5.48</m:t>
        </m:r>
      </m:oMath>
      <w:r>
        <w:t xml:space="preserve">,</w:t>
      </w:r>
      <w:r>
        <w:t xml:space="preserve"> </w:t>
      </w:r>
      <m:oMath>
        <m:r>
          <m:t>S</m:t>
        </m:r>
        <m:r>
          <m:t>D</m:t>
        </m:r>
        <m:r>
          <m:rPr>
            <m:sty m:val="p"/>
          </m:rPr>
          <m:t>=</m:t>
        </m:r>
        <m:r>
          <m:t>0.85</m:t>
        </m:r>
      </m:oMath>
      <w:r>
        <w:t xml:space="preserve">), regardless of stimulus and attendance mode. An additional post-hoc test revealed that the increase from baseline (</w:t>
      </w:r>
      <m:oMath>
        <m:r>
          <m:t>M</m:t>
        </m:r>
        <m:r>
          <m:rPr>
            <m:sty m:val="p"/>
          </m:rPr>
          <m:t>=</m:t>
        </m:r>
        <m:r>
          <m:t>5.21</m:t>
        </m:r>
      </m:oMath>
      <w:r>
        <w:t xml:space="preserve">,</w:t>
      </w:r>
      <w:r>
        <w:t xml:space="preserve"> </w:t>
      </w:r>
      <m:oMath>
        <m:r>
          <m:t>S</m:t>
        </m:r>
        <m:r>
          <m:t>D</m:t>
        </m:r>
        <m:r>
          <m:rPr>
            <m:sty m:val="p"/>
          </m:rPr>
          <m:t>=</m:t>
        </m:r>
        <m:r>
          <m:t>0.86</m:t>
        </m:r>
      </m:oMath>
      <w:r>
        <w:t xml:space="preserve">) to intermission was also small but significant,</w:t>
      </w:r>
      <w:r>
        <w:t xml:space="preserve"> </w:t>
      </w:r>
      <m:oMath>
        <m:sSub>
          <m:e>
            <m:r>
              <m:t>M</m:t>
            </m:r>
          </m:e>
          <m:sub>
            <m:r>
              <m:t>D</m:t>
            </m:r>
          </m:sub>
        </m:sSub>
        <m:r>
          <m:rPr>
            <m:sty m:val="p"/>
          </m:rPr>
          <m:t>=</m:t>
        </m:r>
        <m:r>
          <m:t>0.26</m:t>
        </m:r>
      </m:oMath>
      <w:r>
        <w:t xml:space="preserve">, 95% CI</w:t>
      </w:r>
      <w:r>
        <w:t xml:space="preserve"> </w:t>
      </w:r>
      <m:oMath>
        <m:d>
          <m:dPr>
            <m:begChr m:val="["/>
            <m:sepChr m:val=""/>
            <m:endChr m:val="]"/>
            <m:grow/>
          </m:dPr>
          <m:e>
            <m:r>
              <m:t>0.14</m:t>
            </m:r>
            <m:r>
              <m:rPr>
                <m:sty m:val="p"/>
              </m:rPr>
              <m:t>,</m:t>
            </m:r>
            <m:r>
              <m:rPr>
                <m:sty m:val="p"/>
              </m:rPr>
              <m:t>∞</m:t>
            </m:r>
          </m:e>
        </m:d>
      </m:oMath>
      <w:r>
        <w:t xml:space="preserve">,</w:t>
      </w:r>
      <w:r>
        <w:t xml:space="preserve"> </w:t>
      </w:r>
      <m:oMath>
        <m:r>
          <m:t>t</m:t>
        </m:r>
        <m:d>
          <m:dPr>
            <m:begChr m:val="("/>
            <m:sepChr m:val=""/>
            <m:endChr m:val=")"/>
            <m:grow/>
          </m:dPr>
          <m:e>
            <m:r>
              <m:t>90</m:t>
            </m:r>
          </m:e>
        </m:d>
        <m:r>
          <m:rPr>
            <m:sty m:val="p"/>
          </m:rPr>
          <m:t>=</m:t>
        </m:r>
        <m:r>
          <m:t>3.78</m:t>
        </m:r>
      </m:oMath>
      <w:r>
        <w:t xml:space="preserve">,</w:t>
      </w:r>
      <w:r>
        <w:t xml:space="preserve"> </w:t>
      </w:r>
      <m:oMath>
        <m:r>
          <m:t>p</m:t>
        </m:r>
        <m:r>
          <m:rPr>
            <m:sty m:val="p"/>
          </m:rPr>
          <m:t>&lt;</m:t>
        </m:r>
        <m:r>
          <m:t>.001</m:t>
        </m:r>
      </m:oMath>
      <w:r>
        <w:t xml:space="preserve">,</w:t>
      </w:r>
      <w:r>
        <w:t xml:space="preserve"> </w:t>
      </w:r>
      <m:oMath>
        <m:r>
          <m:t>d</m:t>
        </m:r>
        <m:r>
          <m:rPr>
            <m:sty m:val="p"/>
          </m:rPr>
          <m:t>=</m:t>
        </m:r>
        <m:r>
          <m:t>0.30</m:t>
        </m:r>
      </m:oMath>
      <w:r>
        <w:t xml:space="preserve"> </w:t>
      </w:r>
      <w:r>
        <w:t xml:space="preserve">(see</w:t>
      </w:r>
      <w:r>
        <w:t xml:space="preserve"> </w:t>
      </w:r>
      <w:hyperlink w:anchor="fig-awareness">
        <w:r>
          <w:rPr>
            <w:rStyle w:val="Hyperlink"/>
          </w:rPr>
          <w:t xml:space="preserve">Figure 1</w:t>
        </w:r>
      </w:hyperlink>
      <w:r>
        <w:t xml:space="preserve">).</w:t>
      </w:r>
    </w:p>
    <w:bookmarkStart w:id="55" w:name="fig-awareness"/>
    <w:p>
      <w:pPr>
        <w:pStyle w:val="FigureTitle"/>
      </w:pPr>
      <w:r>
        <w:t xml:space="preserve">Figure 1</w:t>
      </w:r>
    </w:p>
    <w:p>
      <w:pPr>
        <w:pStyle w:val="Caption"/>
      </w:pPr>
      <w:r>
        <w:t xml:space="preserve">Problem Awareness Throughout the Event</w:t>
      </w:r>
    </w:p>
    <w:p>
      <w:pPr>
        <w:pStyle w:val="FigureWithNote"/>
      </w:pPr>
      <w:r>
        <w:drawing>
          <wp:inline>
            <wp:extent cx="5943600" cy="5943600"/>
            <wp:effectExtent b="0" l="0" r="0" t="0"/>
            <wp:docPr descr="" title="" id="53" name="Picture"/>
            <a:graphic>
              <a:graphicData uri="http://schemas.openxmlformats.org/drawingml/2006/picture">
                <pic:pic>
                  <pic:nvPicPr>
                    <pic:cNvPr descr="Innocents_Prosociality_Manuscript_files/figure-docx/fig-awareness-1.png" id="54" name="Picture"/>
                    <pic:cNvPicPr>
                      <a:picLocks noChangeArrowheads="1" noChangeAspect="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bookmarkEnd w:id="55"/>
    <w:p>
      <w:pPr>
        <w:pStyle w:val="FigureNote"/>
      </w:pPr>
      <w:r>
        <w:rPr>
          <w:i/>
          <w:iCs/>
        </w:rPr>
        <w:t xml:space="preserve">Note</w:t>
      </w:r>
      <w:r>
        <w:t xml:space="preserve">. Mean and CI of awareness by stimulus (x-axis), split for the in-person (left) and livestream (middle) audience of study 1, and the stream audience of study 2 (right). Awareness was rated on a scale ranging from 1 (strongly disagree) to 7 (strongly agree). Significance levels refer to one-sided pairwise t-tests.</w:t>
      </w:r>
      <w:r>
        <w:t xml:space="preserve"> </w:t>
      </w:r>
      <m:oMath>
        <m:r>
          <m:t>p</m:t>
        </m:r>
        <m:r>
          <m:rPr>
            <m:sty m:val="p"/>
          </m:rPr>
          <m:t>*</m:t>
        </m:r>
        <m:r>
          <m:rPr>
            <m:sty m:val="p"/>
          </m:rPr>
          <m:t>&lt;</m:t>
        </m:r>
        <m:r>
          <m:t>.05</m:t>
        </m:r>
      </m:oMath>
      <w:r>
        <w:t xml:space="preserve">,</w:t>
      </w:r>
      <w:r>
        <w:t xml:space="preserve"> </w:t>
      </w:r>
      <m:oMath>
        <m:r>
          <m:rPr>
            <m:sty m:val="p"/>
          </m:rPr>
          <m:t>*</m:t>
        </m:r>
        <m:r>
          <m:rPr>
            <m:sty m:val="p"/>
          </m:rPr>
          <m:t>*</m:t>
        </m:r>
        <m:r>
          <m:t>p</m:t>
        </m:r>
        <m:r>
          <m:rPr>
            <m:sty m:val="p"/>
          </m:rPr>
          <m:t>&lt;</m:t>
        </m:r>
        <m:r>
          <m:t>.01</m:t>
        </m:r>
      </m:oMath>
      <w:r>
        <w:t xml:space="preserve">,</w:t>
      </w:r>
      <w:r>
        <w:t xml:space="preserve"> </w:t>
      </w:r>
      <m:oMath>
        <m:r>
          <m:rPr>
            <m:sty m:val="p"/>
          </m:rPr>
          <m:t>*</m:t>
        </m:r>
        <m:r>
          <m:rPr>
            <m:sty m:val="p"/>
          </m:rPr>
          <m:t>*</m:t>
        </m:r>
        <m:r>
          <m:rPr>
            <m:sty m:val="p"/>
          </m:rPr>
          <m:t>*</m:t>
        </m:r>
        <m:r>
          <m:t>p</m:t>
        </m:r>
        <m:r>
          <m:rPr>
            <m:sty m:val="p"/>
          </m:rPr>
          <m:t>&lt;</m:t>
        </m:r>
        <m:r>
          <m:t>.001</m:t>
        </m:r>
      </m:oMath>
      <w:r>
        <w:t xml:space="preserve">, n.s. = not significant.</w:t>
      </w:r>
    </w:p>
    <w:bookmarkEnd w:id="56"/>
    <w:bookmarkStart w:id="61" w:name="empathy"/>
    <w:p>
      <w:pPr>
        <w:pStyle w:val="Heading3"/>
      </w:pPr>
      <w:r>
        <w:t xml:space="preserve">Empathy</w:t>
      </w:r>
    </w:p>
    <w:p>
      <w:pPr>
        <w:pStyle w:val="FirstParagraph"/>
      </w:pPr>
      <w:r>
        <w:t xml:space="preserve">Empathic concern for Anna Vasquez did not have any correlations with the control variables that were at least moderately sized. Therefore, no further covariates were included in the LMM</w:t>
      </w:r>
      <w:r>
        <w:t xml:space="preserve"> </w:t>
      </w:r>
      <m:oMath>
        <m:r>
          <m:t>E</m:t>
        </m:r>
        <m:r>
          <m:t>m</m:t>
        </m:r>
        <m:r>
          <m:t>p</m:t>
        </m:r>
        <m:r>
          <m:t>a</m:t>
        </m:r>
        <m:r>
          <m:t>t</m:t>
        </m:r>
        <m:r>
          <m:t>h</m:t>
        </m:r>
        <m:r>
          <m:t>y</m:t>
        </m:r>
        <m:r>
          <m:rPr>
            <m:sty m:val="p"/>
          </m:rPr>
          <m:t>∼</m:t>
        </m:r>
        <m:r>
          <m:t>B</m:t>
        </m:r>
        <m:r>
          <m:t>a</m:t>
        </m:r>
        <m:r>
          <m:t>s</m:t>
        </m:r>
        <m:r>
          <m:t>e</m:t>
        </m:r>
        <m:r>
          <m:t>l</m:t>
        </m:r>
        <m:r>
          <m:t>i</m:t>
        </m:r>
        <m:r>
          <m:t>n</m:t>
        </m:r>
        <m:r>
          <m:t>e</m:t>
        </m:r>
        <m:r>
          <m:rPr>
            <m:sty m:val="p"/>
          </m:rPr>
          <m:t>+</m:t>
        </m:r>
        <m:r>
          <m:t>A</m:t>
        </m:r>
        <m:r>
          <m:t>t</m:t>
        </m:r>
        <m:r>
          <m:t>t</m:t>
        </m:r>
        <m:r>
          <m:t>e</m:t>
        </m:r>
        <m:r>
          <m:t>n</m:t>
        </m:r>
        <m:r>
          <m:t>d</m:t>
        </m:r>
        <m:r>
          <m:t>a</m:t>
        </m:r>
        <m:r>
          <m:t>n</m:t>
        </m:r>
        <m:r>
          <m:t>c</m:t>
        </m:r>
        <m:r>
          <m:t>e</m:t>
        </m:r>
        <m:r>
          <m:rPr>
            <m:sty m:val="p"/>
          </m:rPr>
          <m:t>*</m:t>
        </m:r>
        <m:r>
          <m:t>S</m:t>
        </m:r>
        <m:r>
          <m:t>t</m:t>
        </m:r>
        <m:r>
          <m:t>i</m:t>
        </m:r>
        <m:r>
          <m:t>m</m:t>
        </m:r>
        <m:r>
          <m:t>u</m:t>
        </m:r>
        <m:r>
          <m:t>l</m:t>
        </m:r>
        <m:r>
          <m:t>u</m:t>
        </m:r>
        <m:r>
          <m:t>s</m:t>
        </m:r>
        <m:r>
          <m:rPr>
            <m:sty m:val="p"/>
          </m:rPr>
          <m:t>*</m:t>
        </m:r>
        <m:r>
          <m:t>T</m:t>
        </m:r>
        <m:r>
          <m:t>i</m:t>
        </m:r>
        <m:r>
          <m:t>m</m:t>
        </m:r>
        <m:r>
          <m:t>e</m:t>
        </m:r>
        <m:r>
          <m:rPr>
            <m:sty m:val="p"/>
          </m:rPr>
          <m:t>+</m:t>
        </m:r>
        <m:d>
          <m:dPr>
            <m:begChr m:val="("/>
            <m:sepChr m:val=""/>
            <m:endChr m:val=")"/>
            <m:grow/>
          </m:dPr>
          <m:e>
            <m:r>
              <m:t>1</m:t>
            </m:r>
            <m:r>
              <m:rPr>
                <m:sty m:val="p"/>
              </m:rPr>
              <m:t>|</m:t>
            </m:r>
            <m:r>
              <m:t>P</m:t>
            </m:r>
            <m:r>
              <m:t>a</m:t>
            </m:r>
            <m:r>
              <m:t>r</m:t>
            </m:r>
            <m:r>
              <m:t>t</m:t>
            </m:r>
            <m:r>
              <m:t>i</m:t>
            </m:r>
            <m:r>
              <m:t>c</m:t>
            </m:r>
            <m:r>
              <m:t>i</m:t>
            </m:r>
            <m:r>
              <m:t>p</m:t>
            </m:r>
            <m:r>
              <m:t>a</m:t>
            </m:r>
            <m:r>
              <m:t>n</m:t>
            </m:r>
            <m:r>
              <m:t>t</m:t>
            </m:r>
          </m:e>
        </m:d>
      </m:oMath>
      <w:r>
        <w:t xml:space="preserve">. The main effect and interactions involving attendance were not significant, suggesting no difference in empathy between in-person and livestream audiences. Thus, the data did not support Hypothesis 2a. Time had a moderate effect on empathy,</w:t>
      </w:r>
      <w:r>
        <w:t xml:space="preserve"> </w:t>
      </w:r>
      <m:oMath>
        <m:r>
          <m:t>β</m:t>
        </m:r>
        <m:r>
          <m:rPr>
            <m:sty m:val="p"/>
          </m:rPr>
          <m:t>=</m:t>
        </m:r>
        <m:r>
          <m:t>0.18</m:t>
        </m:r>
      </m:oMath>
      <w:r>
        <w:t xml:space="preserve">,</w:t>
      </w:r>
      <w:r>
        <w:t xml:space="preserve"> </w:t>
      </w:r>
      <m:oMath>
        <m:r>
          <m:t>t</m:t>
        </m:r>
        <m:d>
          <m:dPr>
            <m:begChr m:val="("/>
            <m:sepChr m:val=""/>
            <m:endChr m:val=")"/>
            <m:grow/>
          </m:dPr>
          <m:e>
            <m:r>
              <m:t>82</m:t>
            </m:r>
          </m:e>
        </m:d>
        <m:r>
          <m:rPr>
            <m:sty m:val="p"/>
          </m:rPr>
          <m:t>=</m:t>
        </m:r>
        <m:r>
          <m:t>5.57</m:t>
        </m:r>
      </m:oMath>
      <w:r>
        <w:t xml:space="preserve">,</w:t>
      </w:r>
      <w:r>
        <w:t xml:space="preserve"> </w:t>
      </w:r>
      <m:oMath>
        <m:r>
          <m:t>p</m:t>
        </m:r>
        <m:r>
          <m:rPr>
            <m:sty m:val="p"/>
          </m:rPr>
          <m:t>&lt;</m:t>
        </m:r>
        <m:r>
          <m:t>.001</m:t>
        </m:r>
      </m:oMath>
      <w:r>
        <w:t xml:space="preserve">,</w:t>
      </w:r>
      <w:r>
        <w:t xml:space="preserve"> </w:t>
      </w:r>
      <m:oMath>
        <m:r>
          <m:t>d</m:t>
        </m:r>
        <m:r>
          <m:rPr>
            <m:sty m:val="p"/>
          </m:rPr>
          <m:t>=</m:t>
        </m:r>
        <m:r>
          <m:t>0.47</m:t>
        </m:r>
      </m:oMath>
      <w:r>
        <w:t xml:space="preserve">, with higher empathy ratings at the end of the event (</w:t>
      </w:r>
      <m:oMath>
        <m:r>
          <m:t>M</m:t>
        </m:r>
        <m:r>
          <m:rPr>
            <m:sty m:val="p"/>
          </m:rPr>
          <m:t>=</m:t>
        </m:r>
        <m:r>
          <m:t>4.72</m:t>
        </m:r>
      </m:oMath>
      <w:r>
        <w:t xml:space="preserve">,</w:t>
      </w:r>
      <w:r>
        <w:t xml:space="preserve"> </w:t>
      </w:r>
      <m:oMath>
        <m:r>
          <m:t>S</m:t>
        </m:r>
        <m:r>
          <m:t>D</m:t>
        </m:r>
        <m:r>
          <m:rPr>
            <m:sty m:val="p"/>
          </m:rPr>
          <m:t>=</m:t>
        </m:r>
        <m:r>
          <m:t>1.22</m:t>
        </m:r>
      </m:oMath>
      <w:r>
        <w:t xml:space="preserve">) compared to intermission (</w:t>
      </w:r>
      <m:oMath>
        <m:r>
          <m:t>M</m:t>
        </m:r>
        <m:r>
          <m:rPr>
            <m:sty m:val="p"/>
          </m:rPr>
          <m:t>=</m:t>
        </m:r>
        <m:r>
          <m:t>4.42</m:t>
        </m:r>
      </m:oMath>
      <w:r>
        <w:t xml:space="preserve">,</w:t>
      </w:r>
      <w:r>
        <w:t xml:space="preserve"> </w:t>
      </w:r>
      <m:oMath>
        <m:r>
          <m:t>S</m:t>
        </m:r>
        <m:r>
          <m:t>D</m:t>
        </m:r>
        <m:r>
          <m:rPr>
            <m:sty m:val="p"/>
          </m:rPr>
          <m:t>=</m:t>
        </m:r>
        <m:r>
          <m:t>1.26</m:t>
        </m:r>
      </m:oMath>
      <w:r>
        <w:t xml:space="preserve">). The main effect of time interacted moderately with the stimuli,</w:t>
      </w:r>
      <w:r>
        <w:t xml:space="preserve"> </w:t>
      </w:r>
      <m:oMath>
        <m:r>
          <m:t>β</m:t>
        </m:r>
        <m:r>
          <m:rPr>
            <m:sty m:val="p"/>
          </m:rPr>
          <m:t>=</m:t>
        </m:r>
        <m:r>
          <m:t>0.18</m:t>
        </m:r>
      </m:oMath>
      <w:r>
        <w:t xml:space="preserve">,</w:t>
      </w:r>
      <w:r>
        <w:t xml:space="preserve"> </w:t>
      </w:r>
      <m:oMath>
        <m:r>
          <m:t>t</m:t>
        </m:r>
        <m:d>
          <m:dPr>
            <m:begChr m:val="("/>
            <m:sepChr m:val=""/>
            <m:endChr m:val=")"/>
            <m:grow/>
          </m:dPr>
          <m:e>
            <m:r>
              <m:t>91</m:t>
            </m:r>
          </m:e>
        </m:d>
        <m:r>
          <m:rPr>
            <m:sty m:val="p"/>
          </m:rPr>
          <m:t>=</m:t>
        </m:r>
        <m:r>
          <m:t>2.3</m:t>
        </m:r>
      </m:oMath>
      <w:r>
        <w:t xml:space="preserve">,</w:t>
      </w:r>
      <w:r>
        <w:t xml:space="preserve"> </w:t>
      </w:r>
      <m:oMath>
        <m:r>
          <m:t>p</m:t>
        </m:r>
        <m:r>
          <m:rPr>
            <m:sty m:val="p"/>
          </m:rPr>
          <m:t>=</m:t>
        </m:r>
        <m:r>
          <m:t>0.024</m:t>
        </m:r>
      </m:oMath>
      <w:r>
        <w:t xml:space="preserve">,</w:t>
      </w:r>
      <w:r>
        <w:t xml:space="preserve"> </w:t>
      </w:r>
      <m:oMath>
        <m:r>
          <m:t>d</m:t>
        </m:r>
        <m:r>
          <m:rPr>
            <m:sty m:val="p"/>
          </m:rPr>
          <m:t>=</m:t>
        </m:r>
        <m:r>
          <m:t>0.48</m:t>
        </m:r>
      </m:oMath>
      <w:r>
        <w:t xml:space="preserve">. Decomposing the interaction revealed that compared to the empathy ratings at baseline (</w:t>
      </w:r>
      <m:oMath>
        <m:r>
          <m:t>M</m:t>
        </m:r>
        <m:r>
          <m:rPr>
            <m:sty m:val="p"/>
          </m:rPr>
          <m:t>=</m:t>
        </m:r>
        <m:r>
          <m:t>4.06</m:t>
        </m:r>
      </m:oMath>
      <w:r>
        <w:t xml:space="preserve">,</w:t>
      </w:r>
      <w:r>
        <w:t xml:space="preserve"> </w:t>
      </w:r>
      <m:oMath>
        <m:r>
          <m:t>S</m:t>
        </m:r>
        <m:r>
          <m:t>D</m:t>
        </m:r>
        <m:r>
          <m:rPr>
            <m:sty m:val="p"/>
          </m:rPr>
          <m:t>=</m:t>
        </m:r>
        <m:r>
          <m:t>1.47</m:t>
        </m:r>
      </m:oMath>
      <w:r>
        <w:t xml:space="preserve">), seeing the film in the first half of the event afforded a small increase in empathy (</w:t>
      </w:r>
      <m:oMath>
        <m:r>
          <m:t>M</m:t>
        </m:r>
        <m:r>
          <m:rPr>
            <m:sty m:val="p"/>
          </m:rPr>
          <m:t>=</m:t>
        </m:r>
        <m:r>
          <m:t>4.74</m:t>
        </m:r>
      </m:oMath>
      <w:r>
        <w:t xml:space="preserve">,</w:t>
      </w:r>
      <w:r>
        <w:t xml:space="preserve"> </w:t>
      </w:r>
      <m:oMath>
        <m:r>
          <m:t>S</m:t>
        </m:r>
        <m:r>
          <m:t>D</m:t>
        </m:r>
        <m:r>
          <m:rPr>
            <m:sty m:val="p"/>
          </m:rPr>
          <m:t>=</m:t>
        </m:r>
        <m:r>
          <m:t>1.15</m:t>
        </m:r>
      </m:oMath>
      <w:r>
        <w:t xml:space="preserve">,</w:t>
      </w:r>
      <w:r>
        <w:t xml:space="preserve"> </w:t>
      </w:r>
      <m:oMath>
        <m:sSub>
          <m:e>
            <m:r>
              <m:t>M</m:t>
            </m:r>
          </m:e>
          <m:sub>
            <m:r>
              <m:t>D</m:t>
            </m:r>
          </m:sub>
        </m:sSub>
        <m:r>
          <m:rPr>
            <m:sty m:val="p"/>
          </m:rPr>
          <m:t>=</m:t>
        </m:r>
        <m:r>
          <m:t>0.54</m:t>
        </m:r>
      </m:oMath>
      <w:r>
        <w:t xml:space="preserve">, 95% CI</w:t>
      </w:r>
      <w:r>
        <w:t xml:space="preserve"> </w:t>
      </w:r>
      <m:oMath>
        <m:d>
          <m:dPr>
            <m:begChr m:val="["/>
            <m:sepChr m:val=""/>
            <m:endChr m:val="]"/>
            <m:grow/>
          </m:dPr>
          <m:e>
            <m:r>
              <m:t>0.20</m:t>
            </m:r>
            <m:r>
              <m:rPr>
                <m:sty m:val="p"/>
              </m:rPr>
              <m:t>,</m:t>
            </m:r>
            <m:r>
              <m:rPr>
                <m:sty m:val="p"/>
              </m:rPr>
              <m:t>∞</m:t>
            </m:r>
          </m:e>
        </m:d>
      </m:oMath>
      <w:r>
        <w:t xml:space="preserve">,</w:t>
      </w:r>
      <w:r>
        <w:t xml:space="preserve"> </w:t>
      </w:r>
      <m:oMath>
        <m:r>
          <m:t>t</m:t>
        </m:r>
        <m:d>
          <m:dPr>
            <m:begChr m:val="("/>
            <m:sepChr m:val=""/>
            <m:endChr m:val=")"/>
            <m:grow/>
          </m:dPr>
          <m:e>
            <m:r>
              <m:t>46</m:t>
            </m:r>
          </m:e>
        </m:d>
        <m:r>
          <m:rPr>
            <m:sty m:val="p"/>
          </m:rPr>
          <m:t>=</m:t>
        </m:r>
        <m:r>
          <m:t>2.65</m:t>
        </m:r>
      </m:oMath>
      <w:r>
        <w:t xml:space="preserve">,</w:t>
      </w:r>
      <w:r>
        <w:t xml:space="preserve"> </w:t>
      </w:r>
      <m:oMath>
        <m:r>
          <m:t>p</m:t>
        </m:r>
        <m:r>
          <m:rPr>
            <m:sty m:val="p"/>
          </m:rPr>
          <m:t>=</m:t>
        </m:r>
        <m:r>
          <m:t>.005</m:t>
        </m:r>
      </m:oMath>
      <w:r>
        <w:t xml:space="preserve">,</w:t>
      </w:r>
      <w:r>
        <w:t xml:space="preserve"> </w:t>
      </w:r>
      <m:oMath>
        <m:r>
          <m:t>d</m:t>
        </m:r>
        <m:r>
          <m:rPr>
            <m:sty m:val="p"/>
          </m:rPr>
          <m:t>=</m:t>
        </m:r>
        <m:r>
          <m:t>0.38</m:t>
        </m:r>
      </m:oMath>
      <w:r>
        <w:t xml:space="preserve">). In contrast, seeing the performance in the first half did not lead to a significant change in empathy (</w:t>
      </w:r>
      <m:oMath>
        <m:r>
          <m:t>M</m:t>
        </m:r>
        <m:r>
          <m:rPr>
            <m:sty m:val="p"/>
          </m:rPr>
          <m:t>=</m:t>
        </m:r>
        <m:r>
          <m:t>4.09</m:t>
        </m:r>
      </m:oMath>
      <w:r>
        <w:t xml:space="preserve">,</w:t>
      </w:r>
      <w:r>
        <w:t xml:space="preserve"> </w:t>
      </w:r>
      <m:oMath>
        <m:r>
          <m:t>S</m:t>
        </m:r>
        <m:r>
          <m:t>D</m:t>
        </m:r>
        <m:r>
          <m:rPr>
            <m:sty m:val="p"/>
          </m:rPr>
          <m:t>=</m:t>
        </m:r>
        <m:r>
          <m:t>1.29</m:t>
        </m:r>
      </m:oMath>
      <w:r>
        <w:t xml:space="preserve">,</w:t>
      </w:r>
      <w:r>
        <w:t xml:space="preserve"> </w:t>
      </w:r>
      <m:oMath>
        <m:sSub>
          <m:e>
            <m:r>
              <m:t>M</m:t>
            </m:r>
          </m:e>
          <m:sub>
            <m:r>
              <m:t>D</m:t>
            </m:r>
          </m:sub>
        </m:sSub>
        <m:r>
          <m:rPr>
            <m:sty m:val="p"/>
          </m:rPr>
          <m:t>=</m:t>
        </m:r>
        <m:r>
          <m:t>0.10</m:t>
        </m:r>
      </m:oMath>
      <w:r>
        <w:t xml:space="preserve">, 95% CI</w:t>
      </w:r>
      <w:r>
        <w:t xml:space="preserve"> </w:t>
      </w:r>
      <m:oMath>
        <m:d>
          <m:dPr>
            <m:begChr m:val="["/>
            <m:sepChr m:val=""/>
            <m:endChr m:val="]"/>
            <m:grow/>
          </m:dPr>
          <m:e>
            <m:r>
              <m:rPr>
                <m:sty m:val="p"/>
              </m:rPr>
              <m:t>−</m:t>
            </m:r>
            <m:r>
              <m:t>0.15</m:t>
            </m:r>
            <m:r>
              <m:rPr>
                <m:sty m:val="p"/>
              </m:rPr>
              <m:t>,</m:t>
            </m:r>
            <m:r>
              <m:rPr>
                <m:sty m:val="p"/>
              </m:rPr>
              <m:t>∞</m:t>
            </m:r>
          </m:e>
        </m:d>
      </m:oMath>
      <w:r>
        <w:t xml:space="preserve">,</w:t>
      </w:r>
      <w:r>
        <w:t xml:space="preserve"> </w:t>
      </w:r>
      <m:oMath>
        <m:r>
          <m:t>t</m:t>
        </m:r>
        <m:d>
          <m:dPr>
            <m:begChr m:val="("/>
            <m:sepChr m:val=""/>
            <m:endChr m:val=")"/>
            <m:grow/>
          </m:dPr>
          <m:e>
            <m:r>
              <m:t>44</m:t>
            </m:r>
          </m:e>
        </m:d>
        <m:r>
          <m:rPr>
            <m:sty m:val="p"/>
          </m:rPr>
          <m:t>=</m:t>
        </m:r>
        <m:r>
          <m:t>0.69</m:t>
        </m:r>
      </m:oMath>
      <w:r>
        <w:t xml:space="preserve">,</w:t>
      </w:r>
      <w:r>
        <w:t xml:space="preserve"> </w:t>
      </w:r>
      <m:oMath>
        <m:r>
          <m:t>p</m:t>
        </m:r>
        <m:r>
          <m:rPr>
            <m:sty m:val="p"/>
          </m:rPr>
          <m:t>=</m:t>
        </m:r>
        <m:r>
          <m:t>.246</m:t>
        </m:r>
      </m:oMath>
      <w:r>
        <w:t xml:space="preserve">,</w:t>
      </w:r>
      <w:r>
        <w:t xml:space="preserve"> </w:t>
      </w:r>
      <m:oMath>
        <m:r>
          <m:t>d</m:t>
        </m:r>
        <m:r>
          <m:rPr>
            <m:sty m:val="p"/>
          </m:rPr>
          <m:t>=</m:t>
        </m:r>
        <m:r>
          <m:t>0.08</m:t>
        </m:r>
      </m:oMath>
      <w:r>
        <w:t xml:space="preserve">). In the second half of the event, seeing the performance after the film afforded a small increase in empathy (</w:t>
      </w:r>
      <m:oMath>
        <m:r>
          <m:t>M</m:t>
        </m:r>
        <m:r>
          <m:rPr>
            <m:sty m:val="p"/>
          </m:rPr>
          <m:t>=</m:t>
        </m:r>
        <m:r>
          <m:t>4.83</m:t>
        </m:r>
      </m:oMath>
      <w:r>
        <w:t xml:space="preserve">,</w:t>
      </w:r>
      <w:r>
        <w:t xml:space="preserve"> </w:t>
      </w:r>
      <m:oMath>
        <m:r>
          <m:t>S</m:t>
        </m:r>
        <m:r>
          <m:t>D</m:t>
        </m:r>
        <m:r>
          <m:rPr>
            <m:sty m:val="p"/>
          </m:rPr>
          <m:t>=</m:t>
        </m:r>
        <m:r>
          <m:t>1.34</m:t>
        </m:r>
      </m:oMath>
      <w:r>
        <w:t xml:space="preserve">,</w:t>
      </w:r>
      <w:r>
        <w:t xml:space="preserve"> </w:t>
      </w:r>
      <m:oMath>
        <m:sSub>
          <m:e>
            <m:r>
              <m:t>M</m:t>
            </m:r>
          </m:e>
          <m:sub>
            <m:r>
              <m:t>D</m:t>
            </m:r>
          </m:sub>
        </m:sSub>
        <m:r>
          <m:rPr>
            <m:sty m:val="p"/>
          </m:rPr>
          <m:t>=</m:t>
        </m:r>
        <m:r>
          <m:t>0.20</m:t>
        </m:r>
      </m:oMath>
      <w:r>
        <w:t xml:space="preserve">, 95% CI</w:t>
      </w:r>
      <w:r>
        <w:t xml:space="preserve"> </w:t>
      </w:r>
      <m:oMath>
        <m:d>
          <m:dPr>
            <m:begChr m:val="["/>
            <m:sepChr m:val=""/>
            <m:endChr m:val="]"/>
            <m:grow/>
          </m:dPr>
          <m:e>
            <m:r>
              <m:t>0.04</m:t>
            </m:r>
            <m:r>
              <m:rPr>
                <m:sty m:val="p"/>
              </m:rPr>
              <m:t>,</m:t>
            </m:r>
            <m:r>
              <m:rPr>
                <m:sty m:val="p"/>
              </m:rPr>
              <m:t>∞</m:t>
            </m:r>
          </m:e>
        </m:d>
      </m:oMath>
      <w:r>
        <w:t xml:space="preserve">,</w:t>
      </w:r>
      <w:r>
        <w:t xml:space="preserve"> </w:t>
      </w:r>
      <m:oMath>
        <m:r>
          <m:t>t</m:t>
        </m:r>
        <m:d>
          <m:dPr>
            <m:begChr m:val="("/>
            <m:sepChr m:val=""/>
            <m:endChr m:val=")"/>
            <m:grow/>
          </m:dPr>
          <m:e>
            <m:r>
              <m:t>37</m:t>
            </m:r>
          </m:e>
        </m:d>
        <m:r>
          <m:rPr>
            <m:sty m:val="p"/>
          </m:rPr>
          <m:t>=</m:t>
        </m:r>
        <m:r>
          <m:t>2.11</m:t>
        </m:r>
      </m:oMath>
      <w:r>
        <w:t xml:space="preserve">,</w:t>
      </w:r>
      <w:r>
        <w:t xml:space="preserve"> </w:t>
      </w:r>
      <m:oMath>
        <m:r>
          <m:t>p</m:t>
        </m:r>
        <m:r>
          <m:rPr>
            <m:sty m:val="p"/>
          </m:rPr>
          <m:t>=</m:t>
        </m:r>
        <m:r>
          <m:t>.021</m:t>
        </m:r>
      </m:oMath>
      <w:r>
        <w:t xml:space="preserve">,</w:t>
      </w:r>
      <w:r>
        <w:t xml:space="preserve"> </w:t>
      </w:r>
      <m:oMath>
        <m:r>
          <m:t>d</m:t>
        </m:r>
        <m:r>
          <m:rPr>
            <m:sty m:val="p"/>
          </m:rPr>
          <m:t>=</m:t>
        </m:r>
        <m:r>
          <m:t>0.15</m:t>
        </m:r>
      </m:oMath>
      <w:r>
        <w:t xml:space="preserve">), compared to a moderate increase when the seeing film after the performance (</w:t>
      </w:r>
      <m:oMath>
        <m:r>
          <m:t>M</m:t>
        </m:r>
        <m:r>
          <m:rPr>
            <m:sty m:val="p"/>
          </m:rPr>
          <m:t>=</m:t>
        </m:r>
        <m:r>
          <m:t>4.63</m:t>
        </m:r>
      </m:oMath>
      <w:r>
        <w:t xml:space="preserve">,</w:t>
      </w:r>
      <w:r>
        <w:t xml:space="preserve"> </w:t>
      </w:r>
      <m:oMath>
        <m:r>
          <m:t>S</m:t>
        </m:r>
        <m:r>
          <m:t>D</m:t>
        </m:r>
        <m:r>
          <m:rPr>
            <m:sty m:val="p"/>
          </m:rPr>
          <m:t>=</m:t>
        </m:r>
        <m:r>
          <m:t>1.12</m:t>
        </m:r>
      </m:oMath>
      <w:r>
        <w:t xml:space="preserve">,</w:t>
      </w:r>
      <w:r>
        <w:t xml:space="preserve"> </w:t>
      </w:r>
      <m:oMath>
        <m:sSub>
          <m:e>
            <m:r>
              <m:t>M</m:t>
            </m:r>
          </m:e>
          <m:sub>
            <m:r>
              <m:t>D</m:t>
            </m:r>
          </m:sub>
        </m:sSub>
        <m:r>
          <m:rPr>
            <m:sty m:val="p"/>
          </m:rPr>
          <m:t>=</m:t>
        </m:r>
        <m:r>
          <m:t>0.51</m:t>
        </m:r>
      </m:oMath>
      <w:r>
        <w:t xml:space="preserve">, 95% CI</w:t>
      </w:r>
      <w:r>
        <w:t xml:space="preserve"> </w:t>
      </w:r>
      <m:oMath>
        <m:d>
          <m:dPr>
            <m:begChr m:val="["/>
            <m:sepChr m:val=""/>
            <m:endChr m:val="]"/>
            <m:grow/>
          </m:dPr>
          <m:e>
            <m:r>
              <m:t>0.30</m:t>
            </m:r>
            <m:r>
              <m:rPr>
                <m:sty m:val="p"/>
              </m:rPr>
              <m:t>,</m:t>
            </m:r>
            <m:r>
              <m:rPr>
                <m:sty m:val="p"/>
              </m:rPr>
              <m:t>∞</m:t>
            </m:r>
          </m:e>
        </m:d>
      </m:oMath>
      <w:r>
        <w:t xml:space="preserve">,</w:t>
      </w:r>
      <w:r>
        <w:t xml:space="preserve"> </w:t>
      </w:r>
      <m:oMath>
        <m:r>
          <m:t>t</m:t>
        </m:r>
        <m:d>
          <m:dPr>
            <m:begChr m:val="("/>
            <m:sepChr m:val=""/>
            <m:endChr m:val=")"/>
            <m:grow/>
          </m:dPr>
          <m:e>
            <m:r>
              <m:t>44</m:t>
            </m:r>
          </m:e>
        </m:d>
        <m:r>
          <m:rPr>
            <m:sty m:val="p"/>
          </m:rPr>
          <m:t>=</m:t>
        </m:r>
        <m:r>
          <m:t>4.09</m:t>
        </m:r>
      </m:oMath>
      <w:r>
        <w:t xml:space="preserve">,</w:t>
      </w:r>
      <w:r>
        <w:t xml:space="preserve"> </w:t>
      </w:r>
      <m:oMath>
        <m:r>
          <m:t>p</m:t>
        </m:r>
        <m:r>
          <m:rPr>
            <m:sty m:val="p"/>
          </m:rPr>
          <m:t>&lt;</m:t>
        </m:r>
        <m:r>
          <m:t>.001</m:t>
        </m:r>
      </m:oMath>
      <w:r>
        <w:t xml:space="preserve">,</w:t>
      </w:r>
      <w:r>
        <w:t xml:space="preserve"> </w:t>
      </w:r>
      <m:oMath>
        <m:r>
          <m:t>d</m:t>
        </m:r>
        <m:r>
          <m:rPr>
            <m:sty m:val="p"/>
          </m:rPr>
          <m:t>=</m:t>
        </m:r>
        <m:r>
          <m:t>0.42</m:t>
        </m:r>
      </m:oMath>
      <w:r>
        <w:t xml:space="preserve">; see</w:t>
      </w:r>
      <w:r>
        <w:t xml:space="preserve"> </w:t>
      </w:r>
      <w:hyperlink w:anchor="fig-empathy">
        <w:r>
          <w:rPr>
            <w:rStyle w:val="Hyperlink"/>
          </w:rPr>
          <w:t xml:space="preserve">Figure 2</w:t>
        </w:r>
      </w:hyperlink>
      <w:r>
        <w:t xml:space="preserve">).</w:t>
      </w:r>
    </w:p>
    <w:bookmarkStart w:id="60" w:name="fig-empathy"/>
    <w:p>
      <w:pPr>
        <w:pStyle w:val="FigureTitle"/>
      </w:pPr>
      <w:r>
        <w:t xml:space="preserve">Figure 2</w:t>
      </w:r>
    </w:p>
    <w:p>
      <w:pPr>
        <w:pStyle w:val="Caption"/>
      </w:pPr>
      <w:r>
        <w:t xml:space="preserve">Empathic Concern Throughout the Event</w:t>
      </w:r>
    </w:p>
    <w:p>
      <w:pPr>
        <w:pStyle w:val="FigureWithNote"/>
      </w:pPr>
      <w:r>
        <w:drawing>
          <wp:inline>
            <wp:extent cx="5943600" cy="5943600"/>
            <wp:effectExtent b="0" l="0" r="0" t="0"/>
            <wp:docPr descr="" title="" id="58" name="Picture"/>
            <a:graphic>
              <a:graphicData uri="http://schemas.openxmlformats.org/drawingml/2006/picture">
                <pic:pic>
                  <pic:nvPicPr>
                    <pic:cNvPr descr="Innocents_Prosociality_Manuscript_files/figure-docx/fig-empathy-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p>
      <w:pPr>
        <w:pStyle w:val="FigureNote"/>
      </w:pPr>
      <w:r>
        <w:rPr>
          <w:i/>
          <w:iCs/>
        </w:rPr>
        <w:t xml:space="preserve">Note</w:t>
      </w:r>
      <w:r>
        <w:t xml:space="preserve">. Mean and CI of empathy by stimulus (x-axis), split for the in-person (left) and livestream (middle) audience of study 1, and the stream audience of study 2 (right). Empathy was rated on a scale ranging from 1 (not at all) to 7 (extremely). Significance levels refer to one-sided pairwise t-tests.</w:t>
      </w:r>
      <w:r>
        <w:t xml:space="preserve"> </w:t>
      </w:r>
      <m:oMath>
        <m:r>
          <m:t>p</m:t>
        </m:r>
        <m:r>
          <m:rPr>
            <m:sty m:val="p"/>
          </m:rPr>
          <m:t>*</m:t>
        </m:r>
        <m:r>
          <m:rPr>
            <m:sty m:val="p"/>
          </m:rPr>
          <m:t>&lt;</m:t>
        </m:r>
        <m:r>
          <m:t>.05</m:t>
        </m:r>
      </m:oMath>
      <w:r>
        <w:t xml:space="preserve">,</w:t>
      </w:r>
      <w:r>
        <w:t xml:space="preserve"> </w:t>
      </w:r>
      <m:oMath>
        <m:r>
          <m:rPr>
            <m:sty m:val="p"/>
          </m:rPr>
          <m:t>*</m:t>
        </m:r>
        <m:r>
          <m:rPr>
            <m:sty m:val="p"/>
          </m:rPr>
          <m:t>*</m:t>
        </m:r>
        <m:r>
          <m:t>p</m:t>
        </m:r>
        <m:r>
          <m:rPr>
            <m:sty m:val="p"/>
          </m:rPr>
          <m:t>&lt;</m:t>
        </m:r>
        <m:r>
          <m:t>.01</m:t>
        </m:r>
      </m:oMath>
      <w:r>
        <w:t xml:space="preserve">,</w:t>
      </w:r>
      <w:r>
        <w:t xml:space="preserve"> </w:t>
      </w:r>
      <m:oMath>
        <m:r>
          <m:rPr>
            <m:sty m:val="p"/>
          </m:rPr>
          <m:t>*</m:t>
        </m:r>
        <m:r>
          <m:rPr>
            <m:sty m:val="p"/>
          </m:rPr>
          <m:t>*</m:t>
        </m:r>
        <m:r>
          <m:rPr>
            <m:sty m:val="p"/>
          </m:rPr>
          <m:t>*</m:t>
        </m:r>
        <m:r>
          <m:t>p</m:t>
        </m:r>
        <m:r>
          <m:rPr>
            <m:sty m:val="p"/>
          </m:rPr>
          <m:t>&lt;</m:t>
        </m:r>
        <m:r>
          <m:t>.001</m:t>
        </m:r>
      </m:oMath>
      <w:r>
        <w:t xml:space="preserve">, n.s. = not significant.</w:t>
      </w:r>
    </w:p>
    <w:bookmarkEnd w:id="61"/>
    <w:bookmarkStart w:id="66" w:name="closeness"/>
    <w:p>
      <w:pPr>
        <w:pStyle w:val="Heading3"/>
      </w:pPr>
      <w:r>
        <w:t xml:space="preserve">Closeness</w:t>
      </w:r>
    </w:p>
    <w:p>
      <w:pPr>
        <w:pStyle w:val="FirstParagraph"/>
      </w:pPr>
      <w:r>
        <w:t xml:space="preserve">Relationship closeness with Anna Vasquez did not have any sizable correlations with the control variables. Similarly to the empathy model, the closeness LMM with the formula</w:t>
      </w:r>
      <w:r>
        <w:t xml:space="preserve"> </w:t>
      </w:r>
      <m:oMath>
        <m:r>
          <m:t>C</m:t>
        </m:r>
        <m:r>
          <m:t>l</m:t>
        </m:r>
        <m:r>
          <m:t>o</m:t>
        </m:r>
        <m:r>
          <m:t>s</m:t>
        </m:r>
        <m:r>
          <m:t>e</m:t>
        </m:r>
        <m:r>
          <m:t>n</m:t>
        </m:r>
        <m:r>
          <m:t>e</m:t>
        </m:r>
        <m:r>
          <m:t>s</m:t>
        </m:r>
        <m:r>
          <m:t>s</m:t>
        </m:r>
        <m:r>
          <m:rPr>
            <m:sty m:val="p"/>
          </m:rPr>
          <m:t>∼</m:t>
        </m:r>
        <m:r>
          <m:t>B</m:t>
        </m:r>
        <m:r>
          <m:t>a</m:t>
        </m:r>
        <m:r>
          <m:t>s</m:t>
        </m:r>
        <m:r>
          <m:t>e</m:t>
        </m:r>
        <m:r>
          <m:t>l</m:t>
        </m:r>
        <m:r>
          <m:t>i</m:t>
        </m:r>
        <m:r>
          <m:t>n</m:t>
        </m:r>
        <m:r>
          <m:t>e</m:t>
        </m:r>
        <m:r>
          <m:rPr>
            <m:sty m:val="p"/>
          </m:rPr>
          <m:t>+</m:t>
        </m:r>
        <m:r>
          <m:t>A</m:t>
        </m:r>
        <m:r>
          <m:t>t</m:t>
        </m:r>
        <m:r>
          <m:t>t</m:t>
        </m:r>
        <m:r>
          <m:t>e</m:t>
        </m:r>
        <m:r>
          <m:t>n</m:t>
        </m:r>
        <m:r>
          <m:t>d</m:t>
        </m:r>
        <m:r>
          <m:t>a</m:t>
        </m:r>
        <m:r>
          <m:t>n</m:t>
        </m:r>
        <m:r>
          <m:t>c</m:t>
        </m:r>
        <m:r>
          <m:t>e</m:t>
        </m:r>
        <m:r>
          <m:rPr>
            <m:sty m:val="p"/>
          </m:rPr>
          <m:t>*</m:t>
        </m:r>
        <m:r>
          <m:t>S</m:t>
        </m:r>
        <m:r>
          <m:t>t</m:t>
        </m:r>
        <m:r>
          <m:t>i</m:t>
        </m:r>
        <m:r>
          <m:t>m</m:t>
        </m:r>
        <m:r>
          <m:t>u</m:t>
        </m:r>
        <m:r>
          <m:t>l</m:t>
        </m:r>
        <m:r>
          <m:t>u</m:t>
        </m:r>
        <m:r>
          <m:t>s</m:t>
        </m:r>
        <m:r>
          <m:rPr>
            <m:sty m:val="p"/>
          </m:rPr>
          <m:t>*</m:t>
        </m:r>
        <m:r>
          <m:t>T</m:t>
        </m:r>
        <m:r>
          <m:t>i</m:t>
        </m:r>
        <m:r>
          <m:t>m</m:t>
        </m:r>
        <m:r>
          <m:t>e</m:t>
        </m:r>
        <m:r>
          <m:rPr>
            <m:sty m:val="p"/>
          </m:rPr>
          <m:t>+</m:t>
        </m:r>
        <m:d>
          <m:dPr>
            <m:begChr m:val="("/>
            <m:sepChr m:val=""/>
            <m:endChr m:val=")"/>
            <m:grow/>
          </m:dPr>
          <m:e>
            <m:r>
              <m:t>1</m:t>
            </m:r>
            <m:r>
              <m:rPr>
                <m:sty m:val="p"/>
              </m:rPr>
              <m:t>|</m:t>
            </m:r>
            <m:r>
              <m:t>P</m:t>
            </m:r>
            <m:r>
              <m:t>a</m:t>
            </m:r>
            <m:r>
              <m:t>r</m:t>
            </m:r>
            <m:r>
              <m:t>t</m:t>
            </m:r>
            <m:r>
              <m:t>i</m:t>
            </m:r>
            <m:r>
              <m:t>c</m:t>
            </m:r>
            <m:r>
              <m:t>i</m:t>
            </m:r>
            <m:r>
              <m:t>p</m:t>
            </m:r>
            <m:r>
              <m:t>a</m:t>
            </m:r>
            <m:r>
              <m:t>n</m:t>
            </m:r>
            <m:r>
              <m:t>t</m:t>
            </m:r>
          </m:e>
        </m:d>
      </m:oMath>
      <w:r>
        <w:t xml:space="preserve"> </w:t>
      </w:r>
      <w:r>
        <w:t xml:space="preserve">did not feature any significant main or interaction effects involving attendance. The lack of a difference in relationship closeness between in-person and livestream audiences did not support Hypothesis 3a. The stimuli had a small but significant effect on closeness, with participants reporting lower closeness after seeing the performance (</w:t>
      </w:r>
      <m:oMath>
        <m:r>
          <m:t>M</m:t>
        </m:r>
        <m:r>
          <m:rPr>
            <m:sty m:val="p"/>
          </m:rPr>
          <m:t>=</m:t>
        </m:r>
        <m:r>
          <m:t>2.92</m:t>
        </m:r>
      </m:oMath>
      <w:r>
        <w:t xml:space="preserve">,</w:t>
      </w:r>
      <w:r>
        <w:t xml:space="preserve"> </w:t>
      </w:r>
      <m:oMath>
        <m:r>
          <m:t>S</m:t>
        </m:r>
        <m:r>
          <m:t>D</m:t>
        </m:r>
        <m:r>
          <m:rPr>
            <m:sty m:val="p"/>
          </m:rPr>
          <m:t>=</m:t>
        </m:r>
        <m:r>
          <m:t>1.63</m:t>
        </m:r>
      </m:oMath>
      <w:r>
        <w:t xml:space="preserve">) than after the film (</w:t>
      </w:r>
      <m:oMath>
        <m:r>
          <m:t>M</m:t>
        </m:r>
        <m:r>
          <m:rPr>
            <m:sty m:val="p"/>
          </m:rPr>
          <m:t>=</m:t>
        </m:r>
        <m:r>
          <m:t>3.38</m:t>
        </m:r>
      </m:oMath>
      <w:r>
        <w:t xml:space="preserve">,</w:t>
      </w:r>
      <w:r>
        <w:t xml:space="preserve"> </w:t>
      </w:r>
      <m:oMath>
        <m:r>
          <m:t>S</m:t>
        </m:r>
        <m:r>
          <m:t>D</m:t>
        </m:r>
        <m:r>
          <m:rPr>
            <m:sty m:val="p"/>
          </m:rPr>
          <m:t>=</m:t>
        </m:r>
        <m:r>
          <m:t>1.75</m:t>
        </m:r>
      </m:oMath>
      <w:r>
        <w:t xml:space="preserve">,</w:t>
      </w:r>
      <w:r>
        <w:t xml:space="preserve"> </w:t>
      </w:r>
      <m:oMath>
        <m:r>
          <m:t>β</m:t>
        </m:r>
        <m:r>
          <m:rPr>
            <m:sty m:val="p"/>
          </m:rPr>
          <m:t>=</m:t>
        </m:r>
        <m:r>
          <m:rPr>
            <m:sty m:val="p"/>
          </m:rPr>
          <m:t>−</m:t>
        </m:r>
        <m:r>
          <m:t>0.11</m:t>
        </m:r>
      </m:oMath>
      <w:r>
        <w:t xml:space="preserve">,</w:t>
      </w:r>
      <w:r>
        <w:t xml:space="preserve"> </w:t>
      </w:r>
      <m:oMath>
        <m:r>
          <m:t>t</m:t>
        </m:r>
        <m:d>
          <m:dPr>
            <m:begChr m:val="("/>
            <m:sepChr m:val=""/>
            <m:endChr m:val=")"/>
            <m:grow/>
          </m:dPr>
          <m:e>
            <m:r>
              <m:t>84</m:t>
            </m:r>
          </m:e>
        </m:d>
        <m:r>
          <m:rPr>
            <m:sty m:val="p"/>
          </m:rPr>
          <m:t>=</m:t>
        </m:r>
        <m:r>
          <m:rPr>
            <m:sty m:val="p"/>
          </m:rPr>
          <m:t>−</m:t>
        </m:r>
        <m:r>
          <m:t>2.75</m:t>
        </m:r>
      </m:oMath>
      <w:r>
        <w:t xml:space="preserve">,</w:t>
      </w:r>
      <w:r>
        <w:t xml:space="preserve"> </w:t>
      </w:r>
      <m:oMath>
        <m:r>
          <m:t>p</m:t>
        </m:r>
        <m:r>
          <m:rPr>
            <m:sty m:val="p"/>
          </m:rPr>
          <m:t>=</m:t>
        </m:r>
        <m:r>
          <m:t>0.007</m:t>
        </m:r>
      </m:oMath>
      <w:r>
        <w:t xml:space="preserve">,</w:t>
      </w:r>
      <w:r>
        <w:t xml:space="preserve"> </w:t>
      </w:r>
      <m:oMath>
        <m:r>
          <m:t>d</m:t>
        </m:r>
        <m:r>
          <m:rPr>
            <m:sty m:val="p"/>
          </m:rPr>
          <m:t>=</m:t>
        </m:r>
        <m:r>
          <m:t>0.25</m:t>
        </m:r>
      </m:oMath>
      <w:r>
        <w:t xml:space="preserve">). Time also had a small effect, with higher closeness at the end of the event (</w:t>
      </w:r>
      <m:oMath>
        <m:r>
          <m:t>M</m:t>
        </m:r>
        <m:r>
          <m:rPr>
            <m:sty m:val="p"/>
          </m:rPr>
          <m:t>=</m:t>
        </m:r>
        <m:r>
          <m:t>3.4</m:t>
        </m:r>
      </m:oMath>
      <w:r>
        <w:t xml:space="preserve">,</w:t>
      </w:r>
      <w:r>
        <w:t xml:space="preserve"> </w:t>
      </w:r>
      <m:oMath>
        <m:r>
          <m:t>S</m:t>
        </m:r>
        <m:r>
          <m:t>D</m:t>
        </m:r>
        <m:r>
          <m:rPr>
            <m:sty m:val="p"/>
          </m:rPr>
          <m:t>=</m:t>
        </m:r>
        <m:r>
          <m:t>1.74</m:t>
        </m:r>
      </m:oMath>
      <w:r>
        <w:t xml:space="preserve"> </w:t>
      </w:r>
      <w:r>
        <w:t xml:space="preserve">than at intermission (</w:t>
      </w:r>
      <m:oMath>
        <m:r>
          <m:t>M</m:t>
        </m:r>
        <m:r>
          <m:rPr>
            <m:sty m:val="p"/>
          </m:rPr>
          <m:t>=</m:t>
        </m:r>
        <m:r>
          <m:t>2.94</m:t>
        </m:r>
      </m:oMath>
      <w:r>
        <w:t xml:space="preserve">,</w:t>
      </w:r>
      <w:r>
        <w:t xml:space="preserve"> </w:t>
      </w:r>
      <m:oMath>
        <m:r>
          <m:t>S</m:t>
        </m:r>
        <m:r>
          <m:t>D</m:t>
        </m:r>
        <m:r>
          <m:rPr>
            <m:sty m:val="p"/>
          </m:rPr>
          <m:t>=</m:t>
        </m:r>
        <m:r>
          <m:t>1.65</m:t>
        </m:r>
      </m:oMath>
      <w:r>
        <w:t xml:space="preserve">,</w:t>
      </w:r>
      <w:r>
        <w:t xml:space="preserve"> </w:t>
      </w:r>
      <m:oMath>
        <m:r>
          <m:t>β</m:t>
        </m:r>
        <m:r>
          <m:rPr>
            <m:sty m:val="p"/>
          </m:rPr>
          <m:t>=</m:t>
        </m:r>
        <m:r>
          <m:t>0.13</m:t>
        </m:r>
      </m:oMath>
      <w:r>
        <w:t xml:space="preserve">,</w:t>
      </w:r>
      <w:r>
        <w:t xml:space="preserve"> </w:t>
      </w:r>
      <m:oMath>
        <m:r>
          <m:t>t</m:t>
        </m:r>
        <m:d>
          <m:dPr>
            <m:begChr m:val="("/>
            <m:sepChr m:val=""/>
            <m:endChr m:val=")"/>
            <m:grow/>
          </m:dPr>
          <m:e>
            <m:r>
              <m:t>84</m:t>
            </m:r>
          </m:e>
        </m:d>
        <m:r>
          <m:rPr>
            <m:sty m:val="p"/>
          </m:rPr>
          <m:t>=</m:t>
        </m:r>
        <m:r>
          <m:t>3.12</m:t>
        </m:r>
      </m:oMath>
      <w:r>
        <w:t xml:space="preserve">,</w:t>
      </w:r>
      <w:r>
        <w:t xml:space="preserve"> </w:t>
      </w:r>
      <m:oMath>
        <m:r>
          <m:t>p</m:t>
        </m:r>
        <m:r>
          <m:rPr>
            <m:sty m:val="p"/>
          </m:rPr>
          <m:t>=</m:t>
        </m:r>
        <m:r>
          <m:t>0.002</m:t>
        </m:r>
      </m:oMath>
      <w:r>
        <w:t xml:space="preserve">,</w:t>
      </w:r>
      <w:r>
        <w:t xml:space="preserve"> </w:t>
      </w:r>
      <m:oMath>
        <m:r>
          <m:t>d</m:t>
        </m:r>
        <m:r>
          <m:rPr>
            <m:sty m:val="p"/>
          </m:rPr>
          <m:t>=</m:t>
        </m:r>
        <m:r>
          <m:t>0.29</m:t>
        </m:r>
      </m:oMath>
      <w:r>
        <w:t xml:space="preserve">). Importantly, stimuli and time interacted moderately,</w:t>
      </w:r>
      <w:r>
        <w:t xml:space="preserve"> </w:t>
      </w:r>
      <m:oMath>
        <m:r>
          <m:t>β</m:t>
        </m:r>
        <m:r>
          <m:rPr>
            <m:sty m:val="p"/>
          </m:rPr>
          <m:t>=</m:t>
        </m:r>
        <m:r>
          <m:t>0.22</m:t>
        </m:r>
      </m:oMath>
      <w:r>
        <w:t xml:space="preserve">,</w:t>
      </w:r>
      <w:r>
        <w:t xml:space="preserve"> </w:t>
      </w:r>
      <m:oMath>
        <m:r>
          <m:t>t</m:t>
        </m:r>
        <m:d>
          <m:dPr>
            <m:begChr m:val="("/>
            <m:sepChr m:val=""/>
            <m:endChr m:val=")"/>
            <m:grow/>
          </m:dPr>
          <m:e>
            <m:r>
              <m:t>92</m:t>
            </m:r>
          </m:e>
        </m:d>
        <m:r>
          <m:rPr>
            <m:sty m:val="p"/>
          </m:rPr>
          <m:t>=</m:t>
        </m:r>
        <m:r>
          <m:t>2.36</m:t>
        </m:r>
      </m:oMath>
      <w:r>
        <w:t xml:space="preserve">,</w:t>
      </w:r>
      <w:r>
        <w:t xml:space="preserve"> </w:t>
      </w:r>
      <m:oMath>
        <m:r>
          <m:t>p</m:t>
        </m:r>
        <m:r>
          <m:rPr>
            <m:sty m:val="p"/>
          </m:rPr>
          <m:t>=</m:t>
        </m:r>
        <m:r>
          <m:t>0.021</m:t>
        </m:r>
      </m:oMath>
      <w:r>
        <w:t xml:space="preserve">,</w:t>
      </w:r>
      <w:r>
        <w:t xml:space="preserve"> </w:t>
      </w:r>
      <m:oMath>
        <m:r>
          <m:t>d</m:t>
        </m:r>
        <m:r>
          <m:rPr>
            <m:sty m:val="p"/>
          </m:rPr>
          <m:t>=</m:t>
        </m:r>
        <m:r>
          <m:t>0.49</m:t>
        </m:r>
      </m:oMath>
      <w:r>
        <w:t xml:space="preserve">. Decomposing the interaction revealed that compared to closeness at baseline (</w:t>
      </w:r>
      <m:oMath>
        <m:r>
          <m:t>M</m:t>
        </m:r>
        <m:r>
          <m:rPr>
            <m:sty m:val="p"/>
          </m:rPr>
          <m:t>=</m:t>
        </m:r>
        <m:r>
          <m:t>1.89</m:t>
        </m:r>
      </m:oMath>
      <w:r>
        <w:t xml:space="preserve">,</w:t>
      </w:r>
      <w:r>
        <w:t xml:space="preserve"> </w:t>
      </w:r>
      <m:oMath>
        <m:r>
          <m:t>S</m:t>
        </m:r>
        <m:r>
          <m:t>D</m:t>
        </m:r>
        <m:r>
          <m:rPr>
            <m:sty m:val="p"/>
          </m:rPr>
          <m:t>=</m:t>
        </m:r>
        <m:r>
          <m:t>1.26</m:t>
        </m:r>
      </m:oMath>
      <w:r>
        <w:t xml:space="preserve">), seeing the film in the first half of the event afforded a large increase in closeness (</w:t>
      </w:r>
      <m:oMath>
        <m:r>
          <m:t>M</m:t>
        </m:r>
        <m:r>
          <m:rPr>
            <m:sty m:val="p"/>
          </m:rPr>
          <m:t>=</m:t>
        </m:r>
        <m:r>
          <m:t>3.43</m:t>
        </m:r>
      </m:oMath>
      <w:r>
        <w:t xml:space="preserve">,</w:t>
      </w:r>
      <w:r>
        <w:t xml:space="preserve"> </w:t>
      </w:r>
      <m:oMath>
        <m:r>
          <m:t>S</m:t>
        </m:r>
        <m:r>
          <m:t>D</m:t>
        </m:r>
        <m:r>
          <m:rPr>
            <m:sty m:val="p"/>
          </m:rPr>
          <m:t>=</m:t>
        </m:r>
        <m:r>
          <m:t>1.57</m:t>
        </m:r>
      </m:oMath>
      <w:r>
        <w:t xml:space="preserve">,</w:t>
      </w:r>
      <w:r>
        <w:t xml:space="preserve"> </w:t>
      </w:r>
      <m:oMath>
        <m:sSub>
          <m:e>
            <m:r>
              <m:t>M</m:t>
            </m:r>
          </m:e>
          <m:sub>
            <m:r>
              <m:t>D</m:t>
            </m:r>
          </m:sub>
        </m:sSub>
        <m:r>
          <m:rPr>
            <m:sty m:val="p"/>
          </m:rPr>
          <m:t>=</m:t>
        </m:r>
        <m:r>
          <m:t>1.64</m:t>
        </m:r>
      </m:oMath>
      <w:r>
        <w:t xml:space="preserve">, 95% CI</w:t>
      </w:r>
      <w:r>
        <w:t xml:space="preserve"> </w:t>
      </w:r>
      <m:oMath>
        <m:d>
          <m:dPr>
            <m:begChr m:val="["/>
            <m:sepChr m:val=""/>
            <m:endChr m:val="]"/>
            <m:grow/>
          </m:dPr>
          <m:e>
            <m:r>
              <m:t>1.23</m:t>
            </m:r>
            <m:r>
              <m:rPr>
                <m:sty m:val="p"/>
              </m:rPr>
              <m:t>,</m:t>
            </m:r>
            <m:r>
              <m:rPr>
                <m:sty m:val="p"/>
              </m:rPr>
              <m:t>∞</m:t>
            </m:r>
          </m:e>
        </m:d>
      </m:oMath>
      <w:r>
        <w:t xml:space="preserve">,</w:t>
      </w:r>
      <w:r>
        <w:t xml:space="preserve"> </w:t>
      </w:r>
      <m:oMath>
        <m:r>
          <m:t>t</m:t>
        </m:r>
        <m:d>
          <m:dPr>
            <m:begChr m:val="("/>
            <m:sepChr m:val=""/>
            <m:endChr m:val=")"/>
            <m:grow/>
          </m:dPr>
          <m:e>
            <m:r>
              <m:t>46</m:t>
            </m:r>
          </m:e>
        </m:d>
        <m:r>
          <m:rPr>
            <m:sty m:val="p"/>
          </m:rPr>
          <m:t>=</m:t>
        </m:r>
        <m:r>
          <m:t>6.82</m:t>
        </m:r>
      </m:oMath>
      <w:r>
        <w:t xml:space="preserve">,</w:t>
      </w:r>
      <w:r>
        <w:t xml:space="preserve"> </w:t>
      </w:r>
      <m:oMath>
        <m:r>
          <m:t>p</m:t>
        </m:r>
        <m:r>
          <m:rPr>
            <m:sty m:val="p"/>
          </m:rPr>
          <m:t>&lt;</m:t>
        </m:r>
        <m:r>
          <m:t>.001</m:t>
        </m:r>
      </m:oMath>
      <w:r>
        <w:t xml:space="preserve">,</w:t>
      </w:r>
      <w:r>
        <w:t xml:space="preserve"> </w:t>
      </w:r>
      <m:oMath>
        <m:r>
          <m:t>d</m:t>
        </m:r>
        <m:r>
          <m:rPr>
            <m:sty m:val="p"/>
          </m:rPr>
          <m:t>=</m:t>
        </m:r>
        <m:r>
          <m:t>1.20</m:t>
        </m:r>
      </m:oMath>
      <w:r>
        <w:t xml:space="preserve">). In contrast, seeing the performance in the first half only afforded a small increase (</w:t>
      </w:r>
      <m:oMath>
        <m:r>
          <m:t>M</m:t>
        </m:r>
        <m:r>
          <m:rPr>
            <m:sty m:val="p"/>
          </m:rPr>
          <m:t>=</m:t>
        </m:r>
        <m:r>
          <m:t>2.43</m:t>
        </m:r>
      </m:oMath>
      <w:r>
        <w:t xml:space="preserve">,</w:t>
      </w:r>
      <w:r>
        <w:t xml:space="preserve"> </w:t>
      </w:r>
      <m:oMath>
        <m:r>
          <m:t>S</m:t>
        </m:r>
        <m:r>
          <m:t>D</m:t>
        </m:r>
        <m:r>
          <m:rPr>
            <m:sty m:val="p"/>
          </m:rPr>
          <m:t>=</m:t>
        </m:r>
        <m:r>
          <m:t>1.59</m:t>
        </m:r>
      </m:oMath>
      <w:r>
        <w:t xml:space="preserve">,</w:t>
      </w:r>
      <w:r>
        <w:t xml:space="preserve"> </w:t>
      </w:r>
      <m:oMath>
        <m:sSub>
          <m:e>
            <m:r>
              <m:t>M</m:t>
            </m:r>
          </m:e>
          <m:sub>
            <m:r>
              <m:t>D</m:t>
            </m:r>
          </m:sub>
        </m:sSub>
        <m:r>
          <m:rPr>
            <m:sty m:val="p"/>
          </m:rPr>
          <m:t>=</m:t>
        </m:r>
        <m:r>
          <m:t>0.38</m:t>
        </m:r>
      </m:oMath>
      <w:r>
        <w:t xml:space="preserve">, 95% CI</w:t>
      </w:r>
      <w:r>
        <w:t xml:space="preserve"> </w:t>
      </w:r>
      <m:oMath>
        <m:d>
          <m:dPr>
            <m:begChr m:val="["/>
            <m:sepChr m:val=""/>
            <m:endChr m:val="]"/>
            <m:grow/>
          </m:dPr>
          <m:e>
            <m:r>
              <m:t>0.06</m:t>
            </m:r>
            <m:r>
              <m:rPr>
                <m:sty m:val="p"/>
              </m:rPr>
              <m:t>,</m:t>
            </m:r>
            <m:r>
              <m:rPr>
                <m:sty m:val="p"/>
              </m:rPr>
              <m:t>∞</m:t>
            </m:r>
          </m:e>
        </m:d>
      </m:oMath>
      <w:r>
        <w:t xml:space="preserve">,</w:t>
      </w:r>
      <w:r>
        <w:t xml:space="preserve"> </w:t>
      </w:r>
      <m:oMath>
        <m:r>
          <m:t>t</m:t>
        </m:r>
        <m:d>
          <m:dPr>
            <m:begChr m:val="("/>
            <m:sepChr m:val=""/>
            <m:endChr m:val=")"/>
            <m:grow/>
          </m:dPr>
          <m:e>
            <m:r>
              <m:t>44</m:t>
            </m:r>
          </m:e>
        </m:d>
        <m:r>
          <m:rPr>
            <m:sty m:val="p"/>
          </m:rPr>
          <m:t>=</m:t>
        </m:r>
        <m:r>
          <m:t>2.00</m:t>
        </m:r>
      </m:oMath>
      <w:r>
        <w:t xml:space="preserve">,</w:t>
      </w:r>
      <w:r>
        <w:t xml:space="preserve"> </w:t>
      </w:r>
      <m:oMath>
        <m:r>
          <m:t>p</m:t>
        </m:r>
        <m:r>
          <m:rPr>
            <m:sty m:val="p"/>
          </m:rPr>
          <m:t>=</m:t>
        </m:r>
        <m:r>
          <m:t>.026</m:t>
        </m:r>
      </m:oMath>
      <w:r>
        <w:t xml:space="preserve">,</w:t>
      </w:r>
      <w:r>
        <w:t xml:space="preserve"> </w:t>
      </w:r>
      <m:oMath>
        <m:r>
          <m:t>d</m:t>
        </m:r>
        <m:r>
          <m:rPr>
            <m:sty m:val="p"/>
          </m:rPr>
          <m:t>=</m:t>
        </m:r>
        <m:r>
          <m:t>0.25</m:t>
        </m:r>
      </m:oMath>
      <w:r>
        <w:t xml:space="preserve">). In the second half, seeing the performance after the film resulted in no significant changes in closeness (</w:t>
      </w:r>
      <m:oMath>
        <m:r>
          <m:t>M</m:t>
        </m:r>
        <m:r>
          <m:rPr>
            <m:sty m:val="p"/>
          </m:rPr>
          <m:t>=</m:t>
        </m:r>
        <m:r>
          <m:t>3.49</m:t>
        </m:r>
      </m:oMath>
      <w:r>
        <w:t xml:space="preserve">,</w:t>
      </w:r>
      <w:r>
        <w:t xml:space="preserve"> </w:t>
      </w:r>
      <m:oMath>
        <m:r>
          <m:t>S</m:t>
        </m:r>
        <m:r>
          <m:t>D</m:t>
        </m:r>
        <m:r>
          <m:rPr>
            <m:sty m:val="p"/>
          </m:rPr>
          <m:t>=</m:t>
        </m:r>
        <m:r>
          <m:t>1.5</m:t>
        </m:r>
      </m:oMath>
      <w:r>
        <w:t xml:space="preserve">,</w:t>
      </w:r>
      <w:r>
        <w:t xml:space="preserve"> </w:t>
      </w:r>
      <m:oMath>
        <m:sSub>
          <m:e>
            <m:r>
              <m:t>M</m:t>
            </m:r>
          </m:e>
          <m:sub>
            <m:r>
              <m:t>D</m:t>
            </m:r>
          </m:sub>
        </m:sSub>
        <m:r>
          <m:rPr>
            <m:sty m:val="p"/>
          </m:rPr>
          <m:t>=</m:t>
        </m:r>
        <m:r>
          <m:rPr>
            <m:sty m:val="p"/>
          </m:rPr>
          <m:t>−</m:t>
        </m:r>
        <m:r>
          <m:t>0.18</m:t>
        </m:r>
      </m:oMath>
      <w:r>
        <w:t xml:space="preserve">, 95% CI</w:t>
      </w:r>
      <w:r>
        <w:t xml:space="preserve"> </w:t>
      </w:r>
      <m:oMath>
        <m:d>
          <m:dPr>
            <m:begChr m:val="["/>
            <m:sepChr m:val=""/>
            <m:endChr m:val="]"/>
            <m:grow/>
          </m:dPr>
          <m:e>
            <m:r>
              <m:rPr>
                <m:sty m:val="p"/>
              </m:rPr>
              <m:t>−</m:t>
            </m:r>
            <m:r>
              <m:t>0.44</m:t>
            </m:r>
            <m:r>
              <m:rPr>
                <m:sty m:val="p"/>
              </m:rPr>
              <m:t>,</m:t>
            </m:r>
            <m:r>
              <m:rPr>
                <m:sty m:val="p"/>
              </m:rPr>
              <m:t>∞</m:t>
            </m:r>
          </m:e>
        </m:d>
      </m:oMath>
      <w:r>
        <w:t xml:space="preserve">,</w:t>
      </w:r>
      <w:r>
        <w:t xml:space="preserve"> </w:t>
      </w:r>
      <m:oMath>
        <m:r>
          <m:t>t</m:t>
        </m:r>
        <m:d>
          <m:dPr>
            <m:begChr m:val="("/>
            <m:sepChr m:val=""/>
            <m:endChr m:val=")"/>
            <m:grow/>
          </m:dPr>
          <m:e>
            <m:r>
              <m:t>37</m:t>
            </m:r>
          </m:e>
        </m:d>
        <m:r>
          <m:rPr>
            <m:sty m:val="p"/>
          </m:rPr>
          <m:t>=</m:t>
        </m:r>
        <m:r>
          <m:rPr>
            <m:sty m:val="p"/>
          </m:rPr>
          <m:t>−</m:t>
        </m:r>
        <m:r>
          <m:t>1.23</m:t>
        </m:r>
      </m:oMath>
      <w:r>
        <w:t xml:space="preserve">,</w:t>
      </w:r>
      <w:r>
        <w:t xml:space="preserve"> </w:t>
      </w:r>
      <m:oMath>
        <m:r>
          <m:t>p</m:t>
        </m:r>
        <m:r>
          <m:rPr>
            <m:sty m:val="p"/>
          </m:rPr>
          <m:t>=</m:t>
        </m:r>
        <m:r>
          <m:t>.886</m:t>
        </m:r>
      </m:oMath>
      <w:r>
        <w:t xml:space="preserve">,</w:t>
      </w:r>
      <w:r>
        <w:t xml:space="preserve"> </w:t>
      </w:r>
      <m:oMath>
        <m:r>
          <m:t>d</m:t>
        </m:r>
        <m:r>
          <m:rPr>
            <m:sty m:val="p"/>
          </m:rPr>
          <m:t>=</m:t>
        </m:r>
        <m:r>
          <m:rPr>
            <m:sty m:val="p"/>
          </m:rPr>
          <m:t>−</m:t>
        </m:r>
        <m:r>
          <m:t>0.12</m:t>
        </m:r>
      </m:oMath>
      <w:r>
        <w:t xml:space="preserve">), but the film after the performance led to a moderate increase (</w:t>
      </w:r>
      <m:oMath>
        <m:r>
          <m:t>M</m:t>
        </m:r>
        <m:r>
          <m:rPr>
            <m:sty m:val="p"/>
          </m:rPr>
          <m:t>=</m:t>
        </m:r>
        <m:r>
          <m:t>3.33</m:t>
        </m:r>
      </m:oMath>
      <w:r>
        <w:t xml:space="preserve">,</w:t>
      </w:r>
      <w:r>
        <w:t xml:space="preserve"> </w:t>
      </w:r>
      <m:oMath>
        <m:r>
          <m:t>S</m:t>
        </m:r>
        <m:r>
          <m:t>D</m:t>
        </m:r>
        <m:r>
          <m:rPr>
            <m:sty m:val="p"/>
          </m:rPr>
          <m:t>=</m:t>
        </m:r>
        <m:r>
          <m:t>1.93</m:t>
        </m:r>
      </m:oMath>
      <w:r>
        <w:t xml:space="preserve">,</w:t>
      </w:r>
      <w:r>
        <w:t xml:space="preserve"> </w:t>
      </w:r>
      <m:oMath>
        <m:sSub>
          <m:e>
            <m:r>
              <m:t>M</m:t>
            </m:r>
          </m:e>
          <m:sub>
            <m:r>
              <m:t>D</m:t>
            </m:r>
          </m:sub>
        </m:sSub>
        <m:r>
          <m:rPr>
            <m:sty m:val="p"/>
          </m:rPr>
          <m:t>=</m:t>
        </m:r>
        <m:r>
          <m:t>0.87</m:t>
        </m:r>
      </m:oMath>
      <w:r>
        <w:t xml:space="preserve">, 95% CI</w:t>
      </w:r>
      <w:r>
        <w:t xml:space="preserve"> </w:t>
      </w:r>
      <m:oMath>
        <m:d>
          <m:dPr>
            <m:begChr m:val="["/>
            <m:sepChr m:val=""/>
            <m:endChr m:val="]"/>
            <m:grow/>
          </m:dPr>
          <m:e>
            <m:r>
              <m:t>0.54</m:t>
            </m:r>
            <m:r>
              <m:rPr>
                <m:sty m:val="p"/>
              </m:rPr>
              <m:t>,</m:t>
            </m:r>
            <m:r>
              <m:rPr>
                <m:sty m:val="p"/>
              </m:rPr>
              <m:t>∞</m:t>
            </m:r>
          </m:e>
        </m:d>
      </m:oMath>
      <w:r>
        <w:t xml:space="preserve">,</w:t>
      </w:r>
      <w:r>
        <w:t xml:space="preserve"> </w:t>
      </w:r>
      <m:oMath>
        <m:r>
          <m:t>t</m:t>
        </m:r>
        <m:d>
          <m:dPr>
            <m:begChr m:val="("/>
            <m:sepChr m:val=""/>
            <m:endChr m:val=")"/>
            <m:grow/>
          </m:dPr>
          <m:e>
            <m:r>
              <m:t>44</m:t>
            </m:r>
          </m:e>
        </m:d>
        <m:r>
          <m:rPr>
            <m:sty m:val="p"/>
          </m:rPr>
          <m:t>=</m:t>
        </m:r>
        <m:r>
          <m:t>4.45</m:t>
        </m:r>
      </m:oMath>
      <w:r>
        <w:t xml:space="preserve">,</w:t>
      </w:r>
      <w:r>
        <w:t xml:space="preserve"> </w:t>
      </w:r>
      <m:oMath>
        <m:r>
          <m:t>p</m:t>
        </m:r>
        <m:r>
          <m:rPr>
            <m:sty m:val="p"/>
          </m:rPr>
          <m:t>&lt;</m:t>
        </m:r>
        <m:r>
          <m:t>.001</m:t>
        </m:r>
      </m:oMath>
      <w:r>
        <w:t xml:space="preserve">,</w:t>
      </w:r>
      <w:r>
        <w:t xml:space="preserve"> </w:t>
      </w:r>
      <m:oMath>
        <m:r>
          <m:t>d</m:t>
        </m:r>
        <m:r>
          <m:rPr>
            <m:sty m:val="p"/>
          </m:rPr>
          <m:t>=</m:t>
        </m:r>
        <m:r>
          <m:t>0.48</m:t>
        </m:r>
      </m:oMath>
      <w:r>
        <w:t xml:space="preserve">; see</w:t>
      </w:r>
      <w:r>
        <w:t xml:space="preserve"> </w:t>
      </w:r>
      <w:hyperlink w:anchor="fig-closeness">
        <w:r>
          <w:rPr>
            <w:rStyle w:val="Hyperlink"/>
          </w:rPr>
          <w:t xml:space="preserve">Figure 3</w:t>
        </w:r>
      </w:hyperlink>
      <w:r>
        <w:t xml:space="preserve">).</w:t>
      </w:r>
    </w:p>
    <w:bookmarkStart w:id="65" w:name="fig-closeness"/>
    <w:p>
      <w:pPr>
        <w:pStyle w:val="FigureTitle"/>
      </w:pPr>
      <w:r>
        <w:t xml:space="preserve">Figure 3</w:t>
      </w:r>
    </w:p>
    <w:p>
      <w:pPr>
        <w:pStyle w:val="Caption"/>
      </w:pPr>
      <w:r>
        <w:t xml:space="preserve">Relationship Closeness Throughout the Event</w:t>
      </w:r>
    </w:p>
    <w:p>
      <w:pPr>
        <w:pStyle w:val="FigureWithNote"/>
      </w:pPr>
      <w:r>
        <w:drawing>
          <wp:inline>
            <wp:extent cx="5943600" cy="5943600"/>
            <wp:effectExtent b="0" l="0" r="0" t="0"/>
            <wp:docPr descr="" title="" id="63" name="Picture"/>
            <a:graphic>
              <a:graphicData uri="http://schemas.openxmlformats.org/drawingml/2006/picture">
                <pic:pic>
                  <pic:nvPicPr>
                    <pic:cNvPr descr="Innocents_Prosociality_Manuscript_files/figure-docx/fig-closeness-1.png" id="64" name="Picture"/>
                    <pic:cNvPicPr>
                      <a:picLocks noChangeArrowheads="1" noChangeAspect="1"/>
                    </pic:cNvPicPr>
                  </pic:nvPicPr>
                  <pic:blipFill>
                    <a:blip r:embed="rId62"/>
                    <a:stretch>
                      <a:fillRect/>
                    </a:stretch>
                  </pic:blipFill>
                  <pic:spPr bwMode="auto">
                    <a:xfrm>
                      <a:off x="0" y="0"/>
                      <a:ext cx="5943600" cy="5943600"/>
                    </a:xfrm>
                    <a:prstGeom prst="rect">
                      <a:avLst/>
                    </a:prstGeom>
                    <a:noFill/>
                    <a:ln w="9525">
                      <a:noFill/>
                      <a:headEnd/>
                      <a:tailEnd/>
                    </a:ln>
                  </pic:spPr>
                </pic:pic>
              </a:graphicData>
            </a:graphic>
          </wp:inline>
        </w:drawing>
      </w:r>
    </w:p>
    <w:bookmarkEnd w:id="65"/>
    <w:p>
      <w:pPr>
        <w:pStyle w:val="FigureNote"/>
      </w:pPr>
      <w:r>
        <w:rPr>
          <w:i/>
          <w:iCs/>
        </w:rPr>
        <w:t xml:space="preserve">Note</w:t>
      </w:r>
      <w:r>
        <w:t xml:space="preserve">. Mean and CI of closeness by stimulus (x-axis), split for the in-person (left) and livestream (middle) audience of study 1, and the stream audience of study 2 (right). Closeness was rated on a visual analog scale ranging from 1 (0% overlap) to 7 (90% overlap). Significance levels refer to one-sided pairwise t-tests.</w:t>
      </w:r>
      <w:r>
        <w:t xml:space="preserve"> </w:t>
      </w:r>
      <m:oMath>
        <m:r>
          <m:t>p</m:t>
        </m:r>
        <m:r>
          <m:rPr>
            <m:sty m:val="p"/>
          </m:rPr>
          <m:t>*</m:t>
        </m:r>
        <m:r>
          <m:rPr>
            <m:sty m:val="p"/>
          </m:rPr>
          <m:t>&lt;</m:t>
        </m:r>
        <m:r>
          <m:t>.05</m:t>
        </m:r>
      </m:oMath>
      <w:r>
        <w:t xml:space="preserve">,</w:t>
      </w:r>
      <w:r>
        <w:t xml:space="preserve"> </w:t>
      </w:r>
      <m:oMath>
        <m:r>
          <m:rPr>
            <m:sty m:val="p"/>
          </m:rPr>
          <m:t>*</m:t>
        </m:r>
        <m:r>
          <m:rPr>
            <m:sty m:val="p"/>
          </m:rPr>
          <m:t>*</m:t>
        </m:r>
        <m:r>
          <m:t>p</m:t>
        </m:r>
        <m:r>
          <m:rPr>
            <m:sty m:val="p"/>
          </m:rPr>
          <m:t>&lt;</m:t>
        </m:r>
        <m:r>
          <m:t>.01</m:t>
        </m:r>
      </m:oMath>
      <w:r>
        <w:t xml:space="preserve">,</w:t>
      </w:r>
      <w:r>
        <w:t xml:space="preserve"> </w:t>
      </w:r>
      <m:oMath>
        <m:r>
          <m:rPr>
            <m:sty m:val="p"/>
          </m:rPr>
          <m:t>*</m:t>
        </m:r>
        <m:r>
          <m:rPr>
            <m:sty m:val="p"/>
          </m:rPr>
          <m:t>*</m:t>
        </m:r>
        <m:r>
          <m:rPr>
            <m:sty m:val="p"/>
          </m:rPr>
          <m:t>*</m:t>
        </m:r>
        <m:r>
          <m:t>p</m:t>
        </m:r>
        <m:r>
          <m:rPr>
            <m:sty m:val="p"/>
          </m:rPr>
          <m:t>&lt;</m:t>
        </m:r>
        <m:r>
          <m:t>.001</m:t>
        </m:r>
      </m:oMath>
      <w:r>
        <w:t xml:space="preserve">, n.s. = not significant.</w:t>
      </w:r>
    </w:p>
    <w:bookmarkEnd w:id="66"/>
    <w:bookmarkStart w:id="72" w:name="charitable-behaviour"/>
    <w:p>
      <w:pPr>
        <w:pStyle w:val="Heading3"/>
      </w:pPr>
      <w:r>
        <w:t xml:space="preserve">Charitable Behaviour</w:t>
      </w:r>
    </w:p>
    <w:p>
      <w:pPr>
        <w:pStyle w:val="FirstParagraph"/>
      </w:pPr>
      <w:r>
        <w:t xml:space="preserve">Participants’ intentions to support a charity that fights wrongful imprisonment were moderately associated with trait empathic concern (</w:t>
      </w:r>
      <m:oMath>
        <m:sSub>
          <m:e>
            <m:r>
              <m:t>r</m:t>
            </m:r>
          </m:e>
          <m:sub>
            <m:r>
              <m:rPr>
                <m:sty m:val="p"/>
              </m:rPr>
              <m:t>s</m:t>
            </m:r>
          </m:sub>
        </m:sSub>
        <m:r>
          <m:rPr>
            <m:sty m:val="p"/>
          </m:rPr>
          <m:t>=</m:t>
        </m:r>
        <m:r>
          <m:t>.34</m:t>
        </m:r>
      </m:oMath>
      <w:r>
        <w:t xml:space="preserve">,</w:t>
      </w:r>
      <w:r>
        <w:t xml:space="preserve"> </w:t>
      </w:r>
      <m:oMath>
        <m:r>
          <m:t>S</m:t>
        </m:r>
        <m:r>
          <m:rPr>
            <m:sty m:val="p"/>
          </m:rPr>
          <m:t>=</m:t>
        </m:r>
        <m:r>
          <m:t>1</m:t>
        </m:r>
        <m:r>
          <m:rPr>
            <m:sty m:val="p"/>
          </m:rPr>
          <m:t>,</m:t>
        </m:r>
        <m:r>
          <m:t>839</m:t>
        </m:r>
        <m:r>
          <m:rPr>
            <m:sty m:val="p"/>
          </m:rPr>
          <m:t>,</m:t>
        </m:r>
        <m:r>
          <m:t>560.45</m:t>
        </m:r>
      </m:oMath>
      <w:r>
        <w:t xml:space="preserve">,</w:t>
      </w:r>
      <w:r>
        <w:t xml:space="preserve"> </w:t>
      </w:r>
      <m:oMath>
        <m:r>
          <m:t>p</m:t>
        </m:r>
        <m:r>
          <m:rPr>
            <m:sty m:val="p"/>
          </m:rPr>
          <m:t>&lt;</m:t>
        </m:r>
        <m:r>
          <m:t>.001</m:t>
        </m:r>
      </m:oMath>
      <w:r>
        <w:t xml:space="preserve">) and with selecting</w:t>
      </w:r>
      <w:r>
        <w:t xml:space="preserve"> </w:t>
      </w:r>
      <w:r>
        <w:t xml:space="preserve">‘helping the social justice cause’</w:t>
      </w:r>
      <w:r>
        <w:t xml:space="preserve"> </w:t>
      </w:r>
      <w:r>
        <w:t xml:space="preserve">as a motivation to get a ticket for the event (</w:t>
      </w:r>
      <m:oMath>
        <m:sSub>
          <m:e>
            <m:r>
              <m:t>r</m:t>
            </m:r>
          </m:e>
          <m:sub>
            <m:r>
              <m:rPr>
                <m:sty m:val="p"/>
              </m:rPr>
              <m:t>s</m:t>
            </m:r>
          </m:sub>
        </m:sSub>
        <m:r>
          <m:rPr>
            <m:sty m:val="p"/>
          </m:rPr>
          <m:t>=</m:t>
        </m:r>
        <m:r>
          <m:t>.37</m:t>
        </m:r>
      </m:oMath>
      <w:r>
        <w:t xml:space="preserve">,</w:t>
      </w:r>
      <w:r>
        <w:t xml:space="preserve"> </w:t>
      </w:r>
      <m:oMath>
        <m:r>
          <m:t>S</m:t>
        </m:r>
        <m:r>
          <m:rPr>
            <m:sty m:val="p"/>
          </m:rPr>
          <m:t>=</m:t>
        </m:r>
        <m:r>
          <m:t>2</m:t>
        </m:r>
        <m:r>
          <m:rPr>
            <m:sty m:val="p"/>
          </m:rPr>
          <m:t>,</m:t>
        </m:r>
        <m:r>
          <m:t>036</m:t>
        </m:r>
        <m:r>
          <m:rPr>
            <m:sty m:val="p"/>
          </m:rPr>
          <m:t>,</m:t>
        </m:r>
        <m:r>
          <m:t>990.79</m:t>
        </m:r>
      </m:oMath>
      <w:r>
        <w:t xml:space="preserve">,</w:t>
      </w:r>
      <w:r>
        <w:t xml:space="preserve"> </w:t>
      </w:r>
      <m:oMath>
        <m:r>
          <m:t>p</m:t>
        </m:r>
        <m:r>
          <m:rPr>
            <m:sty m:val="p"/>
          </m:rPr>
          <m:t>&lt;</m:t>
        </m:r>
        <m:r>
          <m:t>.001</m:t>
        </m:r>
      </m:oMath>
      <w:r>
        <w:t xml:space="preserve">).</w:t>
      </w:r>
      <w:r>
        <w:t xml:space="preserve"> </w:t>
      </w:r>
      <w:r>
        <w:t xml:space="preserve">The variables were thus controlled for. The LMM analysis did not reveal any significant main effects or interactions involving stimuli and attendance. Time had a small effect,</w:t>
      </w:r>
      <w:r>
        <w:t xml:space="preserve"> </w:t>
      </w:r>
      <m:oMath>
        <m:r>
          <m:t>β</m:t>
        </m:r>
        <m:r>
          <m:rPr>
            <m:sty m:val="p"/>
          </m:rPr>
          <m:t>=</m:t>
        </m:r>
        <m:r>
          <m:t>0.07</m:t>
        </m:r>
      </m:oMath>
      <w:r>
        <w:t xml:space="preserve">,</w:t>
      </w:r>
      <w:r>
        <w:t xml:space="preserve"> </w:t>
      </w:r>
      <m:oMath>
        <m:r>
          <m:t>t</m:t>
        </m:r>
        <m:d>
          <m:dPr>
            <m:begChr m:val="("/>
            <m:sepChr m:val=""/>
            <m:endChr m:val=")"/>
            <m:grow/>
          </m:dPr>
          <m:e>
            <m:r>
              <m:t>78</m:t>
            </m:r>
          </m:e>
        </m:d>
        <m:r>
          <m:rPr>
            <m:sty m:val="p"/>
          </m:rPr>
          <m:t>=</m:t>
        </m:r>
        <m:r>
          <m:t>2.4</m:t>
        </m:r>
      </m:oMath>
      <w:r>
        <w:t xml:space="preserve">,</w:t>
      </w:r>
      <w:r>
        <w:t xml:space="preserve"> </w:t>
      </w:r>
      <m:oMath>
        <m:r>
          <m:t>p</m:t>
        </m:r>
        <m:r>
          <m:rPr>
            <m:sty m:val="p"/>
          </m:rPr>
          <m:t>=</m:t>
        </m:r>
        <m:r>
          <m:t>0.019</m:t>
        </m:r>
      </m:oMath>
      <w:r>
        <w:t xml:space="preserve">,</w:t>
      </w:r>
      <w:r>
        <w:t xml:space="preserve"> </w:t>
      </w:r>
      <m:oMath>
        <m:r>
          <m:t>d</m:t>
        </m:r>
        <m:r>
          <m:rPr>
            <m:sty m:val="p"/>
          </m:rPr>
          <m:t>=</m:t>
        </m:r>
        <m:r>
          <m:t>0.24</m:t>
        </m:r>
      </m:oMath>
      <w:r>
        <w:t xml:space="preserve">, with participants reporting higher problem awareness at the end of the event (</w:t>
      </w:r>
      <m:oMath>
        <m:r>
          <m:t>M</m:t>
        </m:r>
        <m:r>
          <m:rPr>
            <m:sty m:val="p"/>
          </m:rPr>
          <m:t>=</m:t>
        </m:r>
        <m:r>
          <m:t>4.4</m:t>
        </m:r>
      </m:oMath>
      <w:r>
        <w:t xml:space="preserve">,</w:t>
      </w:r>
      <w:r>
        <w:t xml:space="preserve"> </w:t>
      </w:r>
      <m:oMath>
        <m:r>
          <m:t>S</m:t>
        </m:r>
        <m:r>
          <m:t>D</m:t>
        </m:r>
        <m:r>
          <m:rPr>
            <m:sty m:val="p"/>
          </m:rPr>
          <m:t>=</m:t>
        </m:r>
        <m:r>
          <m:t>1.37</m:t>
        </m:r>
      </m:oMath>
      <w:r>
        <w:t xml:space="preserve">) compared to intermission (</w:t>
      </w:r>
      <m:oMath>
        <m:r>
          <m:t>M</m:t>
        </m:r>
        <m:r>
          <m:rPr>
            <m:sty m:val="p"/>
          </m:rPr>
          <m:t>=</m:t>
        </m:r>
        <m:r>
          <m:t>4.22</m:t>
        </m:r>
      </m:oMath>
      <w:r>
        <w:t xml:space="preserve">,</w:t>
      </w:r>
      <w:r>
        <w:t xml:space="preserve"> </w:t>
      </w:r>
      <m:oMath>
        <m:r>
          <m:t>S</m:t>
        </m:r>
        <m:r>
          <m:t>D</m:t>
        </m:r>
        <m:r>
          <m:rPr>
            <m:sty m:val="p"/>
          </m:rPr>
          <m:t>=</m:t>
        </m:r>
        <m:r>
          <m:t>1.37</m:t>
        </m:r>
      </m:oMath>
      <w:r>
        <w:t xml:space="preserve">). An additional post-hoc test found no significant increase from baseline (</w:t>
      </w:r>
      <m:oMath>
        <m:r>
          <m:t>M</m:t>
        </m:r>
        <m:r>
          <m:rPr>
            <m:sty m:val="p"/>
          </m:rPr>
          <m:t>=</m:t>
        </m:r>
        <m:r>
          <m:t>4.19</m:t>
        </m:r>
      </m:oMath>
      <w:r>
        <w:t xml:space="preserve">,</w:t>
      </w:r>
      <w:r>
        <w:t xml:space="preserve"> </w:t>
      </w:r>
      <m:oMath>
        <m:r>
          <m:t>S</m:t>
        </m:r>
        <m:r>
          <m:t>D</m:t>
        </m:r>
        <m:r>
          <m:rPr>
            <m:sty m:val="p"/>
          </m:rPr>
          <m:t>=</m:t>
        </m:r>
        <m:r>
          <m:t>1.37</m:t>
        </m:r>
      </m:oMath>
      <w:r>
        <w:t xml:space="preserve">) to intermission</w:t>
      </w:r>
      <w:r>
        <w:t xml:space="preserve"> </w:t>
      </w:r>
      <m:oMath>
        <m:sSub>
          <m:e>
            <m:r>
              <m:t>M</m:t>
            </m:r>
          </m:e>
          <m:sub>
            <m:r>
              <m:t>D</m:t>
            </m:r>
          </m:sub>
        </m:sSub>
        <m:r>
          <m:rPr>
            <m:sty m:val="p"/>
          </m:rPr>
          <m:t>=</m:t>
        </m:r>
        <m:r>
          <m:t>0.02</m:t>
        </m:r>
      </m:oMath>
      <w:r>
        <w:t xml:space="preserve">, 95% CI</w:t>
      </w:r>
      <w:r>
        <w:t xml:space="preserve"> </w:t>
      </w:r>
      <m:oMath>
        <m:d>
          <m:dPr>
            <m:begChr m:val="["/>
            <m:sepChr m:val=""/>
            <m:endChr m:val="]"/>
            <m:grow/>
          </m:dPr>
          <m:e>
            <m:r>
              <m:rPr>
                <m:sty m:val="p"/>
              </m:rPr>
              <m:t>−</m:t>
            </m:r>
            <m:r>
              <m:t>0.15</m:t>
            </m:r>
            <m:r>
              <m:rPr>
                <m:sty m:val="p"/>
              </m:rPr>
              <m:t>,</m:t>
            </m:r>
            <m:r>
              <m:rPr>
                <m:sty m:val="p"/>
              </m:rPr>
              <m:t>∞</m:t>
            </m:r>
          </m:e>
        </m:d>
      </m:oMath>
      <w:r>
        <w:t xml:space="preserve">,</w:t>
      </w:r>
      <w:r>
        <w:t xml:space="preserve"> </w:t>
      </w:r>
      <m:oMath>
        <m:r>
          <m:t>t</m:t>
        </m:r>
        <m:d>
          <m:dPr>
            <m:begChr m:val="("/>
            <m:sepChr m:val=""/>
            <m:endChr m:val=")"/>
            <m:grow/>
          </m:dPr>
          <m:e>
            <m:r>
              <m:t>90</m:t>
            </m:r>
          </m:e>
        </m:d>
        <m:r>
          <m:rPr>
            <m:sty m:val="p"/>
          </m:rPr>
          <m:t>=</m:t>
        </m:r>
        <m:r>
          <m:t>0.18</m:t>
        </m:r>
      </m:oMath>
      <w:r>
        <w:t xml:space="preserve">,</w:t>
      </w:r>
      <w:r>
        <w:t xml:space="preserve"> </w:t>
      </w:r>
      <m:oMath>
        <m:r>
          <m:t>p</m:t>
        </m:r>
        <m:r>
          <m:rPr>
            <m:sty m:val="p"/>
          </m:rPr>
          <m:t>=</m:t>
        </m:r>
        <m:r>
          <m:t>.428</m:t>
        </m:r>
      </m:oMath>
      <w:r>
        <w:t xml:space="preserve">,</w:t>
      </w:r>
      <w:r>
        <w:t xml:space="preserve"> </w:t>
      </w:r>
      <m:oMath>
        <m:r>
          <m:t>d</m:t>
        </m:r>
        <m:r>
          <m:rPr>
            <m:sty m:val="p"/>
          </m:rPr>
          <m:t>=</m:t>
        </m:r>
        <m:r>
          <m:t>0.01</m:t>
        </m:r>
      </m:oMath>
      <w:r>
        <w:t xml:space="preserve">.</w:t>
      </w:r>
    </w:p>
    <w:p>
      <w:pPr>
        <w:pStyle w:val="BodyText"/>
      </w:pPr>
      <w:r>
        <w:t xml:space="preserve">Hypotheses 1b, 2b, and 3b were concerned with the influence of audiences’ awareness, empathy, and closeness on charitable intentions. We fitted a multiple linear regression</w:t>
      </w:r>
      <w:r>
        <w:t xml:space="preserve"> </w:t>
      </w:r>
      <m:oMath>
        <m:r>
          <m:t>I</m:t>
        </m:r>
        <m:r>
          <m:t>n</m:t>
        </m:r>
        <m:r>
          <m:t>t</m:t>
        </m:r>
        <m:r>
          <m:t>e</m:t>
        </m:r>
        <m:r>
          <m:t>n</m:t>
        </m:r>
        <m:r>
          <m:t>t</m:t>
        </m:r>
        <m:r>
          <m:t>i</m:t>
        </m:r>
        <m:r>
          <m:t>o</m:t>
        </m:r>
        <m:r>
          <m:t>n</m:t>
        </m:r>
        <m:r>
          <m:rPr>
            <m:sty m:val="p"/>
          </m:rPr>
          <m:t>∼</m:t>
        </m:r>
        <m:r>
          <m:t>T</m:t>
        </m:r>
        <m:r>
          <m:t>r</m:t>
        </m:r>
        <m:r>
          <m:t>a</m:t>
        </m:r>
        <m:r>
          <m:t>i</m:t>
        </m:r>
        <m:r>
          <m:t>t</m:t>
        </m:r>
        <m:r>
          <m:t>E</m:t>
        </m:r>
        <m:r>
          <m:t>m</m:t>
        </m:r>
        <m:r>
          <m:t>p</m:t>
        </m:r>
        <m:r>
          <m:t>a</m:t>
        </m:r>
        <m:r>
          <m:t>t</m:t>
        </m:r>
        <m:r>
          <m:t>h</m:t>
        </m:r>
        <m:r>
          <m:t>i</m:t>
        </m:r>
        <m:r>
          <m:t>c</m:t>
        </m:r>
        <m:r>
          <m:t>C</m:t>
        </m:r>
        <m:r>
          <m:t>o</m:t>
        </m:r>
        <m:r>
          <m:t>n</m:t>
        </m:r>
        <m:r>
          <m:t>c</m:t>
        </m:r>
        <m:r>
          <m:t>e</m:t>
        </m:r>
        <m:r>
          <m:t>r</m:t>
        </m:r>
        <m:r>
          <m:t>n</m:t>
        </m:r>
        <m:r>
          <m:rPr>
            <m:sty m:val="p"/>
          </m:rPr>
          <m:t>+</m:t>
        </m:r>
        <m:r>
          <m:t>S</m:t>
        </m:r>
        <m:r>
          <m:t>o</m:t>
        </m:r>
        <m:r>
          <m:t>c</m:t>
        </m:r>
        <m:r>
          <m:t>i</m:t>
        </m:r>
        <m:r>
          <m:t>a</m:t>
        </m:r>
        <m:r>
          <m:t>l</m:t>
        </m:r>
        <m:r>
          <m:t>J</m:t>
        </m:r>
        <m:r>
          <m:t>u</m:t>
        </m:r>
        <m:r>
          <m:t>s</m:t>
        </m:r>
        <m:r>
          <m:t>t</m:t>
        </m:r>
        <m:r>
          <m:t>i</m:t>
        </m:r>
        <m:r>
          <m:t>c</m:t>
        </m:r>
        <m:r>
          <m:t>e</m:t>
        </m:r>
        <m:r>
          <m:t>M</m:t>
        </m:r>
        <m:r>
          <m:t>o</m:t>
        </m:r>
        <m:r>
          <m:t>t</m:t>
        </m:r>
        <m:r>
          <m:t>i</m:t>
        </m:r>
        <m:r>
          <m:t>v</m:t>
        </m:r>
        <m:r>
          <m:t>a</m:t>
        </m:r>
        <m:r>
          <m:t>t</m:t>
        </m:r>
        <m:r>
          <m:t>i</m:t>
        </m:r>
        <m:r>
          <m:t>o</m:t>
        </m:r>
        <m:r>
          <m:t>n</m:t>
        </m:r>
        <m:r>
          <m:rPr>
            <m:sty m:val="p"/>
          </m:rPr>
          <m:t>+</m:t>
        </m:r>
        <m:r>
          <m:t>C</m:t>
        </m:r>
        <m:r>
          <m:t>l</m:t>
        </m:r>
        <m:r>
          <m:t>o</m:t>
        </m:r>
        <m:r>
          <m:t>s</m:t>
        </m:r>
        <m:r>
          <m:t>e</m:t>
        </m:r>
        <m:r>
          <m:t>n</m:t>
        </m:r>
        <m:r>
          <m:t>e</m:t>
        </m:r>
        <m:r>
          <m:t>s</m:t>
        </m:r>
        <m:r>
          <m:t>s</m:t>
        </m:r>
        <m:r>
          <m:rPr>
            <m:sty m:val="p"/>
          </m:rPr>
          <m:t>+</m:t>
        </m:r>
        <m:r>
          <m:t>S</m:t>
        </m:r>
        <m:r>
          <m:t>t</m:t>
        </m:r>
        <m:r>
          <m:t>a</m:t>
        </m:r>
        <m:r>
          <m:t>t</m:t>
        </m:r>
        <m:r>
          <m:t>e</m:t>
        </m:r>
        <m:r>
          <m:t>E</m:t>
        </m:r>
        <m:r>
          <m:t>m</m:t>
        </m:r>
        <m:r>
          <m:t>p</m:t>
        </m:r>
        <m:r>
          <m:t>a</m:t>
        </m:r>
        <m:r>
          <m:t>t</m:t>
        </m:r>
        <m:r>
          <m:t>h</m:t>
        </m:r>
        <m:r>
          <m:t>i</m:t>
        </m:r>
        <m:r>
          <m:t>c</m:t>
        </m:r>
        <m:r>
          <m:t>C</m:t>
        </m:r>
        <m:r>
          <m:t>o</m:t>
        </m:r>
        <m:r>
          <m:t>n</m:t>
        </m:r>
        <m:r>
          <m:t>c</m:t>
        </m:r>
        <m:r>
          <m:t>e</m:t>
        </m:r>
        <m:r>
          <m:t>r</m:t>
        </m:r>
        <m:r>
          <m:t>n</m:t>
        </m:r>
        <m:r>
          <m:rPr>
            <m:sty m:val="p"/>
          </m:rPr>
          <m:t>+</m:t>
        </m:r>
        <m:r>
          <m:t>P</m:t>
        </m:r>
        <m:r>
          <m:t>r</m:t>
        </m:r>
        <m:r>
          <m:t>o</m:t>
        </m:r>
        <m:r>
          <m:t>b</m:t>
        </m:r>
        <m:r>
          <m:t>l</m:t>
        </m:r>
        <m:r>
          <m:t>e</m:t>
        </m:r>
        <m:r>
          <m:t>m</m:t>
        </m:r>
        <m:r>
          <m:t>A</m:t>
        </m:r>
        <m:r>
          <m:t>w</m:t>
        </m:r>
        <m:r>
          <m:t>a</m:t>
        </m:r>
        <m:r>
          <m:t>r</m:t>
        </m:r>
        <m:r>
          <m:t>e</m:t>
        </m:r>
        <m:r>
          <m:t>n</m:t>
        </m:r>
        <m:r>
          <m:t>e</m:t>
        </m:r>
        <m:r>
          <m:t>s</m:t>
        </m:r>
        <m:r>
          <m:t>s</m:t>
        </m:r>
      </m:oMath>
      <w:r>
        <w:t xml:space="preserve"> </w:t>
      </w:r>
      <w:r>
        <w:t xml:space="preserve">using just the data from the end of the event. State empathic concern significantly predicted intention with a moderate effect (</w:t>
      </w:r>
      <m:oMath>
        <m:r>
          <m:t>β</m:t>
        </m:r>
        <m:r>
          <m:rPr>
            <m:sty m:val="p"/>
          </m:rPr>
          <m:t>=</m:t>
        </m:r>
        <m:r>
          <m:t>0.36</m:t>
        </m:r>
      </m:oMath>
      <w:r>
        <w:t xml:space="preserve">,</w:t>
      </w:r>
      <w:r>
        <w:t xml:space="preserve"> </w:t>
      </w:r>
      <m:oMath>
        <m:r>
          <m:t>t</m:t>
        </m:r>
        <m:d>
          <m:dPr>
            <m:begChr m:val="("/>
            <m:sepChr m:val=""/>
            <m:endChr m:val=")"/>
            <m:grow/>
          </m:dPr>
          <m:e>
            <m:r>
              <m:t>70</m:t>
            </m:r>
          </m:e>
        </m:d>
        <m:r>
          <m:rPr>
            <m:sty m:val="p"/>
          </m:rPr>
          <m:t>=</m:t>
        </m:r>
        <m:r>
          <m:t>3.37</m:t>
        </m:r>
      </m:oMath>
      <w:r>
        <w:t xml:space="preserve">,</w:t>
      </w:r>
      <w:r>
        <w:t xml:space="preserve"> </w:t>
      </w:r>
      <m:oMath>
        <m:r>
          <m:t>p</m:t>
        </m:r>
        <m:r>
          <m:rPr>
            <m:sty m:val="p"/>
          </m:rPr>
          <m:t>&lt;</m:t>
        </m:r>
        <m:r>
          <m:t>.001</m:t>
        </m:r>
      </m:oMath>
      <w:r>
        <w:t xml:space="preserve">,</w:t>
      </w:r>
      <w:r>
        <w:t xml:space="preserve"> </w:t>
      </w:r>
      <m:oMath>
        <m:sSup>
          <m:e>
            <m:r>
              <m:t>f</m:t>
            </m:r>
          </m:e>
          <m:sup>
            <m:r>
              <m:t>2</m:t>
            </m:r>
          </m:sup>
        </m:sSup>
        <m:r>
          <m:rPr>
            <m:sty m:val="p"/>
          </m:rPr>
          <m:t>=</m:t>
        </m:r>
        <m:r>
          <m:t>0.22</m:t>
        </m:r>
      </m:oMath>
      <w:r>
        <w:t xml:space="preserve">) after controlling for differences in the covariates. In other words, participants who felt more empathic concern had a stronger intention to perform charitable behaviour, supporting Hypothesis 2b. In contrast to the predictions of Hypotheses 1b and 3b, problem awareness and relationship closeness did not significantly predict intention (both</w:t>
      </w:r>
      <w:r>
        <w:t xml:space="preserve"> </w:t>
      </w:r>
      <m:oMath>
        <m:r>
          <m:t>b</m:t>
        </m:r>
        <m:r>
          <m:rPr>
            <m:sty m:val="p"/>
          </m:rPr>
          <m:t>&lt;</m:t>
        </m:r>
        <m:r>
          <m:t>.1</m:t>
        </m:r>
      </m:oMath>
      <w:r>
        <w:t xml:space="preserve">,</w:t>
      </w:r>
      <w:r>
        <w:t xml:space="preserve"> </w:t>
      </w:r>
      <m:oMath>
        <m:r>
          <m:t>p</m:t>
        </m:r>
        <m:r>
          <m:rPr>
            <m:sty m:val="p"/>
          </m:rPr>
          <m:t>&gt;</m:t>
        </m:r>
        <m:r>
          <m:t>.3</m:t>
        </m:r>
      </m:oMath>
      <w:r>
        <w:t xml:space="preserve">). The total explained variance in intention was</w:t>
      </w:r>
      <w:r>
        <w:t xml:space="preserve"> </w:t>
      </w:r>
      <m:oMath>
        <m:sSubSup>
          <m:e>
            <m:r>
              <m:t>R</m:t>
            </m:r>
          </m:e>
          <m:sub>
            <m:r>
              <m:t>a</m:t>
            </m:r>
            <m:r>
              <m:t>d</m:t>
            </m:r>
            <m:r>
              <m:t>j</m:t>
            </m:r>
          </m:sub>
          <m:sup>
            <m:r>
              <m:t>2</m:t>
            </m:r>
          </m:sup>
        </m:sSubSup>
        <m:r>
          <m:rPr>
            <m:sty m:val="p"/>
          </m:rPr>
          <m:t>=</m:t>
        </m:r>
        <m:r>
          <m:t>0.34</m:t>
        </m:r>
      </m:oMath>
      <w:r>
        <w:t xml:space="preserve"> </w:t>
      </w:r>
      <w:r>
        <w:t xml:space="preserve">(see</w:t>
      </w:r>
      <w:r>
        <w:t xml:space="preserve"> </w:t>
      </w:r>
      <w:hyperlink w:anchor="tbl-regression-intention">
        <w:r>
          <w:rPr>
            <w:rStyle w:val="Hyperlink"/>
          </w:rPr>
          <w:t xml:space="preserve">Table 1</w:t>
        </w:r>
      </w:hyperlink>
      <w:r>
        <w:t xml:space="preserve">).</w:t>
      </w:r>
    </w:p>
    <w:bookmarkStart w:id="67" w:name="tbl-regression-intention"/>
    <w:p>
      <w:pPr>
        <w:pStyle w:val="FigureTitle"/>
      </w:pPr>
      <w:r>
        <w:t xml:space="preserve">Table 1</w:t>
      </w:r>
    </w:p>
    <w:p>
      <w:pPr>
        <w:pStyle w:val="Caption"/>
      </w:pPr>
      <w:r>
        <w:t xml:space="preserve">Regression analysis predicting the intention to support</w:t>
      </w:r>
      <w:r>
        <w:t xml:space="preserve"> </w:t>
      </w:r>
      <w:r>
        <w:rPr>
          <w:i/>
          <w:iCs/>
        </w:rPr>
        <w:t xml:space="preserve">Innocents Canada</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jc w:val="center"/>
            </w:pPr>
            <w:r>
              <w:t xml:space="preserve"> </w:t>
            </w:r>
          </w:p>
        </w:tc>
        <w:tc>
          <w:tcPr>
            <w:gridSpan w:val="3"/>
          </w:tcPr>
          <w:p>
            <w:pPr>
              <w:pStyle w:val="Compact"/>
              <w:jc w:val="center"/>
            </w:pPr>
            <w:r>
              <w:t xml:space="preserve">Study 1</w:t>
            </w:r>
          </w:p>
        </w:tc>
        <w:tc>
          <w:tcPr>
            <w:gridSpan w:val="3"/>
          </w:tcPr>
          <w:p>
            <w:pPr>
              <w:pStyle w:val="Compact"/>
              <w:jc w:val="center"/>
            </w:pPr>
            <w:r>
              <w:t xml:space="preserve">Study 2 (M1)</w:t>
            </w:r>
          </w:p>
        </w:tc>
        <w:tc>
          <w:tcPr>
            <w:gridSpan w:val="3"/>
          </w:tcPr>
          <w:p>
            <w:pPr>
              <w:pStyle w:val="Compact"/>
              <w:jc w:val="center"/>
            </w:pPr>
            <w:r>
              <w:t xml:space="preserve">Study 2 (M2)</w:t>
            </w:r>
          </w:p>
        </w:tc>
        <w:tc>
          <w:tcPr>
            <w:gridSpan w:val="3"/>
          </w:tcPr>
          <w:p>
            <w:pPr>
              <w:pStyle w:val="Compact"/>
              <w:jc w:val="center"/>
            </w:pPr>
            <w:r>
              <w:t xml:space="preserve">Study 2 (M3)</w:t>
            </w:r>
          </w:p>
        </w:tc>
      </w:tr>
      <w:tr>
        <w:tc>
          <w:tcPr/>
          <w:p>
            <w:pPr>
              <w:pStyle w:val="Compact"/>
              <w:jc w:val="center"/>
            </w:pPr>
            <w:r>
              <w:t xml:space="preserve">Predictors</w:t>
            </w:r>
          </w:p>
        </w:tc>
        <w:tc>
          <w:tcPr/>
          <w:p>
            <w:pPr>
              <w:pStyle w:val="Compact"/>
              <w:jc w:val="center"/>
            </w:pPr>
            <w:r>
              <w:t xml:space="preserve">Estimates</w:t>
            </w:r>
          </w:p>
        </w:tc>
        <w:tc>
          <w:tcPr/>
          <w:p>
            <w:pPr>
              <w:pStyle w:val="Compact"/>
              <w:jc w:val="center"/>
            </w:pPr>
            <w:r>
              <w:t xml:space="preserve">CI</w:t>
            </w:r>
          </w:p>
        </w:tc>
        <w:tc>
          <w:tcPr/>
          <w:p>
            <w:pPr>
              <w:pStyle w:val="Compact"/>
              <w:jc w:val="center"/>
            </w:pPr>
            <w:r>
              <w:t xml:space="preserve">p</w:t>
            </w:r>
          </w:p>
        </w:tc>
        <w:tc>
          <w:tcPr/>
          <w:p>
            <w:pPr>
              <w:pStyle w:val="Compact"/>
              <w:jc w:val="center"/>
            </w:pPr>
            <w:r>
              <w:t xml:space="preserve">Estimates</w:t>
            </w:r>
          </w:p>
        </w:tc>
        <w:tc>
          <w:tcPr/>
          <w:p>
            <w:pPr>
              <w:pStyle w:val="Compact"/>
              <w:jc w:val="center"/>
            </w:pPr>
            <w:r>
              <w:t xml:space="preserve">CI</w:t>
            </w:r>
          </w:p>
        </w:tc>
        <w:tc>
          <w:tcPr/>
          <w:p>
            <w:pPr>
              <w:pStyle w:val="Compact"/>
              <w:jc w:val="center"/>
            </w:pPr>
            <w:r>
              <w:t xml:space="preserve">p</w:t>
            </w:r>
          </w:p>
        </w:tc>
        <w:tc>
          <w:tcPr/>
          <w:p>
            <w:pPr>
              <w:pStyle w:val="Compact"/>
              <w:jc w:val="center"/>
            </w:pPr>
            <w:r>
              <w:t xml:space="preserve">Estimates</w:t>
            </w:r>
          </w:p>
        </w:tc>
        <w:tc>
          <w:tcPr/>
          <w:p>
            <w:pPr>
              <w:pStyle w:val="Compact"/>
              <w:jc w:val="center"/>
            </w:pPr>
            <w:r>
              <w:t xml:space="preserve">CI</w:t>
            </w:r>
          </w:p>
        </w:tc>
        <w:tc>
          <w:tcPr/>
          <w:p>
            <w:pPr>
              <w:pStyle w:val="Compact"/>
              <w:jc w:val="center"/>
            </w:pPr>
            <w:r>
              <w:t xml:space="preserve">p</w:t>
            </w:r>
          </w:p>
        </w:tc>
        <w:tc>
          <w:tcPr/>
          <w:p>
            <w:pPr>
              <w:pStyle w:val="Compact"/>
              <w:jc w:val="center"/>
            </w:pPr>
            <w:r>
              <w:t xml:space="preserve">Estimates</w:t>
            </w:r>
          </w:p>
        </w:tc>
        <w:tc>
          <w:tcPr/>
          <w:p>
            <w:pPr>
              <w:pStyle w:val="Compact"/>
              <w:jc w:val="center"/>
            </w:pPr>
            <w:r>
              <w:t xml:space="preserve">CI</w:t>
            </w:r>
          </w:p>
        </w:tc>
        <w:tc>
          <w:tcPr/>
          <w:p>
            <w:pPr>
              <w:pStyle w:val="Compact"/>
              <w:jc w:val="center"/>
            </w:pPr>
            <w:r>
              <w:t xml:space="preserve">p</w:t>
            </w:r>
          </w:p>
        </w:tc>
      </w:tr>
      <w:tr>
        <w:tc>
          <w:tcPr/>
          <w:p>
            <w:pPr>
              <w:pStyle w:val="Compact"/>
              <w:jc w:val="left"/>
            </w:pPr>
            <w:r>
              <w:t xml:space="preserve">Intercept</w:t>
            </w:r>
          </w:p>
        </w:tc>
        <w:tc>
          <w:tcPr/>
          <w:p>
            <w:pPr>
              <w:pStyle w:val="Compact"/>
              <w:jc w:val="left"/>
            </w:pPr>
            <w:r>
              <w:t xml:space="preserve">0.17</w:t>
            </w:r>
          </w:p>
        </w:tc>
        <w:tc>
          <w:tcPr/>
          <w:p>
            <w:pPr>
              <w:pStyle w:val="Compact"/>
              <w:jc w:val="left"/>
            </w:pPr>
            <w:r>
              <w:t xml:space="preserve">-Inf – Inf</w:t>
            </w:r>
          </w:p>
        </w:tc>
        <w:tc>
          <w:tcPr/>
          <w:p>
            <w:pPr>
              <w:pStyle w:val="Compact"/>
              <w:jc w:val="left"/>
            </w:pPr>
            <w:r>
              <w:t xml:space="preserve">0.095</w:t>
            </w:r>
          </w:p>
        </w:tc>
        <w:tc>
          <w:tcPr/>
          <w:p>
            <w:pPr>
              <w:pStyle w:val="Compact"/>
              <w:jc w:val="left"/>
            </w:pPr>
            <w:r>
              <w:t xml:space="preserve">-0.02</w:t>
            </w:r>
          </w:p>
        </w:tc>
        <w:tc>
          <w:tcPr/>
          <w:p>
            <w:pPr>
              <w:pStyle w:val="Compact"/>
              <w:jc w:val="left"/>
            </w:pPr>
            <w:r>
              <w:t xml:space="preserve">-Inf – Inf</w:t>
            </w:r>
          </w:p>
        </w:tc>
        <w:tc>
          <w:tcPr/>
          <w:p>
            <w:pPr>
              <w:pStyle w:val="Compact"/>
              <w:jc w:val="center"/>
            </w:pPr>
            <w:r>
              <w:t xml:space="preserve">0.752</w:t>
            </w:r>
          </w:p>
        </w:tc>
        <w:tc>
          <w:tcPr/>
          <w:p>
            <w:pPr>
              <w:pStyle w:val="Compact"/>
              <w:jc w:val="center"/>
            </w:pPr>
            <w:r>
              <w:t xml:space="preserve">-0.03</w:t>
            </w:r>
          </w:p>
        </w:tc>
        <w:tc>
          <w:tcPr/>
          <w:p>
            <w:pPr>
              <w:pStyle w:val="Compact"/>
              <w:jc w:val="center"/>
            </w:pPr>
            <w:r>
              <w:t xml:space="preserve">-Inf – Inf</w:t>
            </w:r>
          </w:p>
        </w:tc>
        <w:tc>
          <w:tcPr/>
          <w:p>
            <w:pPr>
              <w:pStyle w:val="Compact"/>
              <w:jc w:val="center"/>
            </w:pPr>
            <w:r>
              <w:t xml:space="preserve">0.565</w:t>
            </w:r>
          </w:p>
        </w:tc>
        <w:tc>
          <w:tcPr/>
          <w:p>
            <w:pPr>
              <w:pStyle w:val="Compact"/>
              <w:jc w:val="center"/>
            </w:pPr>
            <w:r>
              <w:t xml:space="preserve">0.02</w:t>
            </w:r>
          </w:p>
        </w:tc>
        <w:tc>
          <w:tcPr/>
          <w:p>
            <w:pPr>
              <w:pStyle w:val="Compact"/>
              <w:jc w:val="center"/>
            </w:pPr>
            <w:r>
              <w:t xml:space="preserve">-Inf – Inf</w:t>
            </w:r>
          </w:p>
        </w:tc>
        <w:tc>
          <w:tcPr/>
          <w:p>
            <w:pPr>
              <w:pStyle w:val="Compact"/>
              <w:jc w:val="center"/>
            </w:pPr>
            <w:r>
              <w:t xml:space="preserve">0.775</w:t>
            </w:r>
          </w:p>
        </w:tc>
      </w:tr>
      <w:tr>
        <w:tc>
          <w:tcPr/>
          <w:p>
            <w:pPr>
              <w:pStyle w:val="Compact"/>
              <w:jc w:val="left"/>
            </w:pPr>
            <w:r>
              <w:t xml:space="preserve">Trait Empathic Concern</w:t>
            </w:r>
          </w:p>
        </w:tc>
        <w:tc>
          <w:tcPr/>
          <w:p>
            <w:pPr>
              <w:pStyle w:val="Compact"/>
              <w:jc w:val="left"/>
            </w:pPr>
            <w:r>
              <w:t xml:space="preserve">0.17</w:t>
            </w:r>
          </w:p>
        </w:tc>
        <w:tc>
          <w:tcPr/>
          <w:p>
            <w:pPr>
              <w:pStyle w:val="Compact"/>
              <w:jc w:val="left"/>
            </w:pPr>
            <w:r>
              <w:t xml:space="preserve">-Inf – Inf</w:t>
            </w:r>
          </w:p>
        </w:tc>
        <w:tc>
          <w:tcPr/>
          <w:p>
            <w:pPr>
              <w:pStyle w:val="Compact"/>
              <w:jc w:val="left"/>
            </w:pPr>
            <w:r>
              <w:t xml:space="preserve">0.077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Social Justice Motivation</w:t>
            </w:r>
          </w:p>
        </w:tc>
        <w:tc>
          <w:tcPr/>
          <w:p>
            <w:pPr>
              <w:pStyle w:val="Compact"/>
              <w:jc w:val="left"/>
            </w:pPr>
            <w:r>
              <w:t xml:space="preserve">0.20</w:t>
            </w:r>
          </w:p>
        </w:tc>
        <w:tc>
          <w:tcPr/>
          <w:p>
            <w:pPr>
              <w:pStyle w:val="Compact"/>
              <w:jc w:val="left"/>
            </w:pPr>
            <w:r>
              <w:t xml:space="preserve">-Inf – Inf</w:t>
            </w:r>
          </w:p>
        </w:tc>
        <w:tc>
          <w:tcPr/>
          <w:p>
            <w:pPr>
              <w:pStyle w:val="Compact"/>
              <w:jc w:val="left"/>
            </w:pPr>
            <w:r>
              <w:t xml:space="preserve">0.061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Closeness (Anna)</w:t>
            </w:r>
          </w:p>
        </w:tc>
        <w:tc>
          <w:tcPr/>
          <w:p>
            <w:pPr>
              <w:pStyle w:val="Compact"/>
              <w:jc w:val="left"/>
            </w:pPr>
            <w:r>
              <w:t xml:space="preserve">0.10</w:t>
            </w:r>
          </w:p>
        </w:tc>
        <w:tc>
          <w:tcPr/>
          <w:p>
            <w:pPr>
              <w:pStyle w:val="Compact"/>
              <w:jc w:val="left"/>
            </w:pPr>
            <w:r>
              <w:t xml:space="preserve">-Inf – Inf</w:t>
            </w:r>
          </w:p>
        </w:tc>
        <w:tc>
          <w:tcPr/>
          <w:p>
            <w:pPr>
              <w:pStyle w:val="Compact"/>
              <w:jc w:val="left"/>
            </w:pPr>
            <w:r>
              <w:t xml:space="preserve">0.329</w:t>
            </w:r>
          </w:p>
        </w:tc>
        <w:tc>
          <w:tcPr/>
          <w:p>
            <w:pPr>
              <w:pStyle w:val="Compact"/>
              <w:jc w:val="left"/>
            </w:pPr>
            <w:r>
              <w:t xml:space="preserve">0.28</w:t>
            </w:r>
          </w:p>
        </w:tc>
        <w:tc>
          <w:tcPr/>
          <w:p>
            <w:pPr>
              <w:pStyle w:val="Compact"/>
              <w:jc w:val="left"/>
            </w:pPr>
            <w:r>
              <w:t xml:space="preserve">-Inf – Inf</w:t>
            </w:r>
          </w:p>
        </w:tc>
        <w:tc>
          <w:tcPr/>
          <w:p>
            <w:pPr>
              <w:pStyle w:val="Compact"/>
              <w:jc w:val="center"/>
            </w:pPr>
            <w:r>
              <w:rPr>
                <w:b/>
                <w:bCs/>
              </w:rPr>
              <w:t xml:space="preserve">&lt;0.001</w:t>
            </w:r>
          </w:p>
        </w:tc>
        <w:tc>
          <w:tcPr/>
          <w:p>
            <w:pPr>
              <w:pStyle w:val="Compact"/>
              <w:jc w:val="center"/>
            </w:pPr>
            <w:r>
              <w:t xml:space="preserve">0.28</w:t>
            </w:r>
          </w:p>
        </w:tc>
        <w:tc>
          <w:tcPr/>
          <w:p>
            <w:pPr>
              <w:pStyle w:val="Compact"/>
              <w:jc w:val="center"/>
            </w:pPr>
            <w:r>
              <w:t xml:space="preserve">-Inf – Inf</w:t>
            </w:r>
          </w:p>
        </w:tc>
        <w:tc>
          <w:tcPr/>
          <w:p>
            <w:pPr>
              <w:pStyle w:val="Compact"/>
              <w:jc w:val="center"/>
            </w:pPr>
            <w:r>
              <w:rPr>
                <w:b/>
                <w:bCs/>
              </w:rPr>
              <w:t xml:space="preserve">&lt;0.001</w:t>
            </w:r>
          </w:p>
        </w:tc>
        <w:tc>
          <w:tcPr/>
          <w:p>
            <w:pPr>
              <w:pStyle w:val="Compact"/>
            </w:pPr>
          </w:p>
        </w:tc>
        <w:tc>
          <w:tcPr/>
          <w:p>
            <w:pPr>
              <w:pStyle w:val="Compact"/>
            </w:pPr>
          </w:p>
        </w:tc>
        <w:tc>
          <w:tcPr/>
          <w:p>
            <w:pPr>
              <w:pStyle w:val="Compact"/>
            </w:pPr>
          </w:p>
        </w:tc>
      </w:tr>
      <w:tr>
        <w:tc>
          <w:tcPr/>
          <w:p>
            <w:pPr>
              <w:pStyle w:val="Compact"/>
              <w:jc w:val="left"/>
            </w:pPr>
            <w:r>
              <w:t xml:space="preserve">Empathic Concern (Anna)</w:t>
            </w:r>
          </w:p>
        </w:tc>
        <w:tc>
          <w:tcPr/>
          <w:p>
            <w:pPr>
              <w:pStyle w:val="Compact"/>
              <w:jc w:val="left"/>
            </w:pPr>
            <w:r>
              <w:t xml:space="preserve">0.36</w:t>
            </w:r>
          </w:p>
        </w:tc>
        <w:tc>
          <w:tcPr/>
          <w:p>
            <w:pPr>
              <w:pStyle w:val="Compact"/>
              <w:jc w:val="left"/>
            </w:pPr>
            <w:r>
              <w:t xml:space="preserve">-Inf – Inf</w:t>
            </w:r>
          </w:p>
        </w:tc>
        <w:tc>
          <w:tcPr/>
          <w:p>
            <w:pPr>
              <w:pStyle w:val="Compact"/>
              <w:jc w:val="left"/>
            </w:pPr>
            <w:r>
              <w:rPr>
                <w:b/>
                <w:bCs/>
              </w:rPr>
              <w:t xml:space="preserve">0.001</w:t>
            </w:r>
          </w:p>
        </w:tc>
        <w:tc>
          <w:tcPr/>
          <w:p>
            <w:pPr>
              <w:pStyle w:val="Compact"/>
              <w:jc w:val="left"/>
            </w:pPr>
            <w:r>
              <w:t xml:space="preserve">0.20</w:t>
            </w:r>
          </w:p>
        </w:tc>
        <w:tc>
          <w:tcPr/>
          <w:p>
            <w:pPr>
              <w:pStyle w:val="Compact"/>
              <w:jc w:val="left"/>
            </w:pPr>
            <w:r>
              <w:t xml:space="preserve">-Inf – Inf</w:t>
            </w:r>
          </w:p>
        </w:tc>
        <w:tc>
          <w:tcPr/>
          <w:p>
            <w:pPr>
              <w:pStyle w:val="Compact"/>
              <w:jc w:val="center"/>
            </w:pPr>
            <w:r>
              <w:rPr>
                <w:b/>
                <w:bCs/>
              </w:rPr>
              <w:t xml:space="preserve">0.002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Problem Awareness</w:t>
            </w:r>
          </w:p>
        </w:tc>
        <w:tc>
          <w:tcPr/>
          <w:p>
            <w:pPr>
              <w:pStyle w:val="Compact"/>
              <w:jc w:val="left"/>
            </w:pPr>
            <w:r>
              <w:t xml:space="preserve">0.05</w:t>
            </w:r>
          </w:p>
        </w:tc>
        <w:tc>
          <w:tcPr/>
          <w:p>
            <w:pPr>
              <w:pStyle w:val="Compact"/>
              <w:jc w:val="left"/>
            </w:pPr>
            <w:r>
              <w:t xml:space="preserve">-Inf – Inf</w:t>
            </w:r>
          </w:p>
        </w:tc>
        <w:tc>
          <w:tcPr/>
          <w:p>
            <w:pPr>
              <w:pStyle w:val="Compact"/>
              <w:jc w:val="left"/>
            </w:pPr>
            <w:r>
              <w:t xml:space="preserve">0.616</w:t>
            </w:r>
          </w:p>
        </w:tc>
        <w:tc>
          <w:tcPr/>
          <w:p>
            <w:pPr>
              <w:pStyle w:val="Compact"/>
              <w:jc w:val="left"/>
            </w:pPr>
            <w:r>
              <w:t xml:space="preserve">0.29</w:t>
            </w:r>
          </w:p>
        </w:tc>
        <w:tc>
          <w:tcPr/>
          <w:p>
            <w:pPr>
              <w:pStyle w:val="Compact"/>
              <w:jc w:val="left"/>
            </w:pPr>
            <w:r>
              <w:t xml:space="preserve">-Inf – Inf</w:t>
            </w:r>
          </w:p>
        </w:tc>
        <w:tc>
          <w:tcPr/>
          <w:p>
            <w:pPr>
              <w:pStyle w:val="Compact"/>
              <w:jc w:val="center"/>
            </w:pPr>
            <w:r>
              <w:rPr>
                <w:b/>
                <w:bCs/>
              </w:rPr>
              <w:t xml:space="preserve">&lt;0.001</w:t>
            </w:r>
          </w:p>
        </w:tc>
        <w:tc>
          <w:tcPr/>
          <w:p>
            <w:pPr>
              <w:pStyle w:val="Compact"/>
              <w:jc w:val="center"/>
            </w:pPr>
            <w:r>
              <w:t xml:space="preserve">0.32</w:t>
            </w:r>
          </w:p>
        </w:tc>
        <w:tc>
          <w:tcPr/>
          <w:p>
            <w:pPr>
              <w:pStyle w:val="Compact"/>
              <w:jc w:val="center"/>
            </w:pPr>
            <w:r>
              <w:t xml:space="preserve">-Inf – Inf</w:t>
            </w:r>
          </w:p>
        </w:tc>
        <w:tc>
          <w:tcPr/>
          <w:p>
            <w:pPr>
              <w:pStyle w:val="Compact"/>
              <w:jc w:val="center"/>
            </w:pPr>
            <w:r>
              <w:rPr>
                <w:b/>
                <w:bCs/>
              </w:rPr>
              <w:t xml:space="preserve">&lt;0.001</w:t>
            </w:r>
          </w:p>
        </w:tc>
        <w:tc>
          <w:tcPr/>
          <w:p>
            <w:pPr>
              <w:pStyle w:val="Compact"/>
              <w:jc w:val="center"/>
            </w:pPr>
            <w:r>
              <w:t xml:space="preserve">0.34</w:t>
            </w:r>
          </w:p>
        </w:tc>
        <w:tc>
          <w:tcPr/>
          <w:p>
            <w:pPr>
              <w:pStyle w:val="Compact"/>
              <w:jc w:val="center"/>
            </w:pPr>
            <w:r>
              <w:t xml:space="preserve">-Inf – Inf</w:t>
            </w:r>
          </w:p>
        </w:tc>
        <w:tc>
          <w:tcPr/>
          <w:p>
            <w:pPr>
              <w:pStyle w:val="Compact"/>
              <w:jc w:val="center"/>
            </w:pPr>
            <w:r>
              <w:rPr>
                <w:b/>
                <w:bCs/>
              </w:rPr>
              <w:t xml:space="preserve">&lt;0.001</w:t>
            </w:r>
          </w:p>
        </w:tc>
      </w:tr>
      <w:tr>
        <w:tc>
          <w:tcPr/>
          <w:p>
            <w:pPr>
              <w:pStyle w:val="Compact"/>
              <w:jc w:val="left"/>
            </w:pPr>
            <w:r>
              <w:t xml:space="preserve">Liking Percussion</w:t>
            </w:r>
          </w:p>
        </w:tc>
        <w:tc>
          <w:tcPr/>
          <w:p>
            <w:pPr>
              <w:pStyle w:val="Compact"/>
            </w:pPr>
          </w:p>
        </w:tc>
        <w:tc>
          <w:tcPr/>
          <w:p>
            <w:pPr>
              <w:pStyle w:val="Compact"/>
            </w:pPr>
          </w:p>
        </w:tc>
        <w:tc>
          <w:tcPr/>
          <w:p>
            <w:pPr>
              <w:pStyle w:val="Compact"/>
            </w:pPr>
          </w:p>
        </w:tc>
        <w:tc>
          <w:tcPr/>
          <w:p>
            <w:pPr>
              <w:pStyle w:val="Compact"/>
              <w:jc w:val="left"/>
            </w:pPr>
            <w:r>
              <w:t xml:space="preserve">0.18</w:t>
            </w:r>
          </w:p>
        </w:tc>
        <w:tc>
          <w:tcPr/>
          <w:p>
            <w:pPr>
              <w:pStyle w:val="Compact"/>
              <w:jc w:val="left"/>
            </w:pPr>
            <w:r>
              <w:t xml:space="preserve">-Inf – Inf</w:t>
            </w:r>
          </w:p>
        </w:tc>
        <w:tc>
          <w:tcPr/>
          <w:p>
            <w:pPr>
              <w:pStyle w:val="Compact"/>
              <w:jc w:val="center"/>
            </w:pPr>
            <w:r>
              <w:rPr>
                <w:b/>
                <w:bCs/>
              </w:rPr>
              <w:t xml:space="preserve">0.004</w:t>
            </w:r>
          </w:p>
        </w:tc>
        <w:tc>
          <w:tcPr/>
          <w:p>
            <w:pPr>
              <w:pStyle w:val="Compact"/>
              <w:jc w:val="center"/>
            </w:pPr>
            <w:r>
              <w:t xml:space="preserve">0.16</w:t>
            </w:r>
          </w:p>
        </w:tc>
        <w:tc>
          <w:tcPr/>
          <w:p>
            <w:pPr>
              <w:pStyle w:val="Compact"/>
              <w:jc w:val="center"/>
            </w:pPr>
            <w:r>
              <w:t xml:space="preserve">-Inf – Inf</w:t>
            </w:r>
          </w:p>
        </w:tc>
        <w:tc>
          <w:tcPr/>
          <w:p>
            <w:pPr>
              <w:pStyle w:val="Compact"/>
              <w:jc w:val="center"/>
            </w:pPr>
            <w:r>
              <w:rPr>
                <w:b/>
                <w:bCs/>
              </w:rPr>
              <w:t xml:space="preserve">0.011</w:t>
            </w:r>
          </w:p>
        </w:tc>
        <w:tc>
          <w:tcPr/>
          <w:p>
            <w:pPr>
              <w:pStyle w:val="Compact"/>
              <w:jc w:val="center"/>
            </w:pPr>
            <w:r>
              <w:t xml:space="preserve">0.23</w:t>
            </w:r>
          </w:p>
        </w:tc>
        <w:tc>
          <w:tcPr/>
          <w:p>
            <w:pPr>
              <w:pStyle w:val="Compact"/>
              <w:jc w:val="center"/>
            </w:pPr>
            <w:r>
              <w:t xml:space="preserve">-Inf – Inf</w:t>
            </w:r>
          </w:p>
        </w:tc>
        <w:tc>
          <w:tcPr/>
          <w:p>
            <w:pPr>
              <w:pStyle w:val="Compact"/>
              <w:jc w:val="center"/>
            </w:pPr>
            <w:r>
              <w:rPr>
                <w:b/>
                <w:bCs/>
              </w:rPr>
              <w:t xml:space="preserve">&lt;0.001</w:t>
            </w:r>
          </w:p>
        </w:tc>
      </w:tr>
      <w:tr>
        <w:tc>
          <w:tcPr/>
          <w:p>
            <w:pPr>
              <w:pStyle w:val="Compact"/>
              <w:jc w:val="left"/>
            </w:pPr>
            <w:r>
              <w:t xml:space="preserve">Closeness (Acquaintance)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0.20</w:t>
            </w:r>
          </w:p>
        </w:tc>
        <w:tc>
          <w:tcPr/>
          <w:p>
            <w:pPr>
              <w:pStyle w:val="Compact"/>
              <w:jc w:val="center"/>
            </w:pPr>
            <w:r>
              <w:t xml:space="preserve">-Inf – Inf</w:t>
            </w:r>
          </w:p>
        </w:tc>
        <w:tc>
          <w:tcPr/>
          <w:p>
            <w:pPr>
              <w:pStyle w:val="Compact"/>
              <w:jc w:val="center"/>
            </w:pPr>
            <w:r>
              <w:rPr>
                <w:b/>
                <w:bCs/>
              </w:rPr>
              <w:t xml:space="preserve">0.001</w:t>
            </w:r>
          </w:p>
        </w:tc>
        <w:tc>
          <w:tcPr/>
          <w:p>
            <w:pPr>
              <w:pStyle w:val="Compact"/>
              <w:jc w:val="center"/>
            </w:pPr>
            <w:r>
              <w:t xml:space="preserve">0.21</w:t>
            </w:r>
          </w:p>
        </w:tc>
        <w:tc>
          <w:tcPr/>
          <w:p>
            <w:pPr>
              <w:pStyle w:val="Compact"/>
              <w:jc w:val="center"/>
            </w:pPr>
            <w:r>
              <w:t xml:space="preserve">-Inf – Inf</w:t>
            </w:r>
          </w:p>
        </w:tc>
        <w:tc>
          <w:tcPr/>
          <w:p>
            <w:pPr>
              <w:pStyle w:val="Compact"/>
              <w:jc w:val="center"/>
            </w:pPr>
            <w:r>
              <w:rPr>
                <w:b/>
                <w:bCs/>
              </w:rPr>
              <w:t xml:space="preserve">0.002</w:t>
            </w:r>
          </w:p>
        </w:tc>
      </w:tr>
      <w:tr>
        <w:tc>
          <w:tcPr/>
          <w:p>
            <w:pPr>
              <w:pStyle w:val="Compact"/>
              <w:jc w:val="left"/>
            </w:pPr>
            <w:r>
              <w:t xml:space="preserve">Empathic Concern (Acquaintance)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0.21</w:t>
            </w:r>
          </w:p>
        </w:tc>
        <w:tc>
          <w:tcPr/>
          <w:p>
            <w:pPr>
              <w:pStyle w:val="Compact"/>
              <w:jc w:val="center"/>
            </w:pPr>
            <w:r>
              <w:t xml:space="preserve">-Inf – Inf</w:t>
            </w:r>
          </w:p>
        </w:tc>
        <w:tc>
          <w:tcPr/>
          <w:p>
            <w:pPr>
              <w:pStyle w:val="Compact"/>
              <w:jc w:val="center"/>
            </w:pPr>
            <w:r>
              <w:rPr>
                <w:b/>
                <w:bCs/>
              </w:rPr>
              <w:t xml:space="preserve">0.001</w:t>
            </w:r>
          </w:p>
        </w:tc>
      </w:tr>
      <w:tr>
        <w:tc>
          <w:tcPr/>
          <w:p>
            <w:pPr>
              <w:pStyle w:val="Compact"/>
              <w:jc w:val="left"/>
            </w:pPr>
            <w:r>
              <w:t xml:space="preserve">Observations</w:t>
            </w:r>
          </w:p>
        </w:tc>
        <w:tc>
          <w:tcPr>
            <w:gridSpan w:val="3"/>
          </w:tcPr>
          <w:p>
            <w:pPr>
              <w:pStyle w:val="Compact"/>
              <w:jc w:val="left"/>
            </w:pPr>
            <w:r>
              <w:t xml:space="preserve">76</w:t>
            </w:r>
          </w:p>
        </w:tc>
        <w:tc>
          <w:tcPr>
            <w:gridSpan w:val="3"/>
          </w:tcPr>
          <w:p>
            <w:pPr>
              <w:pStyle w:val="Compact"/>
              <w:jc w:val="left"/>
            </w:pPr>
            <w:r>
              <w:t xml:space="preserve">189</w:t>
            </w:r>
          </w:p>
        </w:tc>
        <w:tc>
          <w:tcPr>
            <w:gridSpan w:val="3"/>
          </w:tcPr>
          <w:p>
            <w:pPr>
              <w:pStyle w:val="Compact"/>
              <w:jc w:val="left"/>
            </w:pPr>
            <w:r>
              <w:t xml:space="preserve">191</w:t>
            </w:r>
          </w:p>
        </w:tc>
        <w:tc>
          <w:tcPr>
            <w:gridSpan w:val="3"/>
          </w:tcPr>
          <w:p>
            <w:pPr>
              <w:pStyle w:val="Compact"/>
              <w:jc w:val="left"/>
            </w:pPr>
            <w:r>
              <w:t xml:space="preserve">191</w:t>
            </w:r>
          </w:p>
        </w:tc>
      </w:tr>
      <w:tr>
        <w:tc>
          <w:tcPr/>
          <w:p>
            <w:pPr>
              <w:pStyle w:val="Compact"/>
              <w:jc w:val="left"/>
            </w:pPr>
            <w:r>
              <w:t xml:space="preserve">R</w:t>
            </w:r>
            <w:r>
              <w:rPr>
                <w:vertAlign w:val="superscript"/>
              </w:rPr>
              <w:t xml:space="preserve">2</w:t>
            </w:r>
            <w:r>
              <w:t xml:space="preserve"> </w:t>
            </w:r>
            <w:r>
              <w:t xml:space="preserve">/ R</w:t>
            </w:r>
            <w:r>
              <w:rPr>
                <w:vertAlign w:val="superscript"/>
              </w:rPr>
              <w:t xml:space="preserve">2</w:t>
            </w:r>
            <w:r>
              <w:t xml:space="preserve"> </w:t>
            </w:r>
            <w:r>
              <w:t xml:space="preserve">adjusted</w:t>
            </w:r>
          </w:p>
        </w:tc>
        <w:tc>
          <w:tcPr>
            <w:gridSpan w:val="3"/>
          </w:tcPr>
          <w:p>
            <w:pPr>
              <w:pStyle w:val="Compact"/>
              <w:jc w:val="left"/>
            </w:pPr>
            <w:r>
              <w:t xml:space="preserve">0.381 / 0.336</w:t>
            </w:r>
          </w:p>
        </w:tc>
        <w:tc>
          <w:tcPr>
            <w:gridSpan w:val="3"/>
          </w:tcPr>
          <w:p>
            <w:pPr>
              <w:pStyle w:val="Compact"/>
              <w:jc w:val="left"/>
            </w:pPr>
            <w:r>
              <w:t xml:space="preserve">0.499 / 0.488</w:t>
            </w:r>
          </w:p>
        </w:tc>
        <w:tc>
          <w:tcPr>
            <w:gridSpan w:val="3"/>
          </w:tcPr>
          <w:p>
            <w:pPr>
              <w:pStyle w:val="Compact"/>
              <w:jc w:val="left"/>
            </w:pPr>
            <w:r>
              <w:t xml:space="preserve">0.469 / 0.458</w:t>
            </w:r>
          </w:p>
        </w:tc>
        <w:tc>
          <w:tcPr>
            <w:gridSpan w:val="3"/>
          </w:tcPr>
          <w:p>
            <w:pPr>
              <w:pStyle w:val="Compact"/>
              <w:jc w:val="left"/>
            </w:pPr>
            <w:r>
              <w:t xml:space="preserve">0.448 / 0.436</w:t>
            </w:r>
          </w:p>
        </w:tc>
      </w:tr>
    </w:tbl>
    <w:bookmarkEnd w:id="67"/>
    <w:p>
      <w:pPr>
        <w:pStyle w:val="AfterWithoutNote"/>
      </w:pPr>
      <w:r>
        <w:t xml:space="preserve">At the end of the event, we assessed three charitable behaviours supporting the charity</w:t>
      </w:r>
      <w:r>
        <w:t xml:space="preserve"> </w:t>
      </w:r>
      <w:r>
        <w:rPr>
          <w:i/>
          <w:iCs/>
        </w:rPr>
        <w:t xml:space="preserve">Innocence Canada</w:t>
      </w:r>
      <w:r>
        <w:t xml:space="preserve">. Among the participants who completed the event, 66 (73.33%) performed at least one behaviour: 50 participants took an</w:t>
      </w:r>
      <w:r>
        <w:t xml:space="preserve"> </w:t>
      </w:r>
      <w:r>
        <w:rPr>
          <w:i/>
          <w:iCs/>
        </w:rPr>
        <w:t xml:space="preserve">Innocence Canada</w:t>
      </w:r>
      <w:r>
        <w:t xml:space="preserve"> </w:t>
      </w:r>
      <w:r>
        <w:t xml:space="preserve">flyer, 30 signed up to their mailing list, and 9 made a donation, raising a total of CAD $192.09 (see</w:t>
      </w:r>
      <w:r>
        <w:t xml:space="preserve"> </w:t>
      </w:r>
      <w:hyperlink w:anchor="fig-waffle-behaviour">
        <w:r>
          <w:rPr>
            <w:rStyle w:val="Hyperlink"/>
          </w:rPr>
          <w:t xml:space="preserve">Figure 4</w:t>
        </w:r>
      </w:hyperlink>
      <w:r>
        <w:t xml:space="preserve">). To test whether participants’ charitable intentions were implemented in actual behaviour (Hypothesis 4), we calculated a sum score of behaviours for participants with applicable values (yes or no) on all three behaviours (</w:t>
      </w:r>
      <m:oMath>
        <m:r>
          <m:t>n</m:t>
        </m:r>
        <m:r>
          <m:rPr>
            <m:sty m:val="p"/>
          </m:rPr>
          <m:t>=</m:t>
        </m:r>
        <m:r>
          <m:t>58</m:t>
        </m:r>
      </m:oMath>
      <w:r>
        <w:t xml:space="preserve">). A logistic regression with the formula</w:t>
      </w:r>
      <w:r>
        <w:t xml:space="preserve"> </w:t>
      </w:r>
      <m:oMath>
        <m:r>
          <m:t>B</m:t>
        </m:r>
        <m:r>
          <m:t>e</m:t>
        </m:r>
        <m:r>
          <m:t>h</m:t>
        </m:r>
        <m:r>
          <m:t>a</m:t>
        </m:r>
        <m:r>
          <m:t>v</m:t>
        </m:r>
        <m:r>
          <m:t>i</m:t>
        </m:r>
        <m:r>
          <m:t>o</m:t>
        </m:r>
        <m:r>
          <m:t>u</m:t>
        </m:r>
        <m:r>
          <m:t>r</m:t>
        </m:r>
        <m:r>
          <m:t>s</m:t>
        </m:r>
        <m:r>
          <m:rPr>
            <m:sty m:val="p"/>
          </m:rPr>
          <m:t>∼</m:t>
        </m:r>
        <m:r>
          <m:t>A</m:t>
        </m:r>
        <m:r>
          <m:t>t</m:t>
        </m:r>
        <m:r>
          <m:t>t</m:t>
        </m:r>
        <m:r>
          <m:t>e</m:t>
        </m:r>
        <m:r>
          <m:t>n</m:t>
        </m:r>
        <m:r>
          <m:t>d</m:t>
        </m:r>
        <m:r>
          <m:t>a</m:t>
        </m:r>
        <m:r>
          <m:t>n</m:t>
        </m:r>
        <m:r>
          <m:t>c</m:t>
        </m:r>
        <m:r>
          <m:t>e</m:t>
        </m:r>
        <m:r>
          <m:rPr>
            <m:sty m:val="p"/>
          </m:rPr>
          <m:t>+</m:t>
        </m:r>
        <m:r>
          <m:t>O</m:t>
        </m:r>
        <m:r>
          <m:t>r</m:t>
        </m:r>
        <m:r>
          <m:t>d</m:t>
        </m:r>
        <m:r>
          <m:t>e</m:t>
        </m:r>
        <m:r>
          <m:t>r</m:t>
        </m:r>
        <m:r>
          <m:rPr>
            <m:sty m:val="p"/>
          </m:rPr>
          <m:t>+</m:t>
        </m:r>
        <m:r>
          <m:t>I</m:t>
        </m:r>
        <m:r>
          <m:t>n</m:t>
        </m:r>
        <m:r>
          <m:t>t</m:t>
        </m:r>
        <m:r>
          <m:t>e</m:t>
        </m:r>
        <m:r>
          <m:t>n</m:t>
        </m:r>
        <m:r>
          <m:t>t</m:t>
        </m:r>
        <m:r>
          <m:t>i</m:t>
        </m:r>
        <m:r>
          <m:t>o</m:t>
        </m:r>
        <m:r>
          <m:t>n</m:t>
        </m:r>
      </m:oMath>
      <w:r>
        <w:t xml:space="preserve"> </w:t>
      </w:r>
      <w:r>
        <w:t xml:space="preserve">revealed that in-person participants demonstrated more behaviours (</w:t>
      </w:r>
      <m:oMath>
        <m:r>
          <m:t>M</m:t>
        </m:r>
        <m:r>
          <m:rPr>
            <m:sty m:val="p"/>
          </m:rPr>
          <m:t>=</m:t>
        </m:r>
        <m:r>
          <m:t>1.27</m:t>
        </m:r>
      </m:oMath>
      <w:r>
        <w:t xml:space="preserve">,</w:t>
      </w:r>
      <w:r>
        <w:t xml:space="preserve"> </w:t>
      </w:r>
      <m:oMath>
        <m:r>
          <m:t>S</m:t>
        </m:r>
        <m:r>
          <m:t>D</m:t>
        </m:r>
        <m:r>
          <m:rPr>
            <m:sty m:val="p"/>
          </m:rPr>
          <m:t>=</m:t>
        </m:r>
        <m:r>
          <m:t>0.78</m:t>
        </m:r>
      </m:oMath>
      <w:r>
        <w:t xml:space="preserve">) than participants watching the livestream (</w:t>
      </w:r>
      <m:oMath>
        <m:r>
          <m:t>M</m:t>
        </m:r>
        <m:r>
          <m:rPr>
            <m:sty m:val="p"/>
          </m:rPr>
          <m:t>=</m:t>
        </m:r>
        <m:r>
          <m:t>0.72</m:t>
        </m:r>
      </m:oMath>
      <w:r>
        <w:t xml:space="preserve">,</w:t>
      </w:r>
      <w:r>
        <w:t xml:space="preserve"> </w:t>
      </w:r>
      <m:oMath>
        <m:r>
          <m:t>S</m:t>
        </m:r>
        <m:r>
          <m:t>D</m:t>
        </m:r>
        <m:r>
          <m:rPr>
            <m:sty m:val="p"/>
          </m:rPr>
          <m:t>=</m:t>
        </m:r>
        <m:r>
          <m:t>0.67</m:t>
        </m:r>
      </m:oMath>
      <w:r>
        <w:t xml:space="preserve">,</w:t>
      </w:r>
      <w:r>
        <w:t xml:space="preserve"> </w:t>
      </w:r>
      <m:oMath>
        <m:r>
          <m:t>O</m:t>
        </m:r>
        <m:r>
          <m:t>R</m:t>
        </m:r>
        <m:r>
          <m:rPr>
            <m:sty m:val="p"/>
          </m:rPr>
          <m:t>=</m:t>
        </m:r>
        <m:r>
          <m:t>2.28</m:t>
        </m:r>
      </m:oMath>
      <w:r>
        <w:t xml:space="preserve">, 95% CI [1.11, 4.69]). The sum of behaviours did not differ between participants who saw the film first (</w:t>
      </w:r>
      <m:oMath>
        <m:r>
          <m:t>M</m:t>
        </m:r>
        <m:r>
          <m:rPr>
            <m:sty m:val="p"/>
          </m:rPr>
          <m:t>=</m:t>
        </m:r>
        <m:r>
          <m:t>1.13</m:t>
        </m:r>
      </m:oMath>
      <w:r>
        <w:t xml:space="preserve">,</w:t>
      </w:r>
      <w:r>
        <w:t xml:space="preserve"> </w:t>
      </w:r>
      <m:oMath>
        <m:r>
          <m:t>S</m:t>
        </m:r>
        <m:r>
          <m:t>D</m:t>
        </m:r>
        <m:r>
          <m:rPr>
            <m:sty m:val="p"/>
          </m:rPr>
          <m:t>=</m:t>
        </m:r>
        <m:r>
          <m:t>0.81</m:t>
        </m:r>
      </m:oMath>
      <w:r>
        <w:t xml:space="preserve">) compared to those who saw the performance first (</w:t>
      </w:r>
      <m:oMath>
        <m:r>
          <m:t>M</m:t>
        </m:r>
        <m:r>
          <m:rPr>
            <m:sty m:val="p"/>
          </m:rPr>
          <m:t>=</m:t>
        </m:r>
        <m:r>
          <m:t>1.07</m:t>
        </m:r>
      </m:oMath>
      <w:r>
        <w:t xml:space="preserve">,</w:t>
      </w:r>
      <w:r>
        <w:t xml:space="preserve"> </w:t>
      </w:r>
      <m:oMath>
        <m:r>
          <m:t>S</m:t>
        </m:r>
        <m:r>
          <m:t>D</m:t>
        </m:r>
        <m:r>
          <m:rPr>
            <m:sty m:val="p"/>
          </m:rPr>
          <m:t>=</m:t>
        </m:r>
        <m:r>
          <m:t>0.78</m:t>
        </m:r>
      </m:oMath>
      <w:r>
        <w:t xml:space="preserve">,</w:t>
      </w:r>
      <w:r>
        <w:t xml:space="preserve"> </w:t>
      </w:r>
      <m:oMath>
        <m:r>
          <m:t>O</m:t>
        </m:r>
        <m:r>
          <m:t>R</m:t>
        </m:r>
        <m:r>
          <m:rPr>
            <m:sty m:val="p"/>
          </m:rPr>
          <m:t>=</m:t>
        </m:r>
        <m:r>
          <m:t>1.17</m:t>
        </m:r>
      </m:oMath>
      <w:r>
        <w:t xml:space="preserve">, 95% CI [0.68, 2.02]). Crucially, participants with higher intentions at the end of the event tended to demonstrate more behaviours (</w:t>
      </w:r>
      <m:oMath>
        <m:r>
          <m:t>O</m:t>
        </m:r>
        <m:r>
          <m:t>R</m:t>
        </m:r>
        <m:r>
          <m:rPr>
            <m:sty m:val="p"/>
          </m:rPr>
          <m:t>=</m:t>
        </m:r>
        <m:r>
          <m:t>3.12</m:t>
        </m:r>
      </m:oMath>
      <w:r>
        <w:t xml:space="preserve">, 95% CI [1.68, 5.8]), supporting Hypothesis 4. The model explained a behavioural variance of</w:t>
      </w:r>
      <w:r>
        <w:t xml:space="preserve"> </w:t>
      </w:r>
      <m:oMath>
        <m:sSubSup>
          <m:e>
            <m:r>
              <m:t>R</m:t>
            </m:r>
          </m:e>
          <m:sub>
            <m:r>
              <m:t>N</m:t>
            </m:r>
            <m:r>
              <m:t>a</m:t>
            </m:r>
            <m:r>
              <m:t>g</m:t>
            </m:r>
            <m:r>
              <m:t>e</m:t>
            </m:r>
            <m:r>
              <m:t>l</m:t>
            </m:r>
            <m:r>
              <m:t>k</m:t>
            </m:r>
            <m:r>
              <m:t>e</m:t>
            </m:r>
            <m:r>
              <m:t>r</m:t>
            </m:r>
            <m:r>
              <m:t>k</m:t>
            </m:r>
            <m:r>
              <m:t>e</m:t>
            </m:r>
          </m:sub>
          <m:sup>
            <m:r>
              <m:t>2</m:t>
            </m:r>
          </m:sup>
        </m:sSubSup>
        <m:r>
          <m:rPr>
            <m:sty m:val="p"/>
          </m:rPr>
          <m:t>=</m:t>
        </m:r>
        <m:r>
          <m:t>0.28</m:t>
        </m:r>
      </m:oMath>
      <w:r>
        <w:t xml:space="preserve">.</w:t>
      </w:r>
    </w:p>
    <w:bookmarkStart w:id="71" w:name="fig-waffle-behaviour"/>
    <w:p>
      <w:pPr>
        <w:pStyle w:val="FigureTitle"/>
      </w:pPr>
      <w:r>
        <w:t xml:space="preserve">Figure 4</w:t>
      </w:r>
    </w:p>
    <w:p>
      <w:pPr>
        <w:pStyle w:val="Caption"/>
      </w:pPr>
      <w:r>
        <w:t xml:space="preserve">Charitable Behaviour Counts</w:t>
      </w:r>
    </w:p>
    <w:p>
      <w:pPr>
        <w:pStyle w:val="FigureWithNote"/>
      </w:pPr>
      <w:r>
        <w:drawing>
          <wp:inline>
            <wp:extent cx="4160520" cy="4160520"/>
            <wp:effectExtent b="0" l="0" r="0" t="0"/>
            <wp:docPr descr="" title="" id="69" name="Picture"/>
            <a:graphic>
              <a:graphicData uri="http://schemas.openxmlformats.org/drawingml/2006/picture">
                <pic:pic>
                  <pic:nvPicPr>
                    <pic:cNvPr descr="Innocents_Prosociality_Manuscript_files/figure-docx/fig-waffle-behaviour-1.png" id="70" name="Picture"/>
                    <pic:cNvPicPr>
                      <a:picLocks noChangeArrowheads="1" noChangeAspect="1"/>
                    </pic:cNvPicPr>
                  </pic:nvPicPr>
                  <pic:blipFill>
                    <a:blip r:embed="rId68"/>
                    <a:stretch>
                      <a:fillRect/>
                    </a:stretch>
                  </pic:blipFill>
                  <pic:spPr bwMode="auto">
                    <a:xfrm>
                      <a:off x="0" y="0"/>
                      <a:ext cx="4160520" cy="4160520"/>
                    </a:xfrm>
                    <a:prstGeom prst="rect">
                      <a:avLst/>
                    </a:prstGeom>
                    <a:noFill/>
                    <a:ln w="9525">
                      <a:noFill/>
                      <a:headEnd/>
                      <a:tailEnd/>
                    </a:ln>
                  </pic:spPr>
                </pic:pic>
              </a:graphicData>
            </a:graphic>
          </wp:inline>
        </w:drawing>
      </w:r>
    </w:p>
    <w:bookmarkEnd w:id="71"/>
    <w:p>
      <w:pPr>
        <w:pStyle w:val="FigureNote"/>
      </w:pPr>
      <w:r>
        <w:rPr>
          <w:i/>
          <w:iCs/>
        </w:rPr>
        <w:t xml:space="preserve">Note</w:t>
      </w:r>
      <w:r>
        <w:t xml:space="preserve">. Split for in-person and livestream audiences of study 1, and film and performance audiences of study 2 (from left to right). Note that participants in study 1 who did not complete the event were excluded from this analysis. For mailing,</w:t>
      </w:r>
      <w:r>
        <w:t xml:space="preserve"> </w:t>
      </w:r>
      <w:r>
        <w:t xml:space="preserve">‘not applicable’</w:t>
      </w:r>
      <w:r>
        <w:t xml:space="preserve"> </w:t>
      </w:r>
      <w:r>
        <w:t xml:space="preserve">refers to participants who indicated that they were already signed up to the mailing list of the charity. For donation,</w:t>
      </w:r>
      <w:r>
        <w:t xml:space="preserve"> </w:t>
      </w:r>
      <w:r>
        <w:t xml:space="preserve">‘not applicable’</w:t>
      </w:r>
      <w:r>
        <w:t xml:space="preserve"> </w:t>
      </w:r>
      <w:r>
        <w:t xml:space="preserve">refers to participants who did not participate in the follow-up survey asking about donation behaviour.</w:t>
      </w:r>
    </w:p>
    <w:p>
      <w:pPr>
        <w:pStyle w:val="BodyText"/>
      </w:pPr>
      <w:r>
        <w:t xml:space="preserve">Given that the increases in participants’ charitable intentions throughout the event were small, we wanted to make sure that the event mattered at all for participants’ charitable behaviour, and that their behaviour was not already determined by their prior intentions. We thus compared the predictive power of intention before and after the event with two separate logistic regressions. Baseline intention significantly predicted the sum of behaviours, although with a smaller effect than intention at the end of the event (</w:t>
      </w:r>
      <m:oMath>
        <m:r>
          <m:t>O</m:t>
        </m:r>
        <m:r>
          <m:t>R</m:t>
        </m:r>
        <m:r>
          <m:rPr>
            <m:sty m:val="p"/>
          </m:rPr>
          <m:t>=</m:t>
        </m:r>
        <m:r>
          <m:t>2.02</m:t>
        </m:r>
      </m:oMath>
      <w:r>
        <w:t xml:space="preserve">, 95% CI [1.2, 3.39]). Importantly, baseline intention explained much less variance in behaviour (</w:t>
      </w:r>
      <m:oMath>
        <m:sSubSup>
          <m:e>
            <m:r>
              <m:t>R</m:t>
            </m:r>
          </m:e>
          <m:sub>
            <m:r>
              <m:t>N</m:t>
            </m:r>
            <m:r>
              <m:t>a</m:t>
            </m:r>
            <m:r>
              <m:t>g</m:t>
            </m:r>
            <m:r>
              <m:t>e</m:t>
            </m:r>
            <m:r>
              <m:t>l</m:t>
            </m:r>
            <m:r>
              <m:t>k</m:t>
            </m:r>
            <m:r>
              <m:t>e</m:t>
            </m:r>
            <m:r>
              <m:t>r</m:t>
            </m:r>
            <m:r>
              <m:t>k</m:t>
            </m:r>
            <m:r>
              <m:t>e</m:t>
            </m:r>
          </m:sub>
          <m:sup>
            <m:r>
              <m:t>2</m:t>
            </m:r>
          </m:sup>
        </m:sSubSup>
        <m:r>
          <m:rPr>
            <m:sty m:val="p"/>
          </m:rPr>
          <m:t>=</m:t>
        </m:r>
        <m:r>
          <m:t>0.14</m:t>
        </m:r>
      </m:oMath>
      <w:r>
        <w:t xml:space="preserve">) compared to intention at the end of the event.</w:t>
      </w:r>
    </w:p>
    <w:bookmarkEnd w:id="72"/>
    <w:bookmarkEnd w:id="73"/>
    <w:bookmarkStart w:id="74" w:name="discussion"/>
    <w:p>
      <w:pPr>
        <w:pStyle w:val="Heading2"/>
      </w:pPr>
      <w:r>
        <w:t xml:space="preserve">Discussion</w:t>
      </w:r>
    </w:p>
    <w:p>
      <w:pPr>
        <w:pStyle w:val="FirstParagraph"/>
      </w:pPr>
      <w:r>
        <w:t xml:space="preserve">In summary, the film and the performance increased participants’ closeness and empathy with a wrongfully imprisoned person, and problem awareness regarding wrongful imprisonment. Comparing the relevance of these variables revealed that empathy predicted charitable intentions, coherent with the empathy-altruism hypothesis. Intentions, in turn, predicted participants’ actual support of a charity fighting wrongful imprisonment. Contrary to our hypotheses, we found no differences between self-reports of in-person and livestream participants, suggesting that the event experience and its effects on cognitive and affective dimensions were not dependent on shared presence with other audience members or with the performers (in the case of the performance). Curiously, while livestream attendance had no effect on charitable intentions, it did predict less actual behaviour. It is possible that the intention-behaviour gap is larger when behaviour requires extra clicks to download a flyer or make a donation online as compared to in-person, where the invitation to take or give is directly accompanied by opportunities to do so. However, the reduced support of</w:t>
      </w:r>
      <w:r>
        <w:t xml:space="preserve"> </w:t>
      </w:r>
      <w:r>
        <w:rPr>
          <w:i/>
          <w:iCs/>
        </w:rPr>
        <w:t xml:space="preserve">Innocence Canada</w:t>
      </w:r>
      <w:r>
        <w:t xml:space="preserve"> </w:t>
      </w:r>
      <w:r>
        <w:t xml:space="preserve">might also be an artifact of the geographical distance between the Canadian charity and livestream participants across the world.</w:t>
      </w:r>
    </w:p>
    <w:p>
      <w:pPr>
        <w:pStyle w:val="BodyText"/>
      </w:pPr>
      <w:r>
        <w:t xml:space="preserve">Unexpectedly, we found that the film led to stronger increases in empathy and closeness compared to the performance. However, this difference between the stimuli might be confounded with the specific wrongfully imprisoned person towards whom empathy and closeness was assessed: The measures of empathy and closeness both require a reference person who is presented to the participants in a vignette and who the items refer to (e.g.,</w:t>
      </w:r>
      <w:r>
        <w:t xml:space="preserve"> </w:t>
      </w:r>
      <w:r>
        <w:t xml:space="preserve">“How compassionate do you feel when thinking of this person?”</w:t>
      </w:r>
      <w:r>
        <w:t xml:space="preserve">). In study 1, participants rated their empathy and closeness towards a vignette of Anna Vasquez as reference person, because her case, as presented in the film, lent itself well to using in the survey. We did not consider that participants would be exposed to Anna Vasquez and would become familiar with her during the film, in which she is one of the protagonists, but not during the performance, in which her name is only mentioned briefly. Since familiarity can influence empathy (CITE) and closeness (CITE), familiarity might confound the higher ratings in empathy and closeness after seeing the film.</w:t>
      </w:r>
    </w:p>
    <w:p>
      <w:pPr>
        <w:pStyle w:val="BodyText"/>
      </w:pPr>
      <w:r>
        <w:t xml:space="preserve">The film’s advantage in increasing empathy (or, potentially, familiarity) with Anna Vasquez, combined with our finding that empathy predicted the intention to support a related charity, raises another question: Did the film play a larger role in mobilizing supportive behaviour than the performance? The crossover design of study 1, where behaviour was assessed only once after seeing both stimuli, does not allow us to compare the behavioural effects of the film and the performance. Following these considerations, study 2 aims to address the potential confound of familiarity with Anna Vasquez and to disambiguate the behavioural effects of the two stimuli, while replicating the findings from the live concert setting in a larger-scale online study.</w:t>
      </w:r>
    </w:p>
    <w:bookmarkEnd w:id="74"/>
    <w:bookmarkEnd w:id="75"/>
    <w:bookmarkStart w:id="97" w:name="study-2"/>
    <w:p>
      <w:pPr>
        <w:pStyle w:val="Heading1"/>
      </w:pPr>
      <w:r>
        <w:t xml:space="preserve">Study 2</w:t>
      </w:r>
    </w:p>
    <w:p>
      <w:pPr>
        <w:pStyle w:val="FirstParagraph"/>
      </w:pPr>
      <w:r>
        <w:t xml:space="preserve">Given that in-person and livestream participants in study 1 reported comparable experiences, in study 2 we only recruited online participants. Participants were presented with either</w:t>
      </w:r>
      <w:r>
        <w:t xml:space="preserve"> </w:t>
      </w:r>
      <w:r>
        <w:rPr>
          <w:i/>
          <w:iCs/>
        </w:rPr>
        <w:t xml:space="preserve">The Innocents</w:t>
      </w:r>
      <w:r>
        <w:t xml:space="preserve"> </w:t>
      </w:r>
      <w:r>
        <w:t xml:space="preserve">film or performance and deceived into believing that they were watching a livestream in real time (rather than a recording), to mimic the live event character of study 1. This procedure allowed us to collect data over an extended time period, and thus to recruit a larger sample for a well-powered comparison between the two stimuli. The measures were mostly the same as in study 1, with additional empathy and closeness measures using a vignette of a hypothetical victim of wrongful imprisonment who appears neither in the film nor in the performance, to avoid familiarity with the rated person confounding the comparison between stimuli. We tested the following hypotheses, based on findings from study 1:</w:t>
      </w:r>
    </w:p>
    <w:p>
      <w:pPr>
        <w:pStyle w:val="Compact"/>
        <w:numPr>
          <w:ilvl w:val="0"/>
          <w:numId w:val="1002"/>
        </w:numPr>
      </w:pPr>
      <w:r>
        <w:rPr>
          <w:b/>
          <w:bCs/>
        </w:rPr>
        <w:t xml:space="preserve">Problem Awareness</w:t>
      </w:r>
      <w:r>
        <w:t xml:space="preserve">: Watching the film or the performance will afford similar increases.</w:t>
      </w:r>
    </w:p>
    <w:p>
      <w:pPr>
        <w:pStyle w:val="Compact"/>
        <w:numPr>
          <w:ilvl w:val="0"/>
          <w:numId w:val="1002"/>
        </w:numPr>
      </w:pPr>
      <w:r>
        <w:rPr>
          <w:b/>
          <w:bCs/>
        </w:rPr>
        <w:t xml:space="preserve">Closeness and empathy</w:t>
      </w:r>
      <w:r>
        <w:t xml:space="preserve">: The film will afford larger increases in closeness and empathy with Anna Vasquez. However, assuming that the difference in study 1 was confounded by familiarity, we expected that both stimuli would afford similar increases in closeness and empathy with a hypothetical victim (2a). We expected to replicate the study 1 finding that empathy predicts charitable intentions, but expected empathy with a hypothetical victim to be a stronger predictor than empathy with Anna Vasquez (2b).</w:t>
      </w:r>
    </w:p>
    <w:p>
      <w:pPr>
        <w:pStyle w:val="Compact"/>
        <w:numPr>
          <w:ilvl w:val="0"/>
          <w:numId w:val="1002"/>
        </w:numPr>
      </w:pPr>
      <w:r>
        <w:rPr>
          <w:b/>
          <w:bCs/>
        </w:rPr>
        <w:t xml:space="preserve">Charitable behaviour</w:t>
      </w:r>
      <w:r>
        <w:t xml:space="preserve">: Charitable intentions will predict actual behaviour in support of a charity that fights wrongful imprisonment (3a). If the film and the performance have comparable effects on empathy with a hypothetical victim and on charitable intentions, they will also have comparable effects on actual behaviour (3b).</w:t>
      </w:r>
    </w:p>
    <w:p>
      <w:pPr>
        <w:pStyle w:val="FirstParagraph"/>
      </w:pPr>
      <w:r>
        <w:t xml:space="preserve">Finally, we wanted to explore whether watching just one of the stimuli would be less effective than watching both the film and the performance. Therefore, we compared the results of study 2 with those of study 1, with the following hypotheses:</w:t>
      </w:r>
    </w:p>
    <w:p>
      <w:pPr>
        <w:pStyle w:val="Compact"/>
        <w:numPr>
          <w:ilvl w:val="0"/>
          <w:numId w:val="1003"/>
        </w:numPr>
      </w:pPr>
      <w:r>
        <w:t xml:space="preserve">Participants who only watched one stimulus (study 2) will report smaller increases in problem awareness, empathy, and closeness than participants having watched both stimuli (study 1).</w:t>
      </w:r>
    </w:p>
    <w:p>
      <w:pPr>
        <w:pStyle w:val="Compact"/>
        <w:numPr>
          <w:ilvl w:val="0"/>
          <w:numId w:val="1003"/>
        </w:numPr>
      </w:pPr>
      <w:r>
        <w:t xml:space="preserve">Participants who only watched one stimulus will perform less charitable behaviours than participants having watched both stimuli.</w:t>
      </w:r>
    </w:p>
    <w:bookmarkStart w:id="81" w:name="method-1"/>
    <w:p>
      <w:pPr>
        <w:pStyle w:val="Heading2"/>
      </w:pPr>
      <w:r>
        <w:t xml:space="preserve">Method</w:t>
      </w:r>
    </w:p>
    <w:p>
      <w:pPr>
        <w:pStyle w:val="FirstParagraph"/>
      </w:pPr>
      <w:r>
        <w:t xml:space="preserve">Study 2 manipulated one factor with two levels: Participants watched either the film or the performance. Accordingly, there were only two measurement time points, before and after watching. All participants watched a stream at home, so study 2 followed many of the same methods used for the livestream audience in study 1. The methods for study 2 were preregistered at OSF on June 18th, 2025 (see</w:t>
      </w:r>
      <w:r>
        <w:t xml:space="preserve"> </w:t>
      </w:r>
      <w:hyperlink r:id="rId76">
        <w:r>
          <w:rPr>
            <w:rStyle w:val="Hyperlink"/>
          </w:rPr>
          <w:t xml:space="preserve">https://osf.io/suyef/</w:t>
        </w:r>
      </w:hyperlink>
      <w:r>
        <w:t xml:space="preserve">), and any deviations from the preregistration are reported here. The OSF repository also contains the survey.</w:t>
      </w:r>
      <w:r>
        <w:t xml:space="preserve"> </w:t>
      </w:r>
    </w:p>
    <w:bookmarkStart w:id="77" w:name="participants-1"/>
    <w:p>
      <w:pPr>
        <w:pStyle w:val="Heading3"/>
      </w:pPr>
      <w:r>
        <w:t xml:space="preserve">Participants</w:t>
      </w:r>
    </w:p>
    <w:p>
      <w:pPr>
        <w:pStyle w:val="FirstParagraph"/>
      </w:pPr>
      <w:r>
        <w:t xml:space="preserve">For study 2, we recruited all participants through Prolific between June and November 2025. For the first half of the sample, the study was open Tuesday through Sunday evening roughly between 5:30 and 8:30 pm Eastern Time to imitate the conditions of a livestreamed event as in Study 1. Because this slowed the data collection more than anticipated, for the second half of the sample, participants could access the study at any time. Participants had to be between 18 and 60 years old, be fluent in English, have healthy hearing, watch the event without glasses (healthy vision or correction with contact lenses), have not seen the film or the performance before, and reside in Canada. We added the last requirement to match the area of activity of our partner charity, Innocence Canada. We aimed to recruit 200 participants, 100 per condition. A simulation-based power analysis indicated that this sample size would yield a 75% power to detect the most ambiguous effect from Study 1, the interaction of stimuli and time on empathic concern (see preregistration for details). A total of 388 participants started the study and 192 (19.48%) completed it. Among the complete participants, 5 (2.6%) revoked their consent at the time of the debriefing and 1 was excluded from the analysis because of issues with the stream not loading, resulting in a sample of 175 participants with 103 participants in the film and 100 in the performance condition. Upon completion of the study, participants were compensated with 6 GBP per hour, which was increased to 8 GBP for the last quarter of the sample to counteract the slowing recruitment.</w:t>
      </w:r>
    </w:p>
    <w:bookmarkEnd w:id="77"/>
    <w:bookmarkStart w:id="78" w:name="procedure-1"/>
    <w:p>
      <w:pPr>
        <w:pStyle w:val="Heading3"/>
      </w:pPr>
      <w:r>
        <w:t xml:space="preserve">Procedure</w:t>
      </w:r>
    </w:p>
    <w:p>
      <w:pPr>
        <w:pStyle w:val="FirstParagraph"/>
      </w:pPr>
      <w:r>
        <w:t xml:space="preserve">After giving informed consent, participants filled out a baseline survey assessing interpersonal closeness, state empathy, problem awareness, and behavioural intentions, as well as the other NAM-TPB variables and an affect measure. Participants then saw a recording of the event stream from Study 1, showing either the film (first half of the April 2nd, 2024, event) or the performance (first half of the April 4th event). However, they were told that they were watching a live event, to create a comparable experience to study 1. After the stream, participants rated their event experience and the same measures already assessed at baseline, and finally the person-level covariates. At the end, we asked participants what they thought the study investigated, and observed behaviour in support of</w:t>
      </w:r>
      <w:r>
        <w:t xml:space="preserve"> </w:t>
      </w:r>
      <w:r>
        <w:rPr>
          <w:i/>
          <w:iCs/>
        </w:rPr>
        <w:t xml:space="preserve">Innocence Canada</w:t>
      </w:r>
      <w:r>
        <w:t xml:space="preserve"> </w:t>
      </w:r>
      <w:r>
        <w:t xml:space="preserve">(see</w:t>
      </w:r>
      <w:r>
        <w:t xml:space="preserve"> </w:t>
      </w:r>
      <w:r>
        <w:rPr>
          <w:b/>
          <w:bCs/>
        </w:rPr>
        <w:t xml:space="preserve">?@fig-procedure-study2</w:t>
      </w:r>
      <w:r>
        <w:t xml:space="preserve">). As in study 1, since we could not observe donations directly, we asked participants about their donation behaviour in a brief follow-up survey a few weeks after their participation. Study 2 additionally included some new measures described in the next section, as well as some measures that were used to answer other research questions (see preregistration for details). The implementation of the web surveys and the integrated stream was identical to study 1. Study 2 was approved by the McMaster Research Ethics Board (#7202).</w:t>
      </w:r>
    </w:p>
    <w:p>
      <w:pPr>
        <w:pStyle w:val="BodyText"/>
      </w:pPr>
      <w:r>
        <w:t xml:space="preserve">Participants completed study 2 in one session, except for a few technical issues: Two participants filled out the pre-survey, but could not load the stream and therefore watched the stream and filled out the post-survey at second attempt a few days later. Five participants filled out the pre-survey and watched the stream, but had issues with the data upload after the stream and therefore filled out the post-survey at second attempt a few days later.</w:t>
      </w:r>
    </w:p>
    <w:bookmarkEnd w:id="78"/>
    <w:bookmarkStart w:id="79" w:name="measures-1"/>
    <w:p>
      <w:pPr>
        <w:pStyle w:val="Heading3"/>
      </w:pPr>
      <w:r>
        <w:t xml:space="preserve">Measures</w:t>
      </w:r>
    </w:p>
    <w:p>
      <w:pPr>
        <w:pStyle w:val="FirstParagraph"/>
      </w:pPr>
      <w:r>
        <w:t xml:space="preserve">Study 2 assessed the same measures as study 1 (interpersonal closeness, state empathy, the variables of the NAM and TPB, supportive behaviour, affect, event experience, and person-level covariates), except for the following changes:</w:t>
      </w:r>
    </w:p>
    <w:p>
      <w:pPr>
        <w:pStyle w:val="Heading4"/>
        <w:rPr>
          <w:vanish/>
          <w:specVanish/>
        </w:rPr>
      </w:pPr>
      <w:r>
        <w:t>Interpersonal closeness.</w:t>
      </w:r>
      <w:r>
        <w:t xml:space="preserve"> </w:t>
      </w:r>
    </w:p>
    <w:p>
      <w:pPr>
        <w:pStyle w:val="BodyText"/>
      </w:pPr>
      <w:r>
        <w:t xml:space="preserve">As in study 1, we measured interpersonal closeness with the IOS scale</w:t>
      </w:r>
      <w:r>
        <w:t xml:space="preserve"> </w:t>
      </w:r>
      <w:r>
        <w:t xml:space="preserve">(</w:t>
      </w:r>
      <w:hyperlink w:anchor="ref-aron1992">
        <w:r>
          <w:rPr>
            <w:rStyle w:val="Hyperlink"/>
          </w:rPr>
          <w:t xml:space="preserve">Aron et al., 1992</w:t>
        </w:r>
      </w:hyperlink>
      <w:r>
        <w:t xml:space="preserve">)</w:t>
      </w:r>
      <w:r>
        <w:t xml:space="preserve">, rated for the same target persons/groups. In addition, participants were asked to imagine an acquaintance and prompted to describe them to make sure they were visualizing a person they actually know</w:t>
      </w:r>
      <w:r>
        <w:t xml:space="preserve"> </w:t>
      </w:r>
      <w:r>
        <w:t xml:space="preserve">(</w:t>
      </w:r>
      <w:hyperlink w:anchor="ref-cialdini1997">
        <w:r>
          <w:rPr>
            <w:rStyle w:val="Hyperlink"/>
          </w:rPr>
          <w:t xml:space="preserve">Cialdini et al., 1997</w:t>
        </w:r>
      </w:hyperlink>
      <w:r>
        <w:t xml:space="preserve">)</w:t>
      </w:r>
      <w:r>
        <w:t xml:space="preserve">. Participants were then asked to imagine that this acquaintance fell victim to wrongful imprisonment (the vignette was modeled after a real case,</w:t>
      </w:r>
      <w:r>
        <w:t xml:space="preserve"> </w:t>
      </w:r>
      <w:r>
        <w:t xml:space="preserve">Verschwele (</w:t>
      </w:r>
      <w:hyperlink w:anchor="ref-verschwele2020">
        <w:r>
          <w:rPr>
            <w:rStyle w:val="Hyperlink"/>
          </w:rPr>
          <w:t xml:space="preserve">2020</w:t>
        </w:r>
      </w:hyperlink>
      <w:r>
        <w:t xml:space="preserve">)</w:t>
      </w:r>
      <w:r>
        <w:t xml:space="preserve">; for the full vignette see the OSF repository), and rated their closeness with the acquaintance.</w:t>
      </w:r>
    </w:p>
    <w:p>
      <w:pPr>
        <w:pStyle w:val="Heading4"/>
        <w:rPr>
          <w:vanish/>
          <w:specVanish/>
        </w:rPr>
      </w:pPr>
      <w:r>
        <w:t>State empathy.</w:t>
      </w:r>
      <w:r>
        <w:t xml:space="preserve"> </w:t>
      </w:r>
    </w:p>
    <w:p>
      <w:pPr>
        <w:pStyle w:val="BodyText"/>
      </w:pPr>
      <w:r>
        <w:t xml:space="preserve">As in study 1, participants read a vignette about the wrongful imprisonment of Anna Vasquez and rated their empathic concern and personal distress using the Empathic Concern Index</w:t>
      </w:r>
      <w:r>
        <w:t xml:space="preserve"> </w:t>
      </w:r>
      <w:r>
        <w:t xml:space="preserve">(</w:t>
      </w:r>
      <w:hyperlink w:anchor="ref-batson1987">
        <w:r>
          <w:rPr>
            <w:rStyle w:val="Hyperlink"/>
          </w:rPr>
          <w:t xml:space="preserve">Batson, 1987</w:t>
        </w:r>
      </w:hyperlink>
      <w:r>
        <w:t xml:space="preserve">)</w:t>
      </w:r>
      <w:r>
        <w:t xml:space="preserve">. In addition, the Empathic Concern Index was also administered after the vignette about the hypothetical wrongful imprisonment of the participant’s acquaintance.</w:t>
      </w:r>
    </w:p>
    <w:p>
      <w:pPr>
        <w:pStyle w:val="Heading4"/>
        <w:rPr>
          <w:vanish/>
          <w:specVanish/>
        </w:rPr>
      </w:pPr>
      <w:r>
        <w:t>Problem awareness.</w:t>
      </w:r>
      <w:r>
        <w:t xml:space="preserve"> </w:t>
      </w:r>
    </w:p>
    <w:p>
      <w:pPr>
        <w:pStyle w:val="BodyText"/>
      </w:pPr>
      <w:r>
        <w:t xml:space="preserve">Problem awareness and the other NAM and TPB variables were assessed using the same self-worded instrument from study 1. The only change was in the items measuring behavioural intentions: Rather than naming</w:t>
      </w:r>
      <w:r>
        <w:t xml:space="preserve"> </w:t>
      </w:r>
      <w:r>
        <w:rPr>
          <w:i/>
          <w:iCs/>
        </w:rPr>
        <w:t xml:space="preserve">Innocence Canada,</w:t>
      </w:r>
      <w:r>
        <w:t xml:space="preserve"> </w:t>
      </w:r>
      <w:r>
        <w:t xml:space="preserve">we asked about participants’ intentions to join the mailing list and donate to</w:t>
      </w:r>
      <w:r>
        <w:t xml:space="preserve"> </w:t>
      </w:r>
      <w:r>
        <w:t xml:space="preserve">“an organization that fights wrongful imprisonment”</w:t>
      </w:r>
      <w:r>
        <w:t xml:space="preserve">. Our partner organization</w:t>
      </w:r>
      <w:r>
        <w:t xml:space="preserve"> </w:t>
      </w:r>
      <w:r>
        <w:rPr>
          <w:i/>
          <w:iCs/>
        </w:rPr>
        <w:t xml:space="preserve">Innocence Canada</w:t>
      </w:r>
      <w:r>
        <w:t xml:space="preserve"> </w:t>
      </w:r>
      <w:r>
        <w:t xml:space="preserve">was only presented at the end of the study, when assessing actual behaviour, to reduce the risk of participants looking up the organization and engaging in any of the behaviours beforehand.</w:t>
      </w:r>
    </w:p>
    <w:p>
      <w:pPr>
        <w:pStyle w:val="Heading4"/>
        <w:rPr>
          <w:vanish/>
          <w:specVanish/>
        </w:rPr>
      </w:pPr>
      <w:r>
        <w:t>Event experience.</w:t>
      </w:r>
      <w:r>
        <w:t xml:space="preserve"> </w:t>
      </w:r>
    </w:p>
    <w:p>
      <w:pPr>
        <w:pStyle w:val="BodyText"/>
      </w:pPr>
      <w:r>
        <w:t xml:space="preserve">To check whether participants were successfully deceived into believing they saw a livestream in real time, we added a scale assessing participants’ social and physical sense of presence</w:t>
      </w:r>
      <w:r>
        <w:t xml:space="preserve"> </w:t>
      </w:r>
      <w:r>
        <w:t xml:space="preserve">(</w:t>
      </w:r>
      <w:hyperlink w:anchor="ref-swarbrick2021">
        <w:r>
          <w:rPr>
            <w:rStyle w:val="Hyperlink"/>
          </w:rPr>
          <w:t xml:space="preserve">Swarbrick et al., 2021</w:t>
        </w:r>
      </w:hyperlink>
      <w:r>
        <w:t xml:space="preserve">)</w:t>
      </w:r>
      <w:r>
        <w:t xml:space="preserve">, measured with 7 items that were rated on a 7-point scale ranging from 1 (</w:t>
      </w:r>
      <w:r>
        <w:t xml:space="preserve">“disagree strongly”</w:t>
      </w:r>
      <w:r>
        <w:t xml:space="preserve">) to 7 (</w:t>
      </w:r>
      <w:r>
        <w:t xml:space="preserve">“agree strongly”</w:t>
      </w:r>
      <w:r>
        <w:t xml:space="preserve">). As opposed to study 1, we asked participants in both conditions (not just for the performance) to describe the stimulus they had seen in up to ten of their own words. Given that participants only saw one of the two stimuli, we removed the question whether participants liked the order of film and performance. We further added scales measuring aesthetic emotions, immersion, and live music experience, which were assessed for a different research question and will not be analyzed in this study.</w:t>
      </w:r>
    </w:p>
    <w:p>
      <w:pPr>
        <w:pStyle w:val="Heading4"/>
        <w:rPr>
          <w:vanish/>
          <w:specVanish/>
        </w:rPr>
      </w:pPr>
      <w:r>
        <w:t>Person-level covariates.</w:t>
      </w:r>
      <w:r>
        <w:t xml:space="preserve"> </w:t>
      </w:r>
    </w:p>
    <w:p>
      <w:pPr>
        <w:pStyle w:val="BodyText"/>
      </w:pPr>
      <w:r>
        <w:t xml:space="preserve">Because all participants were recruited through Prolific, rather than self-initiatively buying a ticket to the event, we did not ask participants for their motivation to attend, nor for their personal relationship with the researchers or the artists. To shorten the post-survey, we abridged the trait empathy measure, which had not shown consistent associations with supportive behaviour or its predictors in study 1. In the question about participants’ identity, we added an option for religious minorities.</w:t>
      </w:r>
    </w:p>
    <w:bookmarkEnd w:id="79"/>
    <w:bookmarkStart w:id="80" w:name="analysis-1"/>
    <w:p>
      <w:pPr>
        <w:pStyle w:val="Heading3"/>
      </w:pPr>
      <w:r>
        <w:t xml:space="preserve">Analysis</w:t>
      </w:r>
    </w:p>
    <w:p>
      <w:pPr>
        <w:pStyle w:val="FirstParagraph"/>
      </w:pPr>
      <w:r>
        <w:t xml:space="preserve">Pre-processing was the same as in study 1, excluding no participants for rushing and excluding out of (7.31%) responses due to a lack of variance in response patterns (for this study, we calculated variance per survey page rather than per instrument).</w:t>
      </w:r>
    </w:p>
    <w:p>
      <w:pPr>
        <w:pStyle w:val="BodyText"/>
      </w:pPr>
      <w:r>
        <w:t xml:space="preserve">To evaluate changes in closeness and empathy towards Anna Vasquez and towards the hypothetical victim and changes in problem awareness, we fitted separate LMMs with stimulus and time as fixed effects and participant as random effect, using the same specifications as in study 1. Given the simpler pre-post-design, baseline ratings were not added as a covariate, but instead reflected one of the two levels of the factor time. As in study 1, the influence of the self-reported outcomes on behavioural intention was evaluated with a multiple linear regression, and the influence of intention on observed behaviour was evaluated with an ordinal logistic regression. To compare the effects of watching one stimulus in study 2 with the effects of watching both stimuli in study 1, we pooled the pre-post data from both studies (disregarding the responses collected at intermission in study 1) and fitted LMMs for the continuous self-reported outcomes with study and time as fixed effects and participant as random effect, and a Wilcoxon rank-sum test for the sum of behaviours participants engaged in.</w:t>
      </w:r>
    </w:p>
    <w:bookmarkEnd w:id="80"/>
    <w:bookmarkEnd w:id="81"/>
    <w:bookmarkStart w:id="95" w:name="results-1"/>
    <w:p>
      <w:pPr>
        <w:pStyle w:val="Heading2"/>
      </w:pPr>
      <w:r>
        <w:t xml:space="preserve">Results</w:t>
      </w:r>
    </w:p>
    <w:p>
      <w:pPr>
        <w:pStyle w:val="FirstParagraph"/>
      </w:pPr>
      <w:r>
        <w:t xml:space="preserve">TODO report sense of presence</w:t>
      </w:r>
    </w:p>
    <w:p>
      <w:pPr>
        <w:pStyle w:val="BodyText"/>
      </w:pPr>
      <w:r>
        <w:t xml:space="preserve">As in study 1, participants’ positivity (</w:t>
      </w:r>
      <m:oMath>
        <m:r>
          <m:t>M</m:t>
        </m:r>
        <m:r>
          <m:rPr>
            <m:sty m:val="p"/>
          </m:rPr>
          <m:t>=</m:t>
        </m:r>
        <m:r>
          <m:rPr>
            <m:sty m:val="p"/>
          </m:rPr>
          <m:t>−</m:t>
        </m:r>
        <m:r>
          <m:t>0.74</m:t>
        </m:r>
      </m:oMath>
      <w:r>
        <w:t xml:space="preserve">,</w:t>
      </w:r>
      <w:r>
        <w:t xml:space="preserve"> </w:t>
      </w:r>
      <m:oMath>
        <m:r>
          <m:t>S</m:t>
        </m:r>
        <m:r>
          <m:t>D</m:t>
        </m:r>
        <m:r>
          <m:rPr>
            <m:sty m:val="p"/>
          </m:rPr>
          <m:t>=</m:t>
        </m:r>
        <m:r>
          <m:t>1.69</m:t>
        </m:r>
      </m:oMath>
      <w:r>
        <w:t xml:space="preserve">), relaxation (</w:t>
      </w:r>
      <m:oMath>
        <m:r>
          <m:t>M</m:t>
        </m:r>
        <m:r>
          <m:rPr>
            <m:sty m:val="p"/>
          </m:rPr>
          <m:t>=</m:t>
        </m:r>
        <m:r>
          <m:rPr>
            <m:sty m:val="p"/>
          </m:rPr>
          <m:t>−</m:t>
        </m:r>
        <m:r>
          <m:t>0.87</m:t>
        </m:r>
      </m:oMath>
      <w:r>
        <w:t xml:space="preserve">,</w:t>
      </w:r>
      <w:r>
        <w:t xml:space="preserve"> </w:t>
      </w:r>
      <m:oMath>
        <m:r>
          <m:t>S</m:t>
        </m:r>
        <m:r>
          <m:t>D</m:t>
        </m:r>
        <m:r>
          <m:rPr>
            <m:sty m:val="p"/>
          </m:rPr>
          <m:t>=</m:t>
        </m:r>
        <m:r>
          <m:t>1.87</m:t>
        </m:r>
      </m:oMath>
      <w:r>
        <w:t xml:space="preserve">), and alertness (</w:t>
      </w:r>
      <m:oMath>
        <m:r>
          <m:t>M</m:t>
        </m:r>
        <m:r>
          <m:rPr>
            <m:sty m:val="p"/>
          </m:rPr>
          <m:t>=</m:t>
        </m:r>
        <m:r>
          <m:rPr>
            <m:sty m:val="p"/>
          </m:rPr>
          <m:t>−</m:t>
        </m:r>
        <m:r>
          <m:t>1.46</m:t>
        </m:r>
      </m:oMath>
      <w:r>
        <w:t xml:space="preserve">,</w:t>
      </w:r>
      <w:r>
        <w:t xml:space="preserve"> </w:t>
      </w:r>
      <m:oMath>
        <m:r>
          <m:t>S</m:t>
        </m:r>
        <m:r>
          <m:t>D</m:t>
        </m:r>
        <m:r>
          <m:rPr>
            <m:sty m:val="p"/>
          </m:rPr>
          <m:t>=</m:t>
        </m:r>
        <m:r>
          <m:t>1.6</m:t>
        </m:r>
      </m:oMath>
      <w:r>
        <w:t xml:space="preserve">) tended to decrease throughout the event. Even though the event was half the length of the original one in study 1, decreases in relaxation and alertness were even larger in study 2 and participants had a stronger tendency to rate the event as too long</w:t>
      </w:r>
      <w:r>
        <w:t xml:space="preserve"> </w:t>
      </w:r>
      <m:oMath>
        <m:r>
          <m:t>M</m:t>
        </m:r>
        <m:r>
          <m:rPr>
            <m:sty m:val="p"/>
          </m:rPr>
          <m:t>=</m:t>
        </m:r>
        <m:r>
          <m:t>1.47</m:t>
        </m:r>
      </m:oMath>
      <w:r>
        <w:t xml:space="preserve">,</w:t>
      </w:r>
      <w:r>
        <w:t xml:space="preserve"> </w:t>
      </w:r>
      <m:oMath>
        <m:r>
          <m:t>S</m:t>
        </m:r>
        <m:r>
          <m:t>D</m:t>
        </m:r>
        <m:r>
          <m:rPr>
            <m:sty m:val="p"/>
          </m:rPr>
          <m:t>=</m:t>
        </m:r>
        <m:r>
          <m:t>1.04</m:t>
        </m:r>
      </m:oMath>
      <w:r>
        <w:t xml:space="preserve">. Nonetheless, participants reported attentiveness (</w:t>
      </w:r>
      <m:oMath>
        <m:r>
          <m:t>M</m:t>
        </m:r>
        <m:r>
          <m:rPr>
            <m:sty m:val="p"/>
          </m:rPr>
          <m:t>=</m:t>
        </m:r>
        <m:r>
          <m:t>5.41</m:t>
        </m:r>
      </m:oMath>
      <w:r>
        <w:t xml:space="preserve">,</w:t>
      </w:r>
      <w:r>
        <w:t xml:space="preserve"> </w:t>
      </w:r>
      <m:oMath>
        <m:r>
          <m:t>S</m:t>
        </m:r>
        <m:r>
          <m:t>D</m:t>
        </m:r>
        <m:r>
          <m:rPr>
            <m:sty m:val="p"/>
          </m:rPr>
          <m:t>=</m:t>
        </m:r>
        <m:r>
          <m:t>1.23</m:t>
        </m:r>
      </m:oMath>
      <w:r>
        <w:t xml:space="preserve">) and insightfulness (</w:t>
      </w:r>
      <m:oMath>
        <m:r>
          <m:t>M</m:t>
        </m:r>
        <m:r>
          <m:rPr>
            <m:sty m:val="p"/>
          </m:rPr>
          <m:t>=</m:t>
        </m:r>
        <m:r>
          <m:t>4.55</m:t>
        </m:r>
      </m:oMath>
      <w:r>
        <w:t xml:space="preserve">,</w:t>
      </w:r>
      <w:r>
        <w:t xml:space="preserve"> </w:t>
      </w:r>
      <m:oMath>
        <m:r>
          <m:t>S</m:t>
        </m:r>
        <m:r>
          <m:t>D</m:t>
        </m:r>
        <m:r>
          <m:rPr>
            <m:sty m:val="p"/>
          </m:rPr>
          <m:t>=</m:t>
        </m:r>
        <m:r>
          <m:t>1.7</m:t>
        </m:r>
      </m:oMath>
      <w:r>
        <w:t xml:space="preserve">) at similarly high levels as in study 1, and only slightly lower levels of interest (</w:t>
      </w:r>
      <m:oMath>
        <m:r>
          <m:t>M</m:t>
        </m:r>
        <m:r>
          <m:rPr>
            <m:sty m:val="p"/>
          </m:rPr>
          <m:t>=</m:t>
        </m:r>
        <m:r>
          <m:t>4.44</m:t>
        </m:r>
      </m:oMath>
      <w:r>
        <w:t xml:space="preserve">,</w:t>
      </w:r>
      <w:r>
        <w:t xml:space="preserve"> </w:t>
      </w:r>
      <m:oMath>
        <m:r>
          <m:t>S</m:t>
        </m:r>
        <m:r>
          <m:t>D</m:t>
        </m:r>
        <m:r>
          <m:rPr>
            <m:sty m:val="p"/>
          </m:rPr>
          <m:t>=</m:t>
        </m:r>
        <m:r>
          <m:t>1.89</m:t>
        </m:r>
      </m:oMath>
      <w:r>
        <w:t xml:space="preserve">), enjoyment (</w:t>
      </w:r>
      <m:oMath>
        <m:r>
          <m:t>M</m:t>
        </m:r>
        <m:r>
          <m:rPr>
            <m:sty m:val="p"/>
          </m:rPr>
          <m:t>=</m:t>
        </m:r>
        <m:r>
          <m:t>4.2</m:t>
        </m:r>
      </m:oMath>
      <w:r>
        <w:t xml:space="preserve">,</w:t>
      </w:r>
      <w:r>
        <w:t xml:space="preserve"> </w:t>
      </w:r>
      <m:oMath>
        <m:r>
          <m:t>S</m:t>
        </m:r>
        <m:r>
          <m:t>D</m:t>
        </m:r>
        <m:r>
          <m:rPr>
            <m:sty m:val="p"/>
          </m:rPr>
          <m:t>=</m:t>
        </m:r>
        <m:r>
          <m:t>1.93</m:t>
        </m:r>
      </m:oMath>
      <w:r>
        <w:t xml:space="preserve">), and feeling moved (</w:t>
      </w:r>
      <m:oMath>
        <m:r>
          <m:t>M</m:t>
        </m:r>
        <m:r>
          <m:rPr>
            <m:sty m:val="p"/>
          </m:rPr>
          <m:t>=</m:t>
        </m:r>
        <m:r>
          <m:t>4.21</m:t>
        </m:r>
      </m:oMath>
      <w:r>
        <w:t xml:space="preserve">,</w:t>
      </w:r>
      <w:r>
        <w:t xml:space="preserve"> </w:t>
      </w:r>
      <m:oMath>
        <m:r>
          <m:t>S</m:t>
        </m:r>
        <m:r>
          <m:t>D</m:t>
        </m:r>
        <m:r>
          <m:rPr>
            <m:sty m:val="p"/>
          </m:rPr>
          <m:t>=</m:t>
        </m:r>
        <m:r>
          <m:t>1.94</m:t>
        </m:r>
      </m:oMath>
      <w:r>
        <w:t xml:space="preserve">). The self-reported event experience did not differ between participants who watched the film or the performance. Thus, study 2 provided a comparable experience to study 1.</w:t>
      </w:r>
    </w:p>
    <w:bookmarkStart w:id="82" w:name="awareness-1"/>
    <w:p>
      <w:pPr>
        <w:pStyle w:val="Heading3"/>
      </w:pPr>
      <w:r>
        <w:t xml:space="preserve">Awareness</w:t>
      </w:r>
    </w:p>
    <w:p>
      <w:pPr>
        <w:pStyle w:val="FirstParagraph"/>
      </w:pPr>
      <w:r>
        <w:t xml:space="preserve">As opposed to study 1, openness and political orientation had associations smaller than</w:t>
      </w:r>
      <w:r>
        <w:t xml:space="preserve"> </w:t>
      </w:r>
      <m:oMath>
        <m:r>
          <m:t>r</m:t>
        </m:r>
        <m:r>
          <m:rPr>
            <m:sty m:val="p"/>
          </m:rPr>
          <m:t>=</m:t>
        </m:r>
        <m:r>
          <m:t>.3</m:t>
        </m:r>
      </m:oMath>
      <w:r>
        <w:t xml:space="preserve"> </w:t>
      </w:r>
      <w:r>
        <w:t xml:space="preserve">with problem awareness and were not included as covariates in the model. Consistent with study 1, the model</w:t>
      </w:r>
      <w:r>
        <w:t xml:space="preserve"> </w:t>
      </w:r>
      <m:oMath>
        <m:r>
          <m:t>A</m:t>
        </m:r>
        <m:r>
          <m:t>w</m:t>
        </m:r>
        <m:r>
          <m:t>a</m:t>
        </m:r>
        <m:r>
          <m:t>r</m:t>
        </m:r>
        <m:r>
          <m:t>e</m:t>
        </m:r>
        <m:r>
          <m:t>n</m:t>
        </m:r>
        <m:r>
          <m:t>e</m:t>
        </m:r>
        <m:r>
          <m:t>s</m:t>
        </m:r>
        <m:r>
          <m:t>s</m:t>
        </m:r>
        <m:r>
          <m:rPr>
            <m:sty m:val="p"/>
          </m:rPr>
          <m:t>∼</m:t>
        </m:r>
        <m:r>
          <m:t>S</m:t>
        </m:r>
        <m:r>
          <m:t>t</m:t>
        </m:r>
        <m:r>
          <m:t>i</m:t>
        </m:r>
        <m:r>
          <m:t>m</m:t>
        </m:r>
        <m:r>
          <m:t>u</m:t>
        </m:r>
        <m:r>
          <m:t>l</m:t>
        </m:r>
        <m:r>
          <m:t>u</m:t>
        </m:r>
        <m:r>
          <m:t>s</m:t>
        </m:r>
        <m:r>
          <m:rPr>
            <m:sty m:val="p"/>
          </m:rPr>
          <m:t>*</m:t>
        </m:r>
        <m:r>
          <m:t>T</m:t>
        </m:r>
        <m:r>
          <m:t>i</m:t>
        </m:r>
        <m:r>
          <m:t>m</m:t>
        </m:r>
        <m:r>
          <m:t>e</m:t>
        </m:r>
        <m:r>
          <m:rPr>
            <m:sty m:val="p"/>
          </m:rPr>
          <m:t>+</m:t>
        </m:r>
        <m:d>
          <m:dPr>
            <m:begChr m:val="("/>
            <m:sepChr m:val=""/>
            <m:endChr m:val=")"/>
            <m:grow/>
          </m:dPr>
          <m:e>
            <m:r>
              <m:t>1</m:t>
            </m:r>
            <m:r>
              <m:rPr>
                <m:sty m:val="p"/>
              </m:rPr>
              <m:t>|</m:t>
            </m:r>
            <m:r>
              <m:t>P</m:t>
            </m:r>
            <m:r>
              <m:t>a</m:t>
            </m:r>
            <m:r>
              <m:t>r</m:t>
            </m:r>
            <m:r>
              <m:t>t</m:t>
            </m:r>
            <m:r>
              <m:t>i</m:t>
            </m:r>
            <m:r>
              <m:t>c</m:t>
            </m:r>
            <m:r>
              <m:t>i</m:t>
            </m:r>
            <m:r>
              <m:t>p</m:t>
            </m:r>
            <m:r>
              <m:t>a</m:t>
            </m:r>
            <m:r>
              <m:t>n</m:t>
            </m:r>
            <m:r>
              <m:t>t</m:t>
            </m:r>
          </m:e>
        </m:d>
      </m:oMath>
      <w:r>
        <w:t xml:space="preserve"> </w:t>
      </w:r>
      <w:r>
        <w:t xml:space="preserve">yielded the hypothesized small effect of time</w:t>
      </w:r>
      <w:r>
        <w:t xml:space="preserve"> </w:t>
      </w:r>
      <m:oMath>
        <m:r>
          <m:t>β</m:t>
        </m:r>
        <m:r>
          <m:rPr>
            <m:sty m:val="p"/>
          </m:rPr>
          <m:t>=</m:t>
        </m:r>
        <m:r>
          <m:t>0.15</m:t>
        </m:r>
      </m:oMath>
      <w:r>
        <w:t xml:space="preserve">,</w:t>
      </w:r>
      <w:r>
        <w:t xml:space="preserve"> </w:t>
      </w:r>
      <m:oMath>
        <m:r>
          <m:t>t</m:t>
        </m:r>
        <m:d>
          <m:dPr>
            <m:begChr m:val="("/>
            <m:sepChr m:val=""/>
            <m:endChr m:val=")"/>
            <m:grow/>
          </m:dPr>
          <m:e>
            <m:r>
              <m:t>199</m:t>
            </m:r>
          </m:e>
        </m:d>
        <m:r>
          <m:rPr>
            <m:sty m:val="p"/>
          </m:rPr>
          <m:t>=</m:t>
        </m:r>
        <m:r>
          <m:t>6.3</m:t>
        </m:r>
      </m:oMath>
      <w:r>
        <w:t xml:space="preserve">,</w:t>
      </w:r>
      <w:r>
        <w:t xml:space="preserve"> </w:t>
      </w:r>
      <m:oMath>
        <m:r>
          <m:t>p</m:t>
        </m:r>
        <m:r>
          <m:rPr>
            <m:sty m:val="p"/>
          </m:rPr>
          <m:t>&lt;</m:t>
        </m:r>
        <m:r>
          <m:t>.001</m:t>
        </m:r>
      </m:oMath>
      <w:r>
        <w:t xml:space="preserve">,</w:t>
      </w:r>
      <w:r>
        <w:t xml:space="preserve"> </w:t>
      </w:r>
      <m:oMath>
        <m:r>
          <m:t>d</m:t>
        </m:r>
        <m:r>
          <m:rPr>
            <m:sty m:val="p"/>
          </m:rPr>
          <m:t>=</m:t>
        </m:r>
        <m:r>
          <m:t>0.32</m:t>
        </m:r>
      </m:oMath>
      <w:r>
        <w:t xml:space="preserve">, with participants reporting higher problem awareness after the event (</w:t>
      </w:r>
      <m:oMath>
        <m:r>
          <m:t>M</m:t>
        </m:r>
        <m:r>
          <m:rPr>
            <m:sty m:val="p"/>
          </m:rPr>
          <m:t>=</m:t>
        </m:r>
        <m:r>
          <m:t>5.42</m:t>
        </m:r>
      </m:oMath>
      <w:r>
        <w:t xml:space="preserve">,</w:t>
      </w:r>
      <w:r>
        <w:t xml:space="preserve"> </w:t>
      </w:r>
      <m:oMath>
        <m:r>
          <m:t>S</m:t>
        </m:r>
        <m:r>
          <m:t>D</m:t>
        </m:r>
        <m:r>
          <m:rPr>
            <m:sty m:val="p"/>
          </m:rPr>
          <m:t>=</m:t>
        </m:r>
        <m:r>
          <m:t>0.98</m:t>
        </m:r>
      </m:oMath>
      <w:r>
        <w:t xml:space="preserve">) than before (</w:t>
      </w:r>
      <m:oMath>
        <m:r>
          <m:t>M</m:t>
        </m:r>
        <m:r>
          <m:rPr>
            <m:sty m:val="p"/>
          </m:rPr>
          <m:t>=</m:t>
        </m:r>
        <m:r>
          <m:t>5.11</m:t>
        </m:r>
      </m:oMath>
      <w:r>
        <w:t xml:space="preserve">,</w:t>
      </w:r>
      <w:r>
        <w:t xml:space="preserve"> </w:t>
      </w:r>
      <m:oMath>
        <m:r>
          <m:t>S</m:t>
        </m:r>
        <m:r>
          <m:t>D</m:t>
        </m:r>
        <m:r>
          <m:rPr>
            <m:sty m:val="p"/>
          </m:rPr>
          <m:t>=</m:t>
        </m:r>
        <m:r>
          <m:t>1.01</m:t>
        </m:r>
      </m:oMath>
      <w:r>
        <w:t xml:space="preserve">; see</w:t>
      </w:r>
      <w:r>
        <w:t xml:space="preserve"> </w:t>
      </w:r>
      <w:hyperlink w:anchor="fig-awareness">
        <w:r>
          <w:rPr>
            <w:rStyle w:val="Hyperlink"/>
          </w:rPr>
          <w:t xml:space="preserve">Figure 1</w:t>
        </w:r>
      </w:hyperlink>
      <w:r>
        <w:t xml:space="preserve">). The stimuli did not have a significant main effect or interaction with stimuli</w:t>
      </w:r>
    </w:p>
    <w:bookmarkEnd w:id="82"/>
    <w:bookmarkStart w:id="87" w:name="empathy-1"/>
    <w:p>
      <w:pPr>
        <w:pStyle w:val="Heading3"/>
      </w:pPr>
      <w:r>
        <w:t xml:space="preserve">Empathy</w:t>
      </w:r>
    </w:p>
    <w:p>
      <w:pPr>
        <w:pStyle w:val="FirstParagraph"/>
      </w:pPr>
      <w:r>
        <w:t xml:space="preserve">We fitted two LMMs for empathy with Anna Vasquez and with a hypothetical victim of wrongful imprisonment separately. As expected, empathy with Anna Vasquez showed a small increase from baseline (</w:t>
      </w:r>
      <m:oMath>
        <m:r>
          <m:t>M</m:t>
        </m:r>
        <m:r>
          <m:rPr>
            <m:sty m:val="p"/>
          </m:rPr>
          <m:t>=</m:t>
        </m:r>
        <m:r>
          <m:t>4.7</m:t>
        </m:r>
      </m:oMath>
      <w:r>
        <w:t xml:space="preserve">,</w:t>
      </w:r>
      <w:r>
        <w:t xml:space="preserve"> </w:t>
      </w:r>
      <m:oMath>
        <m:r>
          <m:t>S</m:t>
        </m:r>
        <m:r>
          <m:t>D</m:t>
        </m:r>
        <m:r>
          <m:rPr>
            <m:sty m:val="p"/>
          </m:rPr>
          <m:t>=</m:t>
        </m:r>
        <m:r>
          <m:t>1.35</m:t>
        </m:r>
      </m:oMath>
      <w:r>
        <w:t xml:space="preserve">) to after the event (</w:t>
      </w:r>
      <m:oMath>
        <m:r>
          <m:t>M</m:t>
        </m:r>
        <m:r>
          <m:rPr>
            <m:sty m:val="p"/>
          </m:rPr>
          <m:t>=</m:t>
        </m:r>
        <m:r>
          <m:t>5.11</m:t>
        </m:r>
      </m:oMath>
      <w:r>
        <w:t xml:space="preserve">,</w:t>
      </w:r>
      <w:r>
        <w:t xml:space="preserve"> </w:t>
      </w:r>
      <m:oMath>
        <m:r>
          <m:t>S</m:t>
        </m:r>
        <m:r>
          <m:t>D</m:t>
        </m:r>
        <m:r>
          <m:rPr>
            <m:sty m:val="p"/>
          </m:rPr>
          <m:t>=</m:t>
        </m:r>
        <m:r>
          <m:t>1.44</m:t>
        </m:r>
      </m:oMath>
      <w:r>
        <w:t xml:space="preserve">),</w:t>
      </w:r>
      <w:r>
        <w:t xml:space="preserve"> </w:t>
      </w:r>
      <m:oMath>
        <m:r>
          <m:t>β</m:t>
        </m:r>
        <m:r>
          <m:rPr>
            <m:sty m:val="p"/>
          </m:rPr>
          <m:t>=</m:t>
        </m:r>
        <m:r>
          <m:t>0.13</m:t>
        </m:r>
      </m:oMath>
      <w:r>
        <w:t xml:space="preserve">,</w:t>
      </w:r>
      <w:r>
        <w:t xml:space="preserve"> </w:t>
      </w:r>
      <m:oMath>
        <m:r>
          <m:t>t</m:t>
        </m:r>
        <m:d>
          <m:dPr>
            <m:begChr m:val="("/>
            <m:sepChr m:val=""/>
            <m:endChr m:val=")"/>
            <m:grow/>
          </m:dPr>
          <m:e>
            <m:r>
              <m:t>195</m:t>
            </m:r>
          </m:e>
        </m:d>
        <m:r>
          <m:rPr>
            <m:sty m:val="p"/>
          </m:rPr>
          <m:t>=</m:t>
        </m:r>
        <m:r>
          <m:t>6.27</m:t>
        </m:r>
      </m:oMath>
      <w:r>
        <w:t xml:space="preserve">,</w:t>
      </w:r>
      <w:r>
        <w:t xml:space="preserve"> </w:t>
      </w:r>
      <m:oMath>
        <m:r>
          <m:t>p</m:t>
        </m:r>
        <m:r>
          <m:rPr>
            <m:sty m:val="p"/>
          </m:rPr>
          <m:t>&lt;</m:t>
        </m:r>
        <m:r>
          <m:t>.001</m:t>
        </m:r>
      </m:oMath>
      <w:r>
        <w:t xml:space="preserve">,</w:t>
      </w:r>
      <w:r>
        <w:t xml:space="preserve"> </w:t>
      </w:r>
      <m:oMath>
        <m:r>
          <m:t>d</m:t>
        </m:r>
        <m:r>
          <m:rPr>
            <m:sty m:val="p"/>
          </m:rPr>
          <m:t>=</m:t>
        </m:r>
        <m:r>
          <m:t>0.28</m:t>
        </m:r>
      </m:oMath>
      <w:r>
        <w:t xml:space="preserve"> </w:t>
      </w:r>
      <w:r>
        <w:t xml:space="preserve">(see</w:t>
      </w:r>
      <w:r>
        <w:t xml:space="preserve"> </w:t>
      </w:r>
      <w:hyperlink w:anchor="fig-empathy">
        <w:r>
          <w:rPr>
            <w:rStyle w:val="Hyperlink"/>
          </w:rPr>
          <w:t xml:space="preserve">Figure 2</w:t>
        </w:r>
      </w:hyperlink>
      <w:r>
        <w:t xml:space="preserve">). The stimuli also had a small main effect,</w:t>
      </w:r>
      <w:r>
        <w:t xml:space="preserve"> </w:t>
      </w:r>
      <m:oMath>
        <m:r>
          <m:t>β</m:t>
        </m:r>
        <m:r>
          <m:rPr>
            <m:sty m:val="p"/>
          </m:rPr>
          <m:t>=</m:t>
        </m:r>
        <m:r>
          <m:rPr>
            <m:sty m:val="p"/>
          </m:rPr>
          <m:t>−</m:t>
        </m:r>
        <m:r>
          <m:t>0.15</m:t>
        </m:r>
      </m:oMath>
      <w:r>
        <w:t xml:space="preserve">,</w:t>
      </w:r>
      <w:r>
        <w:t xml:space="preserve"> </w:t>
      </w:r>
      <m:oMath>
        <m:r>
          <m:t>t</m:t>
        </m:r>
        <m:d>
          <m:dPr>
            <m:begChr m:val="("/>
            <m:sepChr m:val=""/>
            <m:endChr m:val=")"/>
            <m:grow/>
          </m:dPr>
          <m:e>
            <m:r>
              <m:t>198</m:t>
            </m:r>
          </m:e>
        </m:d>
        <m:r>
          <m:rPr>
            <m:sty m:val="p"/>
          </m:rPr>
          <m:t>=</m:t>
        </m:r>
        <m:r>
          <m:rPr>
            <m:sty m:val="p"/>
          </m:rPr>
          <m:t>−</m:t>
        </m:r>
        <m:r>
          <m:t>2.26</m:t>
        </m:r>
      </m:oMath>
      <w:r>
        <w:t xml:space="preserve">,</w:t>
      </w:r>
      <w:r>
        <w:t xml:space="preserve"> </w:t>
      </w:r>
      <m:oMath>
        <m:r>
          <m:t>p</m:t>
        </m:r>
        <m:r>
          <m:rPr>
            <m:sty m:val="p"/>
          </m:rPr>
          <m:t>=</m:t>
        </m:r>
        <m:r>
          <m:t>0.025</m:t>
        </m:r>
      </m:oMath>
      <w:r>
        <w:t xml:space="preserve">,</w:t>
      </w:r>
      <w:r>
        <w:t xml:space="preserve"> </w:t>
      </w:r>
      <m:oMath>
        <m:r>
          <m:t>d</m:t>
        </m:r>
        <m:r>
          <m:rPr>
            <m:sty m:val="p"/>
          </m:rPr>
          <m:t>=</m:t>
        </m:r>
        <m:r>
          <m:t>0.3</m:t>
        </m:r>
      </m:oMath>
      <w:r>
        <w:t xml:space="preserve">, with higher empathy both before and after watching the film, compared to the performance, but the interaction of time and stimuli found in study 1 did not replicate. Empathy with the hypothetical victim showed a very small increase from baseline (</w:t>
      </w:r>
      <m:oMath>
        <m:r>
          <m:t>M</m:t>
        </m:r>
        <m:r>
          <m:rPr>
            <m:sty m:val="p"/>
          </m:rPr>
          <m:t>=</m:t>
        </m:r>
        <m:r>
          <m:t>4.74</m:t>
        </m:r>
      </m:oMath>
      <w:r>
        <w:t xml:space="preserve">,</w:t>
      </w:r>
      <w:r>
        <w:t xml:space="preserve"> </w:t>
      </w:r>
      <m:oMath>
        <m:r>
          <m:t>S</m:t>
        </m:r>
        <m:r>
          <m:t>D</m:t>
        </m:r>
        <m:r>
          <m:rPr>
            <m:sty m:val="p"/>
          </m:rPr>
          <m:t>=</m:t>
        </m:r>
        <m:r>
          <m:t>1.34</m:t>
        </m:r>
      </m:oMath>
      <w:r>
        <w:t xml:space="preserve">) to after the event (</w:t>
      </w:r>
      <m:oMath>
        <m:r>
          <m:t>M</m:t>
        </m:r>
        <m:r>
          <m:rPr>
            <m:sty m:val="p"/>
          </m:rPr>
          <m:t>=</m:t>
        </m:r>
        <m:r>
          <m:t>4.98</m:t>
        </m:r>
      </m:oMath>
      <w:r>
        <w:t xml:space="preserve">,</w:t>
      </w:r>
      <w:r>
        <w:t xml:space="preserve"> </w:t>
      </w:r>
      <m:oMath>
        <m:r>
          <m:t>S</m:t>
        </m:r>
        <m:r>
          <m:t>D</m:t>
        </m:r>
        <m:r>
          <m:rPr>
            <m:sty m:val="p"/>
          </m:rPr>
          <m:t>=</m:t>
        </m:r>
        <m:r>
          <m:t>1.38</m:t>
        </m:r>
      </m:oMath>
      <w:r>
        <w:t xml:space="preserve">),</w:t>
      </w:r>
      <w:r>
        <w:t xml:space="preserve"> </w:t>
      </w:r>
      <m:oMath>
        <m:r>
          <m:t>β</m:t>
        </m:r>
        <m:r>
          <m:rPr>
            <m:sty m:val="p"/>
          </m:rPr>
          <m:t>=</m:t>
        </m:r>
        <m:r>
          <m:t>0.09</m:t>
        </m:r>
      </m:oMath>
      <w:r>
        <w:t xml:space="preserve">,</w:t>
      </w:r>
      <w:r>
        <w:t xml:space="preserve"> </w:t>
      </w:r>
      <m:oMath>
        <m:r>
          <m:t>t</m:t>
        </m:r>
        <m:d>
          <m:dPr>
            <m:begChr m:val="("/>
            <m:sepChr m:val=""/>
            <m:endChr m:val=")"/>
            <m:grow/>
          </m:dPr>
          <m:e>
            <m:r>
              <m:t>201</m:t>
            </m:r>
          </m:e>
        </m:d>
        <m:r>
          <m:rPr>
            <m:sty m:val="p"/>
          </m:rPr>
          <m:t>=</m:t>
        </m:r>
        <m:r>
          <m:t>3.41</m:t>
        </m:r>
      </m:oMath>
      <w:r>
        <w:t xml:space="preserve">,</w:t>
      </w:r>
      <w:r>
        <w:t xml:space="preserve"> </w:t>
      </w:r>
      <m:oMath>
        <m:r>
          <m:t>p</m:t>
        </m:r>
        <m:r>
          <m:rPr>
            <m:sty m:val="p"/>
          </m:rPr>
          <m:t>&lt;</m:t>
        </m:r>
        <m:r>
          <m:t>.001</m:t>
        </m:r>
      </m:oMath>
      <w:r>
        <w:t xml:space="preserve">,</w:t>
      </w:r>
      <w:r>
        <w:t xml:space="preserve"> </w:t>
      </w:r>
      <m:oMath>
        <m:r>
          <m:t>d</m:t>
        </m:r>
        <m:r>
          <m:rPr>
            <m:sty m:val="p"/>
          </m:rPr>
          <m:t>=</m:t>
        </m:r>
        <m:r>
          <m:t>0.17</m:t>
        </m:r>
      </m:oMath>
      <w:r>
        <w:t xml:space="preserve"> </w:t>
      </w:r>
      <w:r>
        <w:t xml:space="preserve">(see</w:t>
      </w:r>
      <w:r>
        <w:t xml:space="preserve"> </w:t>
      </w:r>
      <w:hyperlink w:anchor="fig-empathy-2">
        <w:r>
          <w:rPr>
            <w:rStyle w:val="Hyperlink"/>
          </w:rPr>
          <w:t xml:space="preserve">Figure 5</w:t>
        </w:r>
      </w:hyperlink>
      <w:r>
        <w:t xml:space="preserve">), whereas the main and interaction effects of the stimuli were not significant.</w:t>
      </w:r>
    </w:p>
    <w:bookmarkStart w:id="86" w:name="fig-empathy-2"/>
    <w:p>
      <w:pPr>
        <w:pStyle w:val="FigureTitle"/>
      </w:pPr>
      <w:r>
        <w:t xml:space="preserve">Figure 5</w:t>
      </w:r>
    </w:p>
    <w:p>
      <w:pPr>
        <w:pStyle w:val="Caption"/>
      </w:pPr>
      <w:r>
        <w:t xml:space="preserve">Empathic Concern with the two targets</w:t>
      </w:r>
    </w:p>
    <w:p>
      <w:pPr>
        <w:pStyle w:val="FigureWithNote"/>
      </w:pPr>
      <w:r>
        <w:drawing>
          <wp:inline>
            <wp:extent cx="5943600" cy="5943600"/>
            <wp:effectExtent b="0" l="0" r="0" t="0"/>
            <wp:docPr descr="" title="" id="84" name="Picture"/>
            <a:graphic>
              <a:graphicData uri="http://schemas.openxmlformats.org/drawingml/2006/picture">
                <pic:pic>
                  <pic:nvPicPr>
                    <pic:cNvPr descr="Innocents_Prosociality_Manuscript_files/figure-docx/fig-empathy-2-1.png" id="85" name="Picture"/>
                    <pic:cNvPicPr>
                      <a:picLocks noChangeArrowheads="1" noChangeAspect="1"/>
                    </pic:cNvPicPr>
                  </pic:nvPicPr>
                  <pic:blipFill>
                    <a:blip r:embed="rId83"/>
                    <a:stretch>
                      <a:fillRect/>
                    </a:stretch>
                  </pic:blipFill>
                  <pic:spPr bwMode="auto">
                    <a:xfrm>
                      <a:off x="0" y="0"/>
                      <a:ext cx="5943600" cy="5943600"/>
                    </a:xfrm>
                    <a:prstGeom prst="rect">
                      <a:avLst/>
                    </a:prstGeom>
                    <a:noFill/>
                    <a:ln w="9525">
                      <a:noFill/>
                      <a:headEnd/>
                      <a:tailEnd/>
                    </a:ln>
                  </pic:spPr>
                </pic:pic>
              </a:graphicData>
            </a:graphic>
          </wp:inline>
        </w:drawing>
      </w:r>
    </w:p>
    <w:bookmarkEnd w:id="86"/>
    <w:p>
      <w:pPr>
        <w:pStyle w:val="FigureNote"/>
      </w:pPr>
      <w:r>
        <w:rPr>
          <w:i/>
          <w:iCs/>
        </w:rPr>
        <w:t xml:space="preserve">Note</w:t>
      </w:r>
      <w:r>
        <w:t xml:space="preserve">. Mean and CI of empathy by stimulus (x-axis), split for ratimgs relating to Anna Vasquez (left) and the hypothetical victim (right). Empathy was rated on a scale ranging from 1 (not at all) to 7 (extremely). Significance levels refer to one-sided pairwise t-tests.</w:t>
      </w:r>
      <w:r>
        <w:t xml:space="preserve"> </w:t>
      </w:r>
      <m:oMath>
        <m:r>
          <m:t>p</m:t>
        </m:r>
        <m:r>
          <m:rPr>
            <m:sty m:val="p"/>
          </m:rPr>
          <m:t>*</m:t>
        </m:r>
        <m:r>
          <m:rPr>
            <m:sty m:val="p"/>
          </m:rPr>
          <m:t>&lt;</m:t>
        </m:r>
        <m:r>
          <m:t>.05</m:t>
        </m:r>
      </m:oMath>
      <w:r>
        <w:t xml:space="preserve">,</w:t>
      </w:r>
      <w:r>
        <w:t xml:space="preserve"> </w:t>
      </w:r>
      <m:oMath>
        <m:r>
          <m:rPr>
            <m:sty m:val="p"/>
          </m:rPr>
          <m:t>*</m:t>
        </m:r>
        <m:r>
          <m:rPr>
            <m:sty m:val="p"/>
          </m:rPr>
          <m:t>*</m:t>
        </m:r>
        <m:r>
          <m:t>p</m:t>
        </m:r>
        <m:r>
          <m:rPr>
            <m:sty m:val="p"/>
          </m:rPr>
          <m:t>&lt;</m:t>
        </m:r>
        <m:r>
          <m:t>.01</m:t>
        </m:r>
      </m:oMath>
      <w:r>
        <w:t xml:space="preserve">,</w:t>
      </w:r>
      <w:r>
        <w:t xml:space="preserve"> </w:t>
      </w:r>
      <m:oMath>
        <m:r>
          <m:rPr>
            <m:sty m:val="p"/>
          </m:rPr>
          <m:t>*</m:t>
        </m:r>
        <m:r>
          <m:rPr>
            <m:sty m:val="p"/>
          </m:rPr>
          <m:t>*</m:t>
        </m:r>
        <m:r>
          <m:rPr>
            <m:sty m:val="p"/>
          </m:rPr>
          <m:t>*</m:t>
        </m:r>
        <m:r>
          <m:t>p</m:t>
        </m:r>
        <m:r>
          <m:rPr>
            <m:sty m:val="p"/>
          </m:rPr>
          <m:t>&lt;</m:t>
        </m:r>
        <m:r>
          <m:t>.001</m:t>
        </m:r>
      </m:oMath>
      <w:r>
        <w:t xml:space="preserve">, n.s. = not significant.</w:t>
      </w:r>
    </w:p>
    <w:bookmarkEnd w:id="87"/>
    <w:bookmarkStart w:id="92" w:name="closeness-1"/>
    <w:p>
      <w:pPr>
        <w:pStyle w:val="Heading3"/>
      </w:pPr>
      <w:r>
        <w:t xml:space="preserve">Closeness</w:t>
      </w:r>
    </w:p>
    <w:p>
      <w:pPr>
        <w:pStyle w:val="FirstParagraph"/>
      </w:pPr>
      <w:r>
        <w:t xml:space="preserve">As for empathy, we also fitted separate LMMs for the closeness ratings towards the two target persons. Closeness with Anna Vasquez was associated with liking contemporary percussion (</w:t>
      </w:r>
      <m:oMath>
        <m:sSub>
          <m:e>
            <m:r>
              <m:t>r</m:t>
            </m:r>
          </m:e>
          <m:sub>
            <m:r>
              <m:rPr>
                <m:sty m:val="p"/>
              </m:rPr>
              <m:t>s</m:t>
            </m:r>
          </m:sub>
        </m:sSub>
        <m:r>
          <m:rPr>
            <m:sty m:val="p"/>
          </m:rPr>
          <m:t>=</m:t>
        </m:r>
        <m:r>
          <m:t>.38</m:t>
        </m:r>
      </m:oMath>
      <w:r>
        <w:t xml:space="preserve">,</w:t>
      </w:r>
      <w:r>
        <w:t xml:space="preserve"> </w:t>
      </w:r>
      <m:oMath>
        <m:r>
          <m:t>S</m:t>
        </m:r>
        <m:r>
          <m:rPr>
            <m:sty m:val="p"/>
          </m:rPr>
          <m:t>=</m:t>
        </m:r>
        <m:r>
          <m:t>5</m:t>
        </m:r>
        <m:r>
          <m:rPr>
            <m:sty m:val="p"/>
          </m:rPr>
          <m:t>,</m:t>
        </m:r>
        <m:r>
          <m:t>778</m:t>
        </m:r>
        <m:r>
          <m:rPr>
            <m:sty m:val="p"/>
          </m:rPr>
          <m:t>,</m:t>
        </m:r>
        <m:r>
          <m:t>332.72</m:t>
        </m:r>
      </m:oMath>
      <w:r>
        <w:t xml:space="preserve">,</w:t>
      </w:r>
      <w:r>
        <w:t xml:space="preserve"> </w:t>
      </w:r>
      <m:oMath>
        <m:r>
          <m:t>p</m:t>
        </m:r>
        <m:r>
          <m:rPr>
            <m:sty m:val="p"/>
          </m:rPr>
          <m:t>&lt;</m:t>
        </m:r>
        <m:r>
          <m:t>.001</m:t>
        </m:r>
      </m:oMath>
      <w:r>
        <w:t xml:space="preserve">), hence this variable was controlled in the model. Time had a medium-sized effect on closeness with Anna Vasquez,</w:t>
      </w:r>
      <w:r>
        <w:t xml:space="preserve"> </w:t>
      </w:r>
      <m:oMath>
        <m:r>
          <m:t>β</m:t>
        </m:r>
        <m:r>
          <m:rPr>
            <m:sty m:val="p"/>
          </m:rPr>
          <m:t>=</m:t>
        </m:r>
        <m:r>
          <m:t>0.25</m:t>
        </m:r>
      </m:oMath>
      <w:r>
        <w:t xml:space="preserve">,</w:t>
      </w:r>
      <w:r>
        <w:t xml:space="preserve"> </w:t>
      </w:r>
      <m:oMath>
        <m:r>
          <m:t>t</m:t>
        </m:r>
        <m:d>
          <m:dPr>
            <m:begChr m:val="("/>
            <m:sepChr m:val=""/>
            <m:endChr m:val=")"/>
            <m:grow/>
          </m:dPr>
          <m:e>
            <m:r>
              <m:t>189</m:t>
            </m:r>
          </m:e>
        </m:d>
        <m:r>
          <m:rPr>
            <m:sty m:val="p"/>
          </m:rPr>
          <m:t>=</m:t>
        </m:r>
        <m:r>
          <m:t>8.57</m:t>
        </m:r>
      </m:oMath>
      <w:r>
        <w:t xml:space="preserve">,</w:t>
      </w:r>
      <w:r>
        <w:t xml:space="preserve"> </w:t>
      </w:r>
      <m:oMath>
        <m:r>
          <m:t>p</m:t>
        </m:r>
        <m:r>
          <m:rPr>
            <m:sty m:val="p"/>
          </m:rPr>
          <m:t>&lt;</m:t>
        </m:r>
        <m:r>
          <m:t>.001</m:t>
        </m:r>
      </m:oMath>
      <w:r>
        <w:t xml:space="preserve">,</w:t>
      </w:r>
      <w:r>
        <w:t xml:space="preserve"> </w:t>
      </w:r>
      <m:oMath>
        <m:r>
          <m:t>d</m:t>
        </m:r>
        <m:r>
          <m:rPr>
            <m:sty m:val="p"/>
          </m:rPr>
          <m:t>=</m:t>
        </m:r>
        <m:r>
          <m:t>0.56</m:t>
        </m:r>
      </m:oMath>
      <w:r>
        <w:t xml:space="preserve">, with higher closeness ratings after (</w:t>
      </w:r>
      <m:oMath>
        <m:r>
          <m:t>M</m:t>
        </m:r>
        <m:r>
          <m:rPr>
            <m:sty m:val="p"/>
          </m:rPr>
          <m:t>=</m:t>
        </m:r>
        <m:r>
          <m:t>3.43</m:t>
        </m:r>
      </m:oMath>
      <w:r>
        <w:t xml:space="preserve">,</w:t>
      </w:r>
      <w:r>
        <w:t xml:space="preserve"> </w:t>
      </w:r>
      <m:oMath>
        <m:r>
          <m:t>S</m:t>
        </m:r>
        <m:r>
          <m:t>D</m:t>
        </m:r>
        <m:r>
          <m:rPr>
            <m:sty m:val="p"/>
          </m:rPr>
          <m:t>=</m:t>
        </m:r>
        <m:r>
          <m:t>1.95</m:t>
        </m:r>
      </m:oMath>
      <w:r>
        <w:t xml:space="preserve">), compared to before the event (</w:t>
      </w:r>
      <m:oMath>
        <m:r>
          <m:t>M</m:t>
        </m:r>
        <m:r>
          <m:rPr>
            <m:sty m:val="p"/>
          </m:rPr>
          <m:t>=</m:t>
        </m:r>
        <m:r>
          <m:t>2.52</m:t>
        </m:r>
      </m:oMath>
      <w:r>
        <w:t xml:space="preserve">,</w:t>
      </w:r>
      <w:r>
        <w:t xml:space="preserve"> </w:t>
      </w:r>
      <m:oMath>
        <m:r>
          <m:t>S</m:t>
        </m:r>
        <m:r>
          <m:t>D</m:t>
        </m:r>
        <m:r>
          <m:rPr>
            <m:sty m:val="p"/>
          </m:rPr>
          <m:t>=</m:t>
        </m:r>
        <m:r>
          <m:t>1.72</m:t>
        </m:r>
      </m:oMath>
      <w:r>
        <w:t xml:space="preserve">; see</w:t>
      </w:r>
      <w:r>
        <w:t xml:space="preserve"> </w:t>
      </w:r>
      <w:hyperlink w:anchor="fig-closeness">
        <w:r>
          <w:rPr>
            <w:rStyle w:val="Hyperlink"/>
          </w:rPr>
          <w:t xml:space="preserve">Figure 3</w:t>
        </w:r>
      </w:hyperlink>
      <w:r>
        <w:t xml:space="preserve">). However, we were unable to replicate the interaction between time and stimuli. Closeness with the hypothetical victim showed a smaller increase from before (</w:t>
      </w:r>
      <m:oMath>
        <m:r>
          <m:t>M</m:t>
        </m:r>
        <m:r>
          <m:rPr>
            <m:sty m:val="p"/>
          </m:rPr>
          <m:t>=</m:t>
        </m:r>
        <m:r>
          <m:t>3.58</m:t>
        </m:r>
      </m:oMath>
      <w:r>
        <w:t xml:space="preserve">,</w:t>
      </w:r>
      <w:r>
        <w:t xml:space="preserve"> </w:t>
      </w:r>
      <m:oMath>
        <m:r>
          <m:t>S</m:t>
        </m:r>
        <m:r>
          <m:t>D</m:t>
        </m:r>
        <m:r>
          <m:rPr>
            <m:sty m:val="p"/>
          </m:rPr>
          <m:t>=</m:t>
        </m:r>
        <m:r>
          <m:t>1.52</m:t>
        </m:r>
      </m:oMath>
      <w:r>
        <w:t xml:space="preserve">) to after the event (</w:t>
      </w:r>
      <m:oMath>
        <m:r>
          <m:t>M</m:t>
        </m:r>
        <m:r>
          <m:rPr>
            <m:sty m:val="p"/>
          </m:rPr>
          <m:t>=</m:t>
        </m:r>
        <m:r>
          <m:t>3.93</m:t>
        </m:r>
      </m:oMath>
      <w:r>
        <w:t xml:space="preserve">,</w:t>
      </w:r>
      <w:r>
        <w:t xml:space="preserve"> </w:t>
      </w:r>
      <m:oMath>
        <m:r>
          <m:t>S</m:t>
        </m:r>
        <m:r>
          <m:t>D</m:t>
        </m:r>
        <m:r>
          <m:rPr>
            <m:sty m:val="p"/>
          </m:rPr>
          <m:t>=</m:t>
        </m:r>
        <m:r>
          <m:t>1.66</m:t>
        </m:r>
      </m:oMath>
      <w:r>
        <w:t xml:space="preserve">),</w:t>
      </w:r>
      <w:r>
        <w:t xml:space="preserve"> </w:t>
      </w:r>
      <m:oMath>
        <m:r>
          <m:t>β</m:t>
        </m:r>
        <m:r>
          <m:rPr>
            <m:sty m:val="p"/>
          </m:rPr>
          <m:t>=</m:t>
        </m:r>
        <m:r>
          <m:t>0.11</m:t>
        </m:r>
      </m:oMath>
      <w:r>
        <w:t xml:space="preserve">,</w:t>
      </w:r>
      <w:r>
        <w:t xml:space="preserve"> </w:t>
      </w:r>
      <m:oMath>
        <m:r>
          <m:t>t</m:t>
        </m:r>
        <m:d>
          <m:dPr>
            <m:begChr m:val="("/>
            <m:sepChr m:val=""/>
            <m:endChr m:val=")"/>
            <m:grow/>
          </m:dPr>
          <m:e>
            <m:r>
              <m:t>201</m:t>
            </m:r>
          </m:e>
        </m:d>
        <m:r>
          <m:rPr>
            <m:sty m:val="p"/>
          </m:rPr>
          <m:t>=</m:t>
        </m:r>
        <m:r>
          <m:t>4.34</m:t>
        </m:r>
      </m:oMath>
      <w:r>
        <w:t xml:space="preserve">,</w:t>
      </w:r>
      <w:r>
        <w:t xml:space="preserve"> </w:t>
      </w:r>
      <m:oMath>
        <m:r>
          <m:t>p</m:t>
        </m:r>
        <m:r>
          <m:rPr>
            <m:sty m:val="p"/>
          </m:rPr>
          <m:t>&lt;</m:t>
        </m:r>
        <m:r>
          <m:t>.001</m:t>
        </m:r>
      </m:oMath>
      <w:r>
        <w:t xml:space="preserve">,</w:t>
      </w:r>
      <w:r>
        <w:t xml:space="preserve"> </w:t>
      </w:r>
      <m:oMath>
        <m:r>
          <m:t>d</m:t>
        </m:r>
        <m:r>
          <m:rPr>
            <m:sty m:val="p"/>
          </m:rPr>
          <m:t>=</m:t>
        </m:r>
        <m:r>
          <m:t>0.22</m:t>
        </m:r>
      </m:oMath>
      <w:r>
        <w:t xml:space="preserve"> </w:t>
      </w:r>
      <w:r>
        <w:t xml:space="preserve">(see</w:t>
      </w:r>
      <w:r>
        <w:t xml:space="preserve"> </w:t>
      </w:r>
      <w:hyperlink w:anchor="fig-closeness-2">
        <w:r>
          <w:rPr>
            <w:rStyle w:val="Hyperlink"/>
          </w:rPr>
          <w:t xml:space="preserve">Figure 6</w:t>
        </w:r>
      </w:hyperlink>
      <w:r>
        <w:t xml:space="preserve">). Again, the main and interaction effects of the stimuli were not significant.</w:t>
      </w:r>
    </w:p>
    <w:bookmarkStart w:id="91" w:name="fig-closeness-2"/>
    <w:p>
      <w:pPr>
        <w:pStyle w:val="FigureTitle"/>
      </w:pPr>
      <w:r>
        <w:t xml:space="preserve">Figure 6</w:t>
      </w:r>
    </w:p>
    <w:p>
      <w:pPr>
        <w:pStyle w:val="Caption"/>
      </w:pPr>
      <w:r>
        <w:t xml:space="preserve">Relationship Closeness with the two targets</w:t>
      </w:r>
    </w:p>
    <w:p>
      <w:pPr>
        <w:pStyle w:val="FigureWithNote"/>
      </w:pPr>
      <w:r>
        <w:drawing>
          <wp:inline>
            <wp:extent cx="5943600" cy="5943600"/>
            <wp:effectExtent b="0" l="0" r="0" t="0"/>
            <wp:docPr descr="" title="" id="89" name="Picture"/>
            <a:graphic>
              <a:graphicData uri="http://schemas.openxmlformats.org/drawingml/2006/picture">
                <pic:pic>
                  <pic:nvPicPr>
                    <pic:cNvPr descr="Innocents_Prosociality_Manuscript_files/figure-docx/fig-closeness-2-1.png" id="90" name="Picture"/>
                    <pic:cNvPicPr>
                      <a:picLocks noChangeArrowheads="1" noChangeAspect="1"/>
                    </pic:cNvPicPr>
                  </pic:nvPicPr>
                  <pic:blipFill>
                    <a:blip r:embed="rId88"/>
                    <a:stretch>
                      <a:fillRect/>
                    </a:stretch>
                  </pic:blipFill>
                  <pic:spPr bwMode="auto">
                    <a:xfrm>
                      <a:off x="0" y="0"/>
                      <a:ext cx="5943600" cy="5943600"/>
                    </a:xfrm>
                    <a:prstGeom prst="rect">
                      <a:avLst/>
                    </a:prstGeom>
                    <a:noFill/>
                    <a:ln w="9525">
                      <a:noFill/>
                      <a:headEnd/>
                      <a:tailEnd/>
                    </a:ln>
                  </pic:spPr>
                </pic:pic>
              </a:graphicData>
            </a:graphic>
          </wp:inline>
        </w:drawing>
      </w:r>
    </w:p>
    <w:bookmarkEnd w:id="91"/>
    <w:p>
      <w:pPr>
        <w:pStyle w:val="FigureNote"/>
      </w:pPr>
      <w:r>
        <w:rPr>
          <w:i/>
          <w:iCs/>
        </w:rPr>
        <w:t xml:space="preserve">Note</w:t>
      </w:r>
      <w:r>
        <w:t xml:space="preserve">. Mean and CI of closeness by stimulus (x-axis), split for ratimgs relating to Anna Vasquez (left) and the hypothetical victim (right). Closeness was rated on a visual analog scale ranging from 1 (0% overlap) to 7 (90% overlap). Significance levels refer to one-sided pairwise t-tests.</w:t>
      </w:r>
      <w:r>
        <w:t xml:space="preserve"> </w:t>
      </w:r>
      <m:oMath>
        <m:r>
          <m:t>p</m:t>
        </m:r>
        <m:r>
          <m:rPr>
            <m:sty m:val="p"/>
          </m:rPr>
          <m:t>*</m:t>
        </m:r>
        <m:r>
          <m:rPr>
            <m:sty m:val="p"/>
          </m:rPr>
          <m:t>&lt;</m:t>
        </m:r>
        <m:r>
          <m:t>.05</m:t>
        </m:r>
      </m:oMath>
      <w:r>
        <w:t xml:space="preserve">,</w:t>
      </w:r>
      <w:r>
        <w:t xml:space="preserve"> </w:t>
      </w:r>
      <m:oMath>
        <m:r>
          <m:rPr>
            <m:sty m:val="p"/>
          </m:rPr>
          <m:t>*</m:t>
        </m:r>
        <m:r>
          <m:rPr>
            <m:sty m:val="p"/>
          </m:rPr>
          <m:t>*</m:t>
        </m:r>
        <m:r>
          <m:t>p</m:t>
        </m:r>
        <m:r>
          <m:rPr>
            <m:sty m:val="p"/>
          </m:rPr>
          <m:t>&lt;</m:t>
        </m:r>
        <m:r>
          <m:t>.01</m:t>
        </m:r>
      </m:oMath>
      <w:r>
        <w:t xml:space="preserve">,</w:t>
      </w:r>
      <w:r>
        <w:t xml:space="preserve"> </w:t>
      </w:r>
      <m:oMath>
        <m:r>
          <m:rPr>
            <m:sty m:val="p"/>
          </m:rPr>
          <m:t>*</m:t>
        </m:r>
        <m:r>
          <m:rPr>
            <m:sty m:val="p"/>
          </m:rPr>
          <m:t>*</m:t>
        </m:r>
        <m:r>
          <m:rPr>
            <m:sty m:val="p"/>
          </m:rPr>
          <m:t>*</m:t>
        </m:r>
        <m:r>
          <m:t>p</m:t>
        </m:r>
        <m:r>
          <m:rPr>
            <m:sty m:val="p"/>
          </m:rPr>
          <m:t>&lt;</m:t>
        </m:r>
        <m:r>
          <m:t>.001</m:t>
        </m:r>
      </m:oMath>
      <w:r>
        <w:t xml:space="preserve">, n.s. = not significant.</w:t>
      </w:r>
    </w:p>
    <w:bookmarkEnd w:id="92"/>
    <w:bookmarkStart w:id="93" w:name="charitable-behaviour-1"/>
    <w:p>
      <w:pPr>
        <w:pStyle w:val="Heading3"/>
      </w:pPr>
      <w:r>
        <w:t xml:space="preserve">Charitable Behaviour</w:t>
      </w:r>
    </w:p>
    <w:p>
      <w:pPr>
        <w:pStyle w:val="FirstParagraph"/>
      </w:pPr>
      <w:r>
        <w:t xml:space="preserve">Participants’ intentions to support a charity fighting wrongful imprisonment showed a small increase from baseline (</w:t>
      </w:r>
      <m:oMath>
        <m:r>
          <m:t>M</m:t>
        </m:r>
        <m:r>
          <m:rPr>
            <m:sty m:val="p"/>
          </m:rPr>
          <m:t>=</m:t>
        </m:r>
        <m:r>
          <m:t>4</m:t>
        </m:r>
      </m:oMath>
      <w:r>
        <w:t xml:space="preserve">,</w:t>
      </w:r>
      <w:r>
        <w:t xml:space="preserve"> </w:t>
      </w:r>
      <m:oMath>
        <m:r>
          <m:t>S</m:t>
        </m:r>
        <m:r>
          <m:t>D</m:t>
        </m:r>
        <m:r>
          <m:rPr>
            <m:sty m:val="p"/>
          </m:rPr>
          <m:t>=</m:t>
        </m:r>
        <m:r>
          <m:t>1.45</m:t>
        </m:r>
      </m:oMath>
      <w:r>
        <w:t xml:space="preserve">) to after the event (</w:t>
      </w:r>
      <m:oMath>
        <m:r>
          <m:t>M</m:t>
        </m:r>
        <m:r>
          <m:rPr>
            <m:sty m:val="p"/>
          </m:rPr>
          <m:t>=</m:t>
        </m:r>
        <m:r>
          <m:t>4.33</m:t>
        </m:r>
      </m:oMath>
      <w:r>
        <w:t xml:space="preserve">,</w:t>
      </w:r>
      <w:r>
        <w:t xml:space="preserve"> </w:t>
      </w:r>
      <m:oMath>
        <m:r>
          <m:t>S</m:t>
        </m:r>
        <m:r>
          <m:t>D</m:t>
        </m:r>
        <m:r>
          <m:rPr>
            <m:sty m:val="p"/>
          </m:rPr>
          <m:t>=</m:t>
        </m:r>
        <m:r>
          <m:t>1.54</m:t>
        </m:r>
      </m:oMath>
      <w:r>
        <w:t xml:space="preserve">),</w:t>
      </w:r>
      <w:r>
        <w:t xml:space="preserve"> </w:t>
      </w:r>
      <m:oMath>
        <m:r>
          <m:t>β</m:t>
        </m:r>
        <m:r>
          <m:rPr>
            <m:sty m:val="p"/>
          </m:rPr>
          <m:t>=</m:t>
        </m:r>
        <m:r>
          <m:t>0.09</m:t>
        </m:r>
      </m:oMath>
      <w:r>
        <w:t xml:space="preserve">,</w:t>
      </w:r>
      <w:r>
        <w:t xml:space="preserve"> </w:t>
      </w:r>
      <m:oMath>
        <m:r>
          <m:t>t</m:t>
        </m:r>
        <m:d>
          <m:dPr>
            <m:begChr m:val="("/>
            <m:sepChr m:val=""/>
            <m:endChr m:val=")"/>
            <m:grow/>
          </m:dPr>
          <m:e>
            <m:r>
              <m:t>188</m:t>
            </m:r>
          </m:e>
        </m:d>
        <m:r>
          <m:rPr>
            <m:sty m:val="p"/>
          </m:rPr>
          <m:t>=</m:t>
        </m:r>
        <m:r>
          <m:t>4.09</m:t>
        </m:r>
      </m:oMath>
      <w:r>
        <w:t xml:space="preserve">,</w:t>
      </w:r>
      <w:r>
        <w:t xml:space="preserve"> </w:t>
      </w:r>
      <m:oMath>
        <m:r>
          <m:t>p</m:t>
        </m:r>
        <m:r>
          <m:rPr>
            <m:sty m:val="p"/>
          </m:rPr>
          <m:t>&lt;</m:t>
        </m:r>
        <m:r>
          <m:t>.001</m:t>
        </m:r>
      </m:oMath>
      <w:r>
        <w:t xml:space="preserve">,</w:t>
      </w:r>
      <w:r>
        <w:t xml:space="preserve"> </w:t>
      </w:r>
      <m:oMath>
        <m:r>
          <m:t>d</m:t>
        </m:r>
        <m:r>
          <m:rPr>
            <m:sty m:val="p"/>
          </m:rPr>
          <m:t>=</m:t>
        </m:r>
        <m:r>
          <m:t>0.21</m:t>
        </m:r>
      </m:oMath>
      <w:r>
        <w:t xml:space="preserve">, comparable to study 1. We compared several preregistered regression models to predict participants’ charitable intentions at the end of the event. Since intentions were associated with liking contemporary percussion music, this variable was controlled for in all models. First, we predicted intentions from the variables used in study 1:</w:t>
      </w:r>
      <w:r>
        <w:t xml:space="preserve"> </w:t>
      </w:r>
      <m:oMath>
        <m:r>
          <m:t>I</m:t>
        </m:r>
        <m:r>
          <m:t>n</m:t>
        </m:r>
        <m:r>
          <m:t>t</m:t>
        </m:r>
        <m:r>
          <m:t>e</m:t>
        </m:r>
        <m:r>
          <m:t>n</m:t>
        </m:r>
        <m:r>
          <m:t>t</m:t>
        </m:r>
        <m:r>
          <m:t>i</m:t>
        </m:r>
        <m:r>
          <m:t>o</m:t>
        </m:r>
        <m:r>
          <m:t>n</m:t>
        </m:r>
        <m:r>
          <m:rPr>
            <m:sty m:val="p"/>
          </m:rPr>
          <m:t>∼</m:t>
        </m:r>
        <m:r>
          <m:t>L</m:t>
        </m:r>
        <m:r>
          <m:t>i</m:t>
        </m:r>
        <m:r>
          <m:t>k</m:t>
        </m:r>
        <m:r>
          <m:t>i</m:t>
        </m:r>
        <m:r>
          <m:t>n</m:t>
        </m:r>
        <m:r>
          <m:t>g</m:t>
        </m:r>
        <m:r>
          <m:rPr>
            <m:sty m:val="p"/>
          </m:rPr>
          <m:t>+</m:t>
        </m:r>
        <m:r>
          <m:t>C</m:t>
        </m:r>
        <m:r>
          <m:t>l</m:t>
        </m:r>
        <m:r>
          <m:t>o</m:t>
        </m:r>
        <m:r>
          <m:t>s</m:t>
        </m:r>
        <m:r>
          <m:t>e</m:t>
        </m:r>
        <m:r>
          <m:t>n</m:t>
        </m:r>
        <m:r>
          <m:t>e</m:t>
        </m:r>
        <m:r>
          <m:t>s</m:t>
        </m:r>
        <m:r>
          <m:t>s</m:t>
        </m:r>
        <m:d>
          <m:dPr>
            <m:begChr m:val="("/>
            <m:sepChr m:val=""/>
            <m:endChr m:val=")"/>
            <m:grow/>
          </m:dPr>
          <m:e>
            <m:r>
              <m:t>A</m:t>
            </m:r>
            <m:r>
              <m:t>n</m:t>
            </m:r>
            <m:r>
              <m:t>n</m:t>
            </m:r>
            <m:r>
              <m:t>a</m:t>
            </m:r>
          </m:e>
        </m:d>
        <m:r>
          <m:rPr>
            <m:sty m:val="p"/>
          </m:rPr>
          <m:t>+</m:t>
        </m:r>
        <m:r>
          <m:t>E</m:t>
        </m:r>
        <m:r>
          <m:t>m</m:t>
        </m:r>
        <m:r>
          <m:t>p</m:t>
        </m:r>
        <m:r>
          <m:t>a</m:t>
        </m:r>
        <m:r>
          <m:t>t</m:t>
        </m:r>
        <m:r>
          <m:t>h</m:t>
        </m:r>
        <m:r>
          <m:t>y</m:t>
        </m:r>
        <m:d>
          <m:dPr>
            <m:begChr m:val="("/>
            <m:sepChr m:val=""/>
            <m:endChr m:val=")"/>
            <m:grow/>
          </m:dPr>
          <m:e>
            <m:r>
              <m:t>A</m:t>
            </m:r>
            <m:r>
              <m:t>n</m:t>
            </m:r>
            <m:r>
              <m:t>n</m:t>
            </m:r>
            <m:r>
              <m:t>a</m:t>
            </m:r>
          </m:e>
        </m:d>
        <m:r>
          <m:rPr>
            <m:sty m:val="p"/>
          </m:rPr>
          <m:t>+</m:t>
        </m:r>
        <m:r>
          <m:t>A</m:t>
        </m:r>
        <m:r>
          <m:t>w</m:t>
        </m:r>
        <m:r>
          <m:t>a</m:t>
        </m:r>
        <m:r>
          <m:t>r</m:t>
        </m:r>
        <m:r>
          <m:t>e</m:t>
        </m:r>
        <m:r>
          <m:t>n</m:t>
        </m:r>
        <m:r>
          <m:t>e</m:t>
        </m:r>
        <m:r>
          <m:t>s</m:t>
        </m:r>
        <m:r>
          <m:t>s</m:t>
        </m:r>
      </m:oMath>
      <w:r>
        <w:t xml:space="preserve">. We replicated the effect of empathy with Anna Vasquez on intentions (</w:t>
      </w:r>
      <m:oMath>
        <m:r>
          <m:t>β</m:t>
        </m:r>
        <m:r>
          <m:rPr>
            <m:sty m:val="p"/>
          </m:rPr>
          <m:t>=</m:t>
        </m:r>
        <m:r>
          <m:t>0.20</m:t>
        </m:r>
      </m:oMath>
      <w:r>
        <w:t xml:space="preserve">,</w:t>
      </w:r>
      <w:r>
        <w:t xml:space="preserve"> </w:t>
      </w:r>
      <m:oMath>
        <m:r>
          <m:t>t</m:t>
        </m:r>
        <m:d>
          <m:dPr>
            <m:begChr m:val="("/>
            <m:sepChr m:val=""/>
            <m:endChr m:val=")"/>
            <m:grow/>
          </m:dPr>
          <m:e>
            <m:r>
              <m:t>184</m:t>
            </m:r>
          </m:e>
        </m:d>
        <m:r>
          <m:rPr>
            <m:sty m:val="p"/>
          </m:rPr>
          <m:t>=</m:t>
        </m:r>
        <m:r>
          <m:t>3.12</m:t>
        </m:r>
      </m:oMath>
      <w:r>
        <w:t xml:space="preserve">,</w:t>
      </w:r>
      <w:r>
        <w:t xml:space="preserve"> </w:t>
      </w:r>
      <m:oMath>
        <m:r>
          <m:t>p</m:t>
        </m:r>
        <m:r>
          <m:rPr>
            <m:sty m:val="p"/>
          </m:rPr>
          <m:t>=</m:t>
        </m:r>
        <m:r>
          <m:t>0.002</m:t>
        </m:r>
      </m:oMath>
      <w:r>
        <w:t xml:space="preserve">), but unexpectedly, closeness with Anna Vasquez (</w:t>
      </w:r>
      <m:oMath>
        <m:r>
          <m:t>β</m:t>
        </m:r>
        <m:r>
          <m:rPr>
            <m:sty m:val="p"/>
          </m:rPr>
          <m:t>=</m:t>
        </m:r>
        <m:r>
          <m:t>0.28</m:t>
        </m:r>
      </m:oMath>
      <w:r>
        <w:t xml:space="preserve">,</w:t>
      </w:r>
      <w:r>
        <w:t xml:space="preserve"> </w:t>
      </w:r>
      <m:oMath>
        <m:r>
          <m:t>t</m:t>
        </m:r>
        <m:d>
          <m:dPr>
            <m:begChr m:val="("/>
            <m:sepChr m:val=""/>
            <m:endChr m:val=")"/>
            <m:grow/>
          </m:dPr>
          <m:e>
            <m:r>
              <m:t>184</m:t>
            </m:r>
          </m:e>
        </m:d>
        <m:r>
          <m:rPr>
            <m:sty m:val="p"/>
          </m:rPr>
          <m:t>=</m:t>
        </m:r>
        <m:r>
          <m:t>4.34</m:t>
        </m:r>
      </m:oMath>
      <w:r>
        <w:t xml:space="preserve">,</w:t>
      </w:r>
      <w:r>
        <w:t xml:space="preserve"> </w:t>
      </w:r>
      <m:oMath>
        <m:r>
          <m:t>p</m:t>
        </m:r>
        <m:r>
          <m:rPr>
            <m:sty m:val="p"/>
          </m:rPr>
          <m:t>=</m:t>
        </m:r>
        <m:r>
          <m:t>0.000</m:t>
        </m:r>
      </m:oMath>
      <w:r>
        <w:t xml:space="preserve">) and problem awareness (</w:t>
      </w:r>
      <m:oMath>
        <m:r>
          <m:t>β</m:t>
        </m:r>
        <m:r>
          <m:rPr>
            <m:sty m:val="p"/>
          </m:rPr>
          <m:t>=</m:t>
        </m:r>
        <m:r>
          <m:t>0.29</m:t>
        </m:r>
      </m:oMath>
      <w:r>
        <w:t xml:space="preserve">,</w:t>
      </w:r>
      <w:r>
        <w:t xml:space="preserve"> </w:t>
      </w:r>
      <m:oMath>
        <m:r>
          <m:t>t</m:t>
        </m:r>
        <m:d>
          <m:dPr>
            <m:begChr m:val="("/>
            <m:sepChr m:val=""/>
            <m:endChr m:val=")"/>
            <m:grow/>
          </m:dPr>
          <m:e>
            <m:r>
              <m:t>184</m:t>
            </m:r>
          </m:e>
        </m:d>
        <m:r>
          <m:rPr>
            <m:sty m:val="p"/>
          </m:rPr>
          <m:t>=</m:t>
        </m:r>
        <m:r>
          <m:t>4.96</m:t>
        </m:r>
      </m:oMath>
      <w:r>
        <w:t xml:space="preserve">,</w:t>
      </w:r>
      <w:r>
        <w:t xml:space="preserve"> </w:t>
      </w:r>
      <m:oMath>
        <m:r>
          <m:t>p</m:t>
        </m:r>
        <m:r>
          <m:rPr>
            <m:sty m:val="p"/>
          </m:rPr>
          <m:t>&lt;</m:t>
        </m:r>
        <m:r>
          <m:t>.001</m:t>
        </m:r>
      </m:oMath>
      <w:r>
        <w:t xml:space="preserve">) were stronger predictors of intentions. Together, the explained variance in intentions was</w:t>
      </w:r>
      <w:r>
        <w:t xml:space="preserve"> </w:t>
      </w:r>
      <m:oMath>
        <m:sSubSup>
          <m:e>
            <m:r>
              <m:t>R</m:t>
            </m:r>
          </m:e>
          <m:sub>
            <m:r>
              <m:t>a</m:t>
            </m:r>
            <m:r>
              <m:t>d</m:t>
            </m:r>
            <m:r>
              <m:t>j</m:t>
            </m:r>
          </m:sub>
          <m:sup>
            <m:r>
              <m:t>2</m:t>
            </m:r>
          </m:sup>
        </m:sSubSup>
        <m:r>
          <m:rPr>
            <m:sty m:val="p"/>
          </m:rPr>
          <m:t>=</m:t>
        </m:r>
        <m:r>
          <m:t>0.49</m:t>
        </m:r>
      </m:oMath>
      <w:r>
        <w:t xml:space="preserve">.</w:t>
      </w:r>
    </w:p>
    <w:p>
      <w:pPr>
        <w:pStyle w:val="BodyText"/>
      </w:pPr>
      <w:r>
        <w:t xml:space="preserve">Next, we replaced the empathy target:</w:t>
      </w:r>
      <w:r>
        <w:t xml:space="preserve"> </w:t>
      </w:r>
      <m:oMath>
        <m:r>
          <m:t>I</m:t>
        </m:r>
        <m:r>
          <m:t>n</m:t>
        </m:r>
        <m:r>
          <m:t>t</m:t>
        </m:r>
        <m:r>
          <m:t>e</m:t>
        </m:r>
        <m:r>
          <m:t>n</m:t>
        </m:r>
        <m:r>
          <m:t>t</m:t>
        </m:r>
        <m:r>
          <m:t>i</m:t>
        </m:r>
        <m:r>
          <m:t>o</m:t>
        </m:r>
        <m:r>
          <m:t>n</m:t>
        </m:r>
        <m:r>
          <m:rPr>
            <m:sty m:val="p"/>
          </m:rPr>
          <m:t>∼</m:t>
        </m:r>
        <m:r>
          <m:t>L</m:t>
        </m:r>
        <m:r>
          <m:t>i</m:t>
        </m:r>
        <m:r>
          <m:t>k</m:t>
        </m:r>
        <m:r>
          <m:t>i</m:t>
        </m:r>
        <m:r>
          <m:t>n</m:t>
        </m:r>
        <m:r>
          <m:t>g</m:t>
        </m:r>
        <m:r>
          <m:rPr>
            <m:sty m:val="p"/>
          </m:rPr>
          <m:t>+</m:t>
        </m:r>
        <m:r>
          <m:t>C</m:t>
        </m:r>
        <m:r>
          <m:t>l</m:t>
        </m:r>
        <m:r>
          <m:t>o</m:t>
        </m:r>
        <m:r>
          <m:t>s</m:t>
        </m:r>
        <m:r>
          <m:t>e</m:t>
        </m:r>
        <m:r>
          <m:t>n</m:t>
        </m:r>
        <m:r>
          <m:t>e</m:t>
        </m:r>
        <m:r>
          <m:t>s</m:t>
        </m:r>
        <m:r>
          <m:t>s</m:t>
        </m:r>
        <m:d>
          <m:dPr>
            <m:begChr m:val="("/>
            <m:sepChr m:val=""/>
            <m:endChr m:val=")"/>
            <m:grow/>
          </m:dPr>
          <m:e>
            <m:r>
              <m:t>A</m:t>
            </m:r>
            <m:r>
              <m:t>n</m:t>
            </m:r>
            <m:r>
              <m:t>n</m:t>
            </m:r>
            <m:r>
              <m:t>a</m:t>
            </m:r>
          </m:e>
        </m:d>
        <m:r>
          <m:rPr>
            <m:sty m:val="p"/>
          </m:rPr>
          <m:t>+</m:t>
        </m:r>
        <m:r>
          <m:t>E</m:t>
        </m:r>
        <m:r>
          <m:t>m</m:t>
        </m:r>
        <m:r>
          <m:t>p</m:t>
        </m:r>
        <m:r>
          <m:t>a</m:t>
        </m:r>
        <m:r>
          <m:t>t</m:t>
        </m:r>
        <m:r>
          <m:t>h</m:t>
        </m:r>
        <m:r>
          <m:t>y</m:t>
        </m:r>
        <m:d>
          <m:dPr>
            <m:begChr m:val="("/>
            <m:sepChr m:val=""/>
            <m:endChr m:val=")"/>
            <m:grow/>
          </m:dPr>
          <m:e>
            <m:r>
              <m:t>V</m:t>
            </m:r>
            <m:r>
              <m:t>i</m:t>
            </m:r>
            <m:r>
              <m:t>c</m:t>
            </m:r>
            <m:r>
              <m:t>t</m:t>
            </m:r>
            <m:r>
              <m:t>i</m:t>
            </m:r>
            <m:r>
              <m:t>m</m:t>
            </m:r>
          </m:e>
        </m:d>
        <m:r>
          <m:rPr>
            <m:sty m:val="p"/>
          </m:rPr>
          <m:t>+</m:t>
        </m:r>
        <m:r>
          <m:t>A</m:t>
        </m:r>
        <m:r>
          <m:t>w</m:t>
        </m:r>
        <m:r>
          <m:t>a</m:t>
        </m:r>
        <m:r>
          <m:t>r</m:t>
        </m:r>
        <m:r>
          <m:t>e</m:t>
        </m:r>
        <m:r>
          <m:t>n</m:t>
        </m:r>
        <m:r>
          <m:t>e</m:t>
        </m:r>
        <m:r>
          <m:t>s</m:t>
        </m:r>
        <m:r>
          <m:t>s</m:t>
        </m:r>
      </m:oMath>
      <w:r>
        <w:t xml:space="preserve">. Counter to hypothesis 2, empathy with the hypothetical victim was a slightly weaker predictor of intentions (</w:t>
      </w:r>
      <m:oMath>
        <m:r>
          <m:t>β</m:t>
        </m:r>
        <m:r>
          <m:rPr>
            <m:sty m:val="p"/>
          </m:rPr>
          <m:t>=</m:t>
        </m:r>
        <m:r>
          <m:t>0.20</m:t>
        </m:r>
      </m:oMath>
      <w:r>
        <w:t xml:space="preserve">,</w:t>
      </w:r>
      <w:r>
        <w:t xml:space="preserve"> </w:t>
      </w:r>
      <m:oMath>
        <m:r>
          <m:t>t</m:t>
        </m:r>
        <m:d>
          <m:dPr>
            <m:begChr m:val="("/>
            <m:sepChr m:val=""/>
            <m:endChr m:val=")"/>
            <m:grow/>
          </m:dPr>
          <m:e>
            <m:r>
              <m:t>186</m:t>
            </m:r>
          </m:e>
        </m:d>
        <m:r>
          <m:rPr>
            <m:sty m:val="p"/>
          </m:rPr>
          <m:t>=</m:t>
        </m:r>
        <m:r>
          <m:t>3.25</m:t>
        </m:r>
      </m:oMath>
      <w:r>
        <w:t xml:space="preserve">,</w:t>
      </w:r>
      <w:r>
        <w:t xml:space="preserve"> </w:t>
      </w:r>
      <m:oMath>
        <m:r>
          <m:t>p</m:t>
        </m:r>
        <m:r>
          <m:rPr>
            <m:sty m:val="p"/>
          </m:rPr>
          <m:t>=</m:t>
        </m:r>
        <m:r>
          <m:t>0.001</m:t>
        </m:r>
      </m:oMath>
      <w:r>
        <w:t xml:space="preserve">) than empathy with Anna Vasquez, and the model did not have a better variance explanation (</w:t>
      </w:r>
      <m:oMath>
        <m:sSubSup>
          <m:e>
            <m:r>
              <m:t>R</m:t>
            </m:r>
          </m:e>
          <m:sub>
            <m:r>
              <m:t>a</m:t>
            </m:r>
            <m:r>
              <m:t>d</m:t>
            </m:r>
            <m:r>
              <m:t>j</m:t>
            </m:r>
          </m:sub>
          <m:sup>
            <m:r>
              <m:t>2</m:t>
            </m:r>
          </m:sup>
        </m:sSubSup>
        <m:r>
          <m:rPr>
            <m:sty m:val="p"/>
          </m:rPr>
          <m:t>=</m:t>
        </m:r>
        <m:r>
          <m:t>0.46</m:t>
        </m:r>
      </m:oMath>
      <w:r>
        <w:t xml:space="preserve">).</w:t>
      </w:r>
    </w:p>
    <w:p>
      <w:pPr>
        <w:pStyle w:val="BodyText"/>
      </w:pPr>
      <w:r>
        <w:t xml:space="preserve">Finally, we exploratively replaced the closeness target as well:</w:t>
      </w:r>
      <w:r>
        <w:t xml:space="preserve"> </w:t>
      </w:r>
      <m:oMath>
        <m:r>
          <m:t>I</m:t>
        </m:r>
        <m:r>
          <m:t>n</m:t>
        </m:r>
        <m:r>
          <m:t>t</m:t>
        </m:r>
        <m:r>
          <m:t>e</m:t>
        </m:r>
        <m:r>
          <m:t>n</m:t>
        </m:r>
        <m:r>
          <m:t>t</m:t>
        </m:r>
        <m:r>
          <m:t>i</m:t>
        </m:r>
        <m:r>
          <m:t>o</m:t>
        </m:r>
        <m:r>
          <m:t>n</m:t>
        </m:r>
        <m:r>
          <m:rPr>
            <m:sty m:val="p"/>
          </m:rPr>
          <m:t>∼</m:t>
        </m:r>
        <m:r>
          <m:t>L</m:t>
        </m:r>
        <m:r>
          <m:t>i</m:t>
        </m:r>
        <m:r>
          <m:t>k</m:t>
        </m:r>
        <m:r>
          <m:t>i</m:t>
        </m:r>
        <m:r>
          <m:t>n</m:t>
        </m:r>
        <m:r>
          <m:t>g</m:t>
        </m:r>
        <m:r>
          <m:rPr>
            <m:sty m:val="p"/>
          </m:rPr>
          <m:t>+</m:t>
        </m:r>
        <m:r>
          <m:t>C</m:t>
        </m:r>
        <m:r>
          <m:t>l</m:t>
        </m:r>
        <m:r>
          <m:t>o</m:t>
        </m:r>
        <m:r>
          <m:t>s</m:t>
        </m:r>
        <m:r>
          <m:t>e</m:t>
        </m:r>
        <m:r>
          <m:t>n</m:t>
        </m:r>
        <m:r>
          <m:t>e</m:t>
        </m:r>
        <m:r>
          <m:t>s</m:t>
        </m:r>
        <m:r>
          <m:t>s</m:t>
        </m:r>
        <m:d>
          <m:dPr>
            <m:begChr m:val="("/>
            <m:sepChr m:val=""/>
            <m:endChr m:val=")"/>
            <m:grow/>
          </m:dPr>
          <m:e>
            <m:r>
              <m:t>V</m:t>
            </m:r>
            <m:r>
              <m:t>i</m:t>
            </m:r>
            <m:r>
              <m:t>c</m:t>
            </m:r>
            <m:r>
              <m:t>t</m:t>
            </m:r>
            <m:r>
              <m:t>i</m:t>
            </m:r>
            <m:r>
              <m:t>m</m:t>
            </m:r>
          </m:e>
        </m:d>
        <m:r>
          <m:rPr>
            <m:sty m:val="p"/>
          </m:rPr>
          <m:t>+</m:t>
        </m:r>
        <m:r>
          <m:t>E</m:t>
        </m:r>
        <m:r>
          <m:t>m</m:t>
        </m:r>
        <m:r>
          <m:t>p</m:t>
        </m:r>
        <m:r>
          <m:t>a</m:t>
        </m:r>
        <m:r>
          <m:t>t</m:t>
        </m:r>
        <m:r>
          <m:t>h</m:t>
        </m:r>
        <m:r>
          <m:t>y</m:t>
        </m:r>
        <m:d>
          <m:dPr>
            <m:begChr m:val="("/>
            <m:sepChr m:val=""/>
            <m:endChr m:val=")"/>
            <m:grow/>
          </m:dPr>
          <m:e>
            <m:r>
              <m:t>V</m:t>
            </m:r>
            <m:r>
              <m:t>i</m:t>
            </m:r>
            <m:r>
              <m:t>c</m:t>
            </m:r>
            <m:r>
              <m:t>t</m:t>
            </m:r>
            <m:r>
              <m:t>i</m:t>
            </m:r>
            <m:r>
              <m:t>m</m:t>
            </m:r>
          </m:e>
        </m:d>
        <m:r>
          <m:rPr>
            <m:sty m:val="p"/>
          </m:rPr>
          <m:t>+</m:t>
        </m:r>
        <m:r>
          <m:t>A</m:t>
        </m:r>
        <m:r>
          <m:t>w</m:t>
        </m:r>
        <m:r>
          <m:t>a</m:t>
        </m:r>
        <m:r>
          <m:t>r</m:t>
        </m:r>
        <m:r>
          <m:t>e</m:t>
        </m:r>
        <m:r>
          <m:t>n</m:t>
        </m:r>
        <m:r>
          <m:t>e</m:t>
        </m:r>
        <m:r>
          <m:t>s</m:t>
        </m:r>
        <m:r>
          <m:t>s</m:t>
        </m:r>
      </m:oMath>
      <w:r>
        <w:t xml:space="preserve">. Closeness with the hypothetical victim was a slightly weaker predictor of intentions (</w:t>
      </w:r>
      <m:oMath>
        <m:r>
          <m:t>β</m:t>
        </m:r>
        <m:r>
          <m:rPr>
            <m:sty m:val="p"/>
          </m:rPr>
          <m:t>=</m:t>
        </m:r>
        <m:r>
          <m:t>0.21</m:t>
        </m:r>
      </m:oMath>
      <w:r>
        <w:t xml:space="preserve">,</w:t>
      </w:r>
      <w:r>
        <w:t xml:space="preserve"> </w:t>
      </w:r>
      <m:oMath>
        <m:r>
          <m:t>t</m:t>
        </m:r>
        <m:d>
          <m:dPr>
            <m:begChr m:val="("/>
            <m:sepChr m:val=""/>
            <m:endChr m:val=")"/>
            <m:grow/>
          </m:dPr>
          <m:e>
            <m:r>
              <m:t>186</m:t>
            </m:r>
          </m:e>
        </m:d>
        <m:r>
          <m:rPr>
            <m:sty m:val="p"/>
          </m:rPr>
          <m:t>=</m:t>
        </m:r>
        <m:r>
          <m:t>3.36</m:t>
        </m:r>
      </m:oMath>
      <w:r>
        <w:t xml:space="preserve">,</w:t>
      </w:r>
      <w:r>
        <w:t xml:space="preserve"> </w:t>
      </w:r>
      <m:oMath>
        <m:r>
          <m:t>p</m:t>
        </m:r>
        <m:r>
          <m:rPr>
            <m:sty m:val="p"/>
          </m:rPr>
          <m:t>=</m:t>
        </m:r>
        <m:r>
          <m:t>0.001</m:t>
        </m:r>
      </m:oMath>
      <w:r>
        <w:t xml:space="preserve">) than closeness with Anna Vasquez, and the variance explained did not increase (</w:t>
      </w:r>
      <m:oMath>
        <m:sSubSup>
          <m:e>
            <m:r>
              <m:t>R</m:t>
            </m:r>
          </m:e>
          <m:sub>
            <m:r>
              <m:t>a</m:t>
            </m:r>
            <m:r>
              <m:t>d</m:t>
            </m:r>
            <m:r>
              <m:t>j</m:t>
            </m:r>
          </m:sub>
          <m:sup>
            <m:r>
              <m:t>2</m:t>
            </m:r>
          </m:sup>
        </m:sSubSup>
        <m:r>
          <m:rPr>
            <m:sty m:val="p"/>
          </m:rPr>
          <m:t>=</m:t>
        </m:r>
        <m:r>
          <m:t>0.45</m:t>
        </m:r>
      </m:oMath>
      <w:r>
        <w:t xml:space="preserve">; see</w:t>
      </w:r>
      <w:r>
        <w:t xml:space="preserve"> </w:t>
      </w:r>
      <w:hyperlink w:anchor="tbl-regression-intention">
        <w:r>
          <w:rPr>
            <w:rStyle w:val="Hyperlink"/>
          </w:rPr>
          <w:t xml:space="preserve">Table 1</w:t>
        </w:r>
      </w:hyperlink>
      <w:r>
        <w:t xml:space="preserve">).</w:t>
      </w:r>
    </w:p>
    <w:p>
      <w:pPr>
        <w:pStyle w:val="BodyText"/>
      </w:pPr>
      <w:r>
        <w:t xml:space="preserve">Looking at actual charitable behaviours in support of the charity</w:t>
      </w:r>
      <w:r>
        <w:t xml:space="preserve"> </w:t>
      </w:r>
      <w:r>
        <w:rPr>
          <w:i/>
          <w:iCs/>
        </w:rPr>
        <w:t xml:space="preserve">Innocence Canada</w:t>
      </w:r>
      <w:r>
        <w:t xml:space="preserve">, 79 (38.92%) participants performed at least one behaviour, a considerably lower rate than livestream particpants in study 1: 44 participants downloaded flyer of the charity, 55 signed up to their mailing list, and 8 made a donation, raising a total of CAD 235 (see</w:t>
      </w:r>
      <w:r>
        <w:t xml:space="preserve"> </w:t>
      </w:r>
      <w:hyperlink w:anchor="fig-waffle-behaviour">
        <w:r>
          <w:rPr>
            <w:rStyle w:val="Hyperlink"/>
          </w:rPr>
          <w:t xml:space="preserve">Figure 4</w:t>
        </w:r>
      </w:hyperlink>
      <w:r>
        <w:t xml:space="preserve">). As predicted (hypothesis 3b), a Wilcoxon rank-sum test revealed that no significant difference between participants who watched the film or the performance (</w:t>
      </w:r>
      <m:oMath>
        <m:r>
          <m:t>W</m:t>
        </m:r>
        <m:r>
          <m:rPr>
            <m:sty m:val="p"/>
          </m:rPr>
          <m:t>=</m:t>
        </m:r>
        <m:r>
          <m:t>1</m:t>
        </m:r>
        <m:r>
          <m:rPr>
            <m:sty m:val="p"/>
          </m:rPr>
          <m:t>,</m:t>
        </m:r>
        <m:r>
          <m:t>093.50</m:t>
        </m:r>
      </m:oMath>
      <w:r>
        <w:t xml:space="preserve">,</w:t>
      </w:r>
      <w:r>
        <w:t xml:space="preserve"> </w:t>
      </w:r>
      <m:oMath>
        <m:r>
          <m:t>p</m:t>
        </m:r>
        <m:r>
          <m:rPr>
            <m:sty m:val="p"/>
          </m:rPr>
          <m:t>=</m:t>
        </m:r>
        <m:r>
          <m:t>.983</m:t>
        </m:r>
      </m:oMath>
      <w:r>
        <w:t xml:space="preserve">). As predicted (hypothesis 3a), participants with higher intentions tended to demonstrate more behaviours (</w:t>
      </w:r>
      <m:oMath>
        <m:r>
          <m:t>O</m:t>
        </m:r>
        <m:r>
          <m:t>R</m:t>
        </m:r>
        <m:r>
          <m:rPr>
            <m:sty m:val="p"/>
          </m:rPr>
          <m:t>=</m:t>
        </m:r>
        <m:r>
          <m:t>4.37</m:t>
        </m:r>
      </m:oMath>
      <w:r>
        <w:t xml:space="preserve">, 95% CI [2.43, 7.83]). Intentions after the event explained a behavioural variance of</w:t>
      </w:r>
      <w:r>
        <w:t xml:space="preserve"> </w:t>
      </w:r>
      <m:oMath>
        <m:sSubSup>
          <m:e>
            <m:r>
              <m:t>R</m:t>
            </m:r>
          </m:e>
          <m:sub>
            <m:r>
              <m:t>N</m:t>
            </m:r>
            <m:r>
              <m:t>a</m:t>
            </m:r>
            <m:r>
              <m:t>g</m:t>
            </m:r>
            <m:r>
              <m:t>e</m:t>
            </m:r>
            <m:r>
              <m:t>l</m:t>
            </m:r>
            <m:r>
              <m:t>k</m:t>
            </m:r>
            <m:r>
              <m:t>e</m:t>
            </m:r>
            <m:r>
              <m:t>r</m:t>
            </m:r>
            <m:r>
              <m:t>k</m:t>
            </m:r>
            <m:r>
              <m:t>e</m:t>
            </m:r>
          </m:sub>
          <m:sup>
            <m:r>
              <m:t>2</m:t>
            </m:r>
          </m:sup>
        </m:sSubSup>
        <m:r>
          <m:rPr>
            <m:sty m:val="p"/>
          </m:rPr>
          <m:t>=</m:t>
        </m:r>
        <m:r>
          <m:t>0.36</m:t>
        </m:r>
      </m:oMath>
      <w:r>
        <w:t xml:space="preserve">. As opposed to study 1, however, intentions at baseline had more explanatory power for participants’ actual behaviour (</w:t>
      </w:r>
      <m:oMath>
        <m:sSubSup>
          <m:e>
            <m:r>
              <m:t>R</m:t>
            </m:r>
          </m:e>
          <m:sub>
            <m:r>
              <m:t>N</m:t>
            </m:r>
            <m:r>
              <m:t>a</m:t>
            </m:r>
            <m:r>
              <m:t>g</m:t>
            </m:r>
            <m:r>
              <m:t>e</m:t>
            </m:r>
            <m:r>
              <m:t>l</m:t>
            </m:r>
            <m:r>
              <m:t>k</m:t>
            </m:r>
            <m:r>
              <m:t>e</m:t>
            </m:r>
            <m:r>
              <m:t>r</m:t>
            </m:r>
            <m:r>
              <m:t>k</m:t>
            </m:r>
            <m:r>
              <m:t>e</m:t>
            </m:r>
          </m:sub>
          <m:sup>
            <m:r>
              <m:t>2</m:t>
            </m:r>
          </m:sup>
        </m:sSubSup>
        <m:r>
          <m:rPr>
            <m:sty m:val="p"/>
          </m:rPr>
          <m:t>=</m:t>
        </m:r>
        <m:r>
          <m:t>0.40</m:t>
        </m:r>
      </m:oMath>
      <w:r>
        <w:t xml:space="preserve">).</w:t>
      </w:r>
    </w:p>
    <w:bookmarkEnd w:id="93"/>
    <w:bookmarkStart w:id="94" w:name="benefit-of-watching-both-stimuli"/>
    <w:p>
      <w:pPr>
        <w:pStyle w:val="Heading3"/>
      </w:pPr>
      <w:r>
        <w:t xml:space="preserve">Benefit of watching both stimuli</w:t>
      </w:r>
    </w:p>
    <w:p>
      <w:pPr>
        <w:pStyle w:val="FirstParagraph"/>
      </w:pPr>
      <w:r>
        <w:t xml:space="preserve">To compare the effects of watching one stimulus or both stimuli (hypothesis 4), we fitted LMMs predicting empathy and closeness (with Anna Vasquez) and problem awareness based on time (pre vs. post) and study (study 1 vs. study 2), with random intercepts for participants. For awareness, there was a main effect of time,</w:t>
      </w:r>
      <w:r>
        <w:t xml:space="preserve"> </w:t>
      </w:r>
      <m:oMath>
        <m:r>
          <m:t>β</m:t>
        </m:r>
        <m:r>
          <m:rPr>
            <m:sty m:val="p"/>
          </m:rPr>
          <m:t>=</m:t>
        </m:r>
        <m:r>
          <m:t>0.19</m:t>
        </m:r>
      </m:oMath>
      <w:r>
        <w:t xml:space="preserve">,</w:t>
      </w:r>
      <w:r>
        <w:t xml:space="preserve"> </w:t>
      </w:r>
      <m:oMath>
        <m:r>
          <m:t>t</m:t>
        </m:r>
        <m:d>
          <m:dPr>
            <m:begChr m:val="("/>
            <m:sepChr m:val=""/>
            <m:endChr m:val=")"/>
            <m:grow/>
          </m:dPr>
          <m:e>
            <m:r>
              <m:t>291</m:t>
            </m:r>
          </m:e>
        </m:d>
        <m:r>
          <m:rPr>
            <m:sty m:val="p"/>
          </m:rPr>
          <m:t>=</m:t>
        </m:r>
        <m:r>
          <m:t>8.22</m:t>
        </m:r>
      </m:oMath>
      <w:r>
        <w:t xml:space="preserve">,</w:t>
      </w:r>
      <w:r>
        <w:t xml:space="preserve"> </w:t>
      </w:r>
      <m:oMath>
        <m:r>
          <m:t>p</m:t>
        </m:r>
        <m:r>
          <m:rPr>
            <m:sty m:val="p"/>
          </m:rPr>
          <m:t>&lt;</m:t>
        </m:r>
        <m:r>
          <m:t>.001</m:t>
        </m:r>
      </m:oMath>
      <w:r>
        <w:t xml:space="preserve">,</w:t>
      </w:r>
      <w:r>
        <w:t xml:space="preserve"> </w:t>
      </w:r>
      <m:oMath>
        <m:r>
          <m:t>d</m:t>
        </m:r>
        <m:r>
          <m:rPr>
            <m:sty m:val="p"/>
          </m:rPr>
          <m:t>=</m:t>
        </m:r>
        <m:r>
          <m:t>0.39</m:t>
        </m:r>
      </m:oMath>
      <w:r>
        <w:t xml:space="preserve">, which did not interact with the studies, indicating no difference between the increases in problem awareness in the two studies. For empathy, there was a main effect of time,</w:t>
      </w:r>
      <w:r>
        <w:t xml:space="preserve"> </w:t>
      </w:r>
      <m:oMath>
        <m:r>
          <m:t>β</m:t>
        </m:r>
        <m:r>
          <m:rPr>
            <m:sty m:val="p"/>
          </m:rPr>
          <m:t>=</m:t>
        </m:r>
        <m:r>
          <m:t>0.19</m:t>
        </m:r>
      </m:oMath>
      <w:r>
        <w:t xml:space="preserve">,</w:t>
      </w:r>
      <w:r>
        <w:t xml:space="preserve"> </w:t>
      </w:r>
      <m:oMath>
        <m:r>
          <m:t>t</m:t>
        </m:r>
        <m:d>
          <m:dPr>
            <m:begChr m:val="("/>
            <m:sepChr m:val=""/>
            <m:endChr m:val=")"/>
            <m:grow/>
          </m:dPr>
          <m:e>
            <m:r>
              <m:t>290</m:t>
            </m:r>
          </m:e>
        </m:d>
        <m:r>
          <m:rPr>
            <m:sty m:val="p"/>
          </m:rPr>
          <m:t>=</m:t>
        </m:r>
        <m:r>
          <m:t>7.74</m:t>
        </m:r>
      </m:oMath>
      <w:r>
        <w:t xml:space="preserve">,</w:t>
      </w:r>
      <w:r>
        <w:t xml:space="preserve"> </w:t>
      </w:r>
      <m:oMath>
        <m:r>
          <m:t>p</m:t>
        </m:r>
        <m:r>
          <m:rPr>
            <m:sty m:val="p"/>
          </m:rPr>
          <m:t>&lt;</m:t>
        </m:r>
        <m:r>
          <m:t>.001</m:t>
        </m:r>
      </m:oMath>
      <w:r>
        <w:t xml:space="preserve">,</w:t>
      </w:r>
      <w:r>
        <w:t xml:space="preserve"> </w:t>
      </w:r>
      <m:oMath>
        <m:r>
          <m:t>d</m:t>
        </m:r>
        <m:r>
          <m:rPr>
            <m:sty m:val="p"/>
          </m:rPr>
          <m:t>=</m:t>
        </m:r>
        <m:r>
          <m:t>0.39</m:t>
        </m:r>
      </m:oMath>
      <w:r>
        <w:t xml:space="preserve">, and a small main effect of the studies,</w:t>
      </w:r>
      <w:r>
        <w:t xml:space="preserve"> </w:t>
      </w:r>
      <m:oMath>
        <m:r>
          <m:t>β</m:t>
        </m:r>
        <m:r>
          <m:rPr>
            <m:sty m:val="p"/>
          </m:rPr>
          <m:t>=</m:t>
        </m:r>
        <m:r>
          <m:rPr>
            <m:sty m:val="p"/>
          </m:rPr>
          <m:t>−</m:t>
        </m:r>
        <m:r>
          <m:t>0.17</m:t>
        </m:r>
      </m:oMath>
      <w:r>
        <w:t xml:space="preserve">,</w:t>
      </w:r>
      <w:r>
        <w:t xml:space="preserve"> </w:t>
      </w:r>
      <m:oMath>
        <m:r>
          <m:t>t</m:t>
        </m:r>
        <m:d>
          <m:dPr>
            <m:begChr m:val="("/>
            <m:sepChr m:val=""/>
            <m:endChr m:val=")"/>
            <m:grow/>
          </m:dPr>
          <m:e>
            <m:r>
              <m:t>298</m:t>
            </m:r>
          </m:e>
        </m:d>
        <m:r>
          <m:rPr>
            <m:sty m:val="p"/>
          </m:rPr>
          <m:t>=</m:t>
        </m:r>
        <m:r>
          <m:rPr>
            <m:sty m:val="p"/>
          </m:rPr>
          <m:t>−</m:t>
        </m:r>
        <m:r>
          <m:t>3.03</m:t>
        </m:r>
      </m:oMath>
      <w:r>
        <w:t xml:space="preserve">,</w:t>
      </w:r>
      <w:r>
        <w:t xml:space="preserve"> </w:t>
      </w:r>
      <m:oMath>
        <m:r>
          <m:t>p</m:t>
        </m:r>
        <m:r>
          <m:rPr>
            <m:sty m:val="p"/>
          </m:rPr>
          <m:t>=</m:t>
        </m:r>
        <m:r>
          <m:t>0.003</m:t>
        </m:r>
      </m:oMath>
      <w:r>
        <w:t xml:space="preserve">,</w:t>
      </w:r>
      <w:r>
        <w:t xml:space="preserve"> </w:t>
      </w:r>
      <m:oMath>
        <m:r>
          <m:t>d</m:t>
        </m:r>
        <m:r>
          <m:rPr>
            <m:sty m:val="p"/>
          </m:rPr>
          <m:t>=</m:t>
        </m:r>
        <m:r>
          <m:t>0.35</m:t>
        </m:r>
      </m:oMath>
      <w:r>
        <w:t xml:space="preserve">, indicating that participants in study 2 reported higher empathy than participants in study 1. However, the interaction between time and study was not significant, providing no support for differential increases in empathy from before to after the event. For closeness, there was a main effect of time,</w:t>
      </w:r>
      <w:r>
        <w:t xml:space="preserve"> </w:t>
      </w:r>
      <m:oMath>
        <m:r>
          <m:t>β</m:t>
        </m:r>
        <m:r>
          <m:rPr>
            <m:sty m:val="p"/>
          </m:rPr>
          <m:t>=</m:t>
        </m:r>
        <m:r>
          <m:t>0.33</m:t>
        </m:r>
      </m:oMath>
      <w:r>
        <w:t xml:space="preserve">,</w:t>
      </w:r>
      <w:r>
        <w:t xml:space="preserve"> </w:t>
      </w:r>
      <m:oMath>
        <m:r>
          <m:t>t</m:t>
        </m:r>
        <m:d>
          <m:dPr>
            <m:begChr m:val="("/>
            <m:sepChr m:val=""/>
            <m:endChr m:val=")"/>
            <m:grow/>
          </m:dPr>
          <m:e>
            <m:r>
              <m:t>294</m:t>
            </m:r>
          </m:e>
        </m:d>
        <m:r>
          <m:rPr>
            <m:sty m:val="p"/>
          </m:rPr>
          <m:t>=</m:t>
        </m:r>
        <m:r>
          <m:t>11.62</m:t>
        </m:r>
      </m:oMath>
      <w:r>
        <w:t xml:space="preserve">,</w:t>
      </w:r>
      <w:r>
        <w:t xml:space="preserve"> </w:t>
      </w:r>
      <m:oMath>
        <m:r>
          <m:t>p</m:t>
        </m:r>
        <m:r>
          <m:rPr>
            <m:sty m:val="p"/>
          </m:rPr>
          <m:t>&lt;</m:t>
        </m:r>
        <m:r>
          <m:t>.001</m:t>
        </m:r>
      </m:oMath>
      <w:r>
        <w:t xml:space="preserve">,</w:t>
      </w:r>
      <w:r>
        <w:t xml:space="preserve"> </w:t>
      </w:r>
      <m:oMath>
        <m:r>
          <m:t>d</m:t>
        </m:r>
        <m:r>
          <m:rPr>
            <m:sty m:val="p"/>
          </m:rPr>
          <m:t>=</m:t>
        </m:r>
        <m:r>
          <m:t>0.69</m:t>
        </m:r>
      </m:oMath>
      <w:r>
        <w:t xml:space="preserve">, which interacted with the studies,</w:t>
      </w:r>
      <w:r>
        <w:t xml:space="preserve"> </w:t>
      </w:r>
      <m:oMath>
        <m:r>
          <m:t>β</m:t>
        </m:r>
        <m:r>
          <m:rPr>
            <m:sty m:val="p"/>
          </m:rPr>
          <m:t>=</m:t>
        </m:r>
        <m:r>
          <m:t>0.08</m:t>
        </m:r>
      </m:oMath>
      <w:r>
        <w:t xml:space="preserve">,</w:t>
      </w:r>
      <w:r>
        <w:t xml:space="preserve"> </w:t>
      </w:r>
      <m:oMath>
        <m:r>
          <m:t>t</m:t>
        </m:r>
        <m:d>
          <m:dPr>
            <m:begChr m:val="("/>
            <m:sepChr m:val=""/>
            <m:endChr m:val=")"/>
            <m:grow/>
          </m:dPr>
          <m:e>
            <m:r>
              <m:t>294</m:t>
            </m:r>
          </m:e>
        </m:d>
        <m:r>
          <m:rPr>
            <m:sty m:val="p"/>
          </m:rPr>
          <m:t>=</m:t>
        </m:r>
        <m:r>
          <m:t>2.77</m:t>
        </m:r>
      </m:oMath>
      <w:r>
        <w:t xml:space="preserve">,</w:t>
      </w:r>
      <w:r>
        <w:t xml:space="preserve"> </w:t>
      </w:r>
      <m:oMath>
        <m:r>
          <m:t>p</m:t>
        </m:r>
        <m:r>
          <m:rPr>
            <m:sty m:val="p"/>
          </m:rPr>
          <m:t>=</m:t>
        </m:r>
        <m:r>
          <m:t>0.006</m:t>
        </m:r>
      </m:oMath>
      <w:r>
        <w:t xml:space="preserve">,</w:t>
      </w:r>
      <w:r>
        <w:t xml:space="preserve"> </w:t>
      </w:r>
      <m:oMath>
        <m:r>
          <m:t>d</m:t>
        </m:r>
        <m:r>
          <m:rPr>
            <m:sty m:val="p"/>
          </m:rPr>
          <m:t>=</m:t>
        </m:r>
        <m:r>
          <m:t>0.16</m:t>
        </m:r>
      </m:oMath>
      <w:r>
        <w:t xml:space="preserve">, indicating larger increases in closeness in study 1 compared to study 2. Finally, even thouhgh the descriptive difference in the amount of charitable behaviours between the two studies pointed in the expected direction (hypothesis 5; see</w:t>
      </w:r>
      <w:r>
        <w:t xml:space="preserve"> </w:t>
      </w:r>
      <w:hyperlink w:anchor="fig-waffle-behaviour">
        <w:r>
          <w:rPr>
            <w:rStyle w:val="Hyperlink"/>
          </w:rPr>
          <w:t xml:space="preserve">Figure 4</w:t>
        </w:r>
      </w:hyperlink>
      <w:r>
        <w:t xml:space="preserve">), this difference was not significance in a Wilcoxon rank-sum test,</w:t>
      </w:r>
      <w:r>
        <w:t xml:space="preserve"> </w:t>
      </w:r>
      <m:oMath>
        <m:r>
          <m:t>W</m:t>
        </m:r>
        <m:r>
          <m:rPr>
            <m:sty m:val="p"/>
          </m:rPr>
          <m:t>=</m:t>
        </m:r>
        <m:r>
          <m:t>951.50</m:t>
        </m:r>
      </m:oMath>
      <w:r>
        <w:t xml:space="preserve">,</w:t>
      </w:r>
      <w:r>
        <w:t xml:space="preserve"> </w:t>
      </w:r>
      <m:oMath>
        <m:r>
          <m:t>p</m:t>
        </m:r>
        <m:r>
          <m:rPr>
            <m:sty m:val="p"/>
          </m:rPr>
          <m:t>=</m:t>
        </m:r>
        <m:r>
          <m:t>.356</m:t>
        </m:r>
      </m:oMath>
      <w:r>
        <w:t xml:space="preserve">.</w:t>
      </w:r>
    </w:p>
    <w:bookmarkEnd w:id="94"/>
    <w:bookmarkEnd w:id="95"/>
    <w:bookmarkStart w:id="96" w:name="discussion-1"/>
    <w:p>
      <w:pPr>
        <w:pStyle w:val="Heading2"/>
      </w:pPr>
      <w:r>
        <w:t xml:space="preserve">Discussion</w:t>
      </w:r>
    </w:p>
    <w:bookmarkEnd w:id="96"/>
    <w:bookmarkEnd w:id="97"/>
    <w:bookmarkStart w:id="104" w:name="general-discussion"/>
    <w:p>
      <w:pPr>
        <w:pStyle w:val="Heading1"/>
      </w:pPr>
      <w:r>
        <w:t xml:space="preserve">General Discussion</w:t>
      </w:r>
    </w:p>
    <w:p>
      <w:pPr>
        <w:pStyle w:val="FirstParagraph"/>
      </w:pPr>
      <w:r>
        <w:t xml:space="preserve">artworks inspure social mentalization more than images believed to be created by computers</w:t>
      </w:r>
      <w:r>
        <w:t xml:space="preserve"> </w:t>
      </w:r>
      <w:r>
        <w:t xml:space="preserve">(</w:t>
      </w:r>
      <w:hyperlink w:anchor="ref-iosifyan2025">
        <w:r>
          <w:rPr>
            <w:rStyle w:val="Hyperlink"/>
          </w:rPr>
          <w:t xml:space="preserve">Iosifyan et al., 2025</w:t>
        </w:r>
      </w:hyperlink>
      <w:r>
        <w:t xml:space="preserve">)</w:t>
      </w:r>
      <w:r>
        <w:t xml:space="preserve">; but artworks elicit more psychological distance than photographic representations of climate change &amp; photographs are more immediately recognizable and leave less room for interpretation</w:t>
      </w:r>
      <w:r>
        <w:t xml:space="preserve"> </w:t>
      </w:r>
      <w:r>
        <w:t xml:space="preserve">(</w:t>
      </w:r>
      <w:hyperlink w:anchor="ref-barkela2025">
        <w:r>
          <w:rPr>
            <w:rStyle w:val="Hyperlink"/>
          </w:rPr>
          <w:t xml:space="preserve">Barkela &amp; Ress, 2025</w:t>
        </w:r>
      </w:hyperlink>
      <w:r>
        <w:t xml:space="preserve">)</w:t>
      </w:r>
      <w:r>
        <w:t xml:space="preserve"> </w:t>
      </w:r>
      <w:r>
        <w:t xml:space="preserve">no difference in behavioural intentions after viewing aesthetic vs amateur war photography</w:t>
      </w:r>
      <w:r>
        <w:t xml:space="preserve"> </w:t>
      </w:r>
      <w:r>
        <w:t xml:space="preserve">(</w:t>
      </w:r>
      <w:hyperlink w:anchor="ref-altenmuller2023">
        <w:r>
          <w:rPr>
            <w:rStyle w:val="Hyperlink"/>
          </w:rPr>
          <w:t xml:space="preserve">Altenmüller &amp; Gollwitzer, 2023</w:t>
        </w:r>
      </w:hyperlink>
      <w:r>
        <w:t xml:space="preserve">)</w:t>
      </w:r>
    </w:p>
    <w:bookmarkStart w:id="100" w:name="displaying-tables"/>
    <w:p>
      <w:pPr>
        <w:pStyle w:val="Heading2"/>
      </w:pPr>
      <w:r>
        <w:t xml:space="preserve">Displaying Tables</w:t>
      </w:r>
    </w:p>
    <w:p>
      <w:pPr>
        <w:pStyle w:val="FirstParagraph"/>
      </w:pPr>
      <w:r>
        <w:t xml:space="preserve">We can make a table the same way as a figure. Generating a table that conforms to APA format in all document formats can be tricky. When the table is simple, the</w:t>
      </w:r>
      <w:r>
        <w:t xml:space="preserve"> </w:t>
      </w:r>
      <w:r>
        <w:rPr>
          <w:rStyle w:val="VerbatimChar"/>
        </w:rPr>
        <w:t xml:space="preserve">kable</w:t>
      </w:r>
      <w:r>
        <w:t xml:space="preserve"> </w:t>
      </w:r>
      <w:r>
        <w:t xml:space="preserve">function from knitr works well. Feel free to experiment with different methods, but I have found that David Gohel’s</w:t>
      </w:r>
      <w:r>
        <w:t xml:space="preserve"> </w:t>
      </w:r>
      <w:hyperlink r:id="rId98">
        <w:r>
          <w:rPr>
            <w:rStyle w:val="Hyperlink"/>
          </w:rPr>
          <w:t xml:space="preserve">flextable</w:t>
        </w:r>
      </w:hyperlink>
      <w:r>
        <w:t xml:space="preserve"> </w:t>
      </w:r>
      <w:r>
        <w:t xml:space="preserve">to be the best option when I need something more complex.</w:t>
      </w:r>
    </w:p>
    <w:bookmarkStart w:id="99" w:name="tbl-mytable"/>
    <w:p>
      <w:pPr>
        <w:pStyle w:val="FigureTitle"/>
      </w:pPr>
      <w:r>
        <w:t xml:space="preserve">Table 2</w:t>
      </w:r>
    </w:p>
    <w:p>
      <w:pPr>
        <w:pStyle w:val="Caption"/>
      </w:pPr>
      <w:r>
        <w:t xml:space="preserve">The Table Caption.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Numbers</w:t>
            </w:r>
          </w:p>
        </w:tc>
        <w:tc>
          <w:tcPr/>
          <w:p>
            <w:pPr>
              <w:pStyle w:val="Compact"/>
              <w:jc w:val="left"/>
            </w:pPr>
            <w:r>
              <w:t xml:space="preserve">Letters</w:t>
            </w:r>
          </w:p>
        </w:tc>
      </w:tr>
      <w:tr>
        <w:tc>
          <w:tcPr/>
          <w:p>
            <w:pPr>
              <w:pStyle w:val="Compact"/>
              <w:jc w:val="right"/>
            </w:pPr>
            <w:r>
              <w:t xml:space="preserve">1</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C</w:t>
            </w:r>
          </w:p>
        </w:tc>
      </w:tr>
      <w:tr>
        <w:tc>
          <w:tcPr/>
          <w:p>
            <w:pPr>
              <w:pStyle w:val="Compact"/>
              <w:jc w:val="right"/>
            </w:pPr>
            <w:r>
              <w:t xml:space="preserve">4</w:t>
            </w:r>
          </w:p>
        </w:tc>
        <w:tc>
          <w:tcPr/>
          <w:p>
            <w:pPr>
              <w:pStyle w:val="Compact"/>
              <w:jc w:val="left"/>
            </w:pPr>
            <w:r>
              <w:t xml:space="preserve">D</w:t>
            </w:r>
          </w:p>
        </w:tc>
      </w:tr>
    </w:tbl>
    <w:bookmarkEnd w:id="99"/>
    <w:p>
      <w:pPr>
        <w:pStyle w:val="FigureNote"/>
      </w:pPr>
      <w:r>
        <w:rPr>
          <w:i/>
          <w:iCs/>
        </w:rPr>
        <w:t xml:space="preserve">Note</w:t>
      </w:r>
      <w:r>
        <w:t xml:space="preserve">. The note below the table.</w:t>
      </w:r>
    </w:p>
    <w:p>
      <w:pPr>
        <w:pStyle w:val="BodyText"/>
      </w:pPr>
      <w:r>
        <w:t xml:space="preserve">To refer to this table in text, use the</w:t>
      </w:r>
      <w:r>
        <w:t xml:space="preserve"> </w:t>
      </w:r>
      <w:r>
        <w:rPr>
          <w:rStyle w:val="VerbatimChar"/>
        </w:rPr>
        <w:t xml:space="preserve">@</w:t>
      </w:r>
      <w:r>
        <w:t xml:space="preserve"> </w:t>
      </w:r>
      <w:r>
        <w:t xml:space="preserve">symbol followed by the reference label like so: As seen in</w:t>
      </w:r>
      <w:r>
        <w:t xml:space="preserve"> </w:t>
      </w:r>
      <w:hyperlink w:anchor="tbl-mytable">
        <w:r>
          <w:rPr>
            <w:rStyle w:val="Hyperlink"/>
          </w:rPr>
          <w:t xml:space="preserve">Table 2</w:t>
        </w:r>
      </w:hyperlink>
      <w:r>
        <w:t xml:space="preserve">, the first few numbers and letters of the alphabet are displayed.</w:t>
      </w:r>
    </w:p>
    <w:bookmarkEnd w:id="100"/>
    <w:bookmarkStart w:id="103" w:name="tables"/>
    <w:p>
      <w:pPr>
        <w:pStyle w:val="Heading2"/>
      </w:pPr>
      <w:r>
        <w:t xml:space="preserve">Tables</w:t>
      </w:r>
    </w:p>
    <w:p>
      <w:pPr>
        <w:pStyle w:val="FirstParagraph"/>
      </w:pPr>
      <w:hyperlink w:anchor="tbl-mymarkdowntable2">
        <w:r>
          <w:rPr>
            <w:rStyle w:val="Hyperlink"/>
          </w:rPr>
          <w:t xml:space="preserve">Table 3</w:t>
        </w:r>
      </w:hyperlink>
      <w:r>
        <w:t xml:space="preserve"> </w:t>
      </w:r>
      <w:r>
        <w:t xml:space="preserve">is an example of a plain markdown table. Note the that the caption begins with a colon.</w:t>
      </w:r>
    </w:p>
    <w:bookmarkStart w:id="102" w:name="tbl-mymarkdowntable2"/>
    <w:p>
      <w:pPr>
        <w:pStyle w:val="FigureTitle"/>
      </w:pPr>
      <w:r>
        <w:t xml:space="preserve">Table 3</w:t>
      </w:r>
    </w:p>
    <w:p>
      <w:pPr>
        <w:pStyle w:val="Caption"/>
      </w:pPr>
      <w:r>
        <w:t xml:space="preserve">My Caption.</w:t>
      </w:r>
    </w:p>
    <w:bookmarkStart w:id="101" w:name="tbl-mymarkdowntable2"/>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Letters</w:t>
            </w:r>
          </w:p>
        </w:tc>
        <w:tc>
          <w:tcPr/>
          <w:p>
            <w:pPr>
              <w:pStyle w:val="Compact"/>
              <w:jc w:val="center"/>
            </w:pPr>
            <w:r>
              <w:t xml:space="preserve">Numbers</w:t>
            </w:r>
          </w:p>
        </w:tc>
      </w:tr>
      <w:tr>
        <w:tc>
          <w:tcPr/>
          <w:p>
            <w:pPr>
              <w:pStyle w:val="Compact"/>
              <w:jc w:val="center"/>
            </w:pPr>
            <w:r>
              <w:t xml:space="preserve">A</w:t>
            </w:r>
          </w:p>
        </w:tc>
        <w:tc>
          <w:tcPr/>
          <w:p>
            <w:pPr>
              <w:pStyle w:val="Compact"/>
              <w:jc w:val="center"/>
            </w:pPr>
            <w:r>
              <w:t xml:space="preserve">1</w:t>
            </w:r>
          </w:p>
        </w:tc>
      </w:tr>
      <w:tr>
        <w:tc>
          <w:tcPr/>
          <w:p>
            <w:pPr>
              <w:pStyle w:val="Compact"/>
              <w:jc w:val="center"/>
            </w:pPr>
            <w:r>
              <w:t xml:space="preserve">B</w:t>
            </w:r>
          </w:p>
        </w:tc>
        <w:tc>
          <w:tcPr/>
          <w:p>
            <w:pPr>
              <w:pStyle w:val="Compact"/>
              <w:jc w:val="center"/>
            </w:pPr>
            <w:r>
              <w:t xml:space="preserve">2</w:t>
            </w:r>
          </w:p>
        </w:tc>
      </w:tr>
      <w:tr>
        <w:tc>
          <w:tcPr/>
          <w:p>
            <w:pPr>
              <w:pStyle w:val="Compact"/>
              <w:jc w:val="center"/>
            </w:pPr>
            <w:r>
              <w:t xml:space="preserve">C</w:t>
            </w:r>
          </w:p>
        </w:tc>
        <w:tc>
          <w:tcPr/>
          <w:p>
            <w:pPr>
              <w:pStyle w:val="Compact"/>
              <w:jc w:val="center"/>
            </w:pPr>
            <w:r>
              <w:t xml:space="preserve">3</w:t>
            </w:r>
          </w:p>
        </w:tc>
      </w:tr>
    </w:tbl>
    <w:bookmarkEnd w:id="101"/>
    <w:bookmarkEnd w:id="102"/>
    <w:p>
      <w:pPr>
        <w:pStyle w:val="FigureNote"/>
      </w:pPr>
      <w:r>
        <w:rPr>
          <w:i/>
          <w:iCs/>
        </w:rPr>
        <w:t xml:space="preserve">Note</w:t>
      </w:r>
      <w:r>
        <w:t xml:space="preserve">. My note</w:t>
      </w:r>
    </w:p>
    <w:bookmarkEnd w:id="103"/>
    <w:bookmarkEnd w:id="104"/>
    <w:bookmarkStart w:id="285" w:name="references"/>
    <w:p>
      <w:pPr>
        <w:pStyle w:val="Heading1"/>
      </w:pPr>
      <w:r>
        <w:t xml:space="preserve">References</w:t>
      </w:r>
    </w:p>
    <w:bookmarkStart w:id="284" w:name="refs"/>
    <w:bookmarkStart w:id="106" w:name="ref-ajzen1991"/>
    <w:p>
      <w:pPr>
        <w:pStyle w:val="Bibliography"/>
      </w:pPr>
      <w:r>
        <w:t xml:space="preserve">Ajzen, I. (1991). The theory of planned behavior.</w:t>
      </w:r>
      <w:r>
        <w:t xml:space="preserve"> </w:t>
      </w:r>
      <w:r>
        <w:rPr>
          <w:i/>
          <w:iCs/>
        </w:rPr>
        <w:t xml:space="preserve">Organizational Behavior and Human Decision Processes</w:t>
      </w:r>
      <w:r>
        <w:t xml:space="preserve">,</w:t>
      </w:r>
      <w:r>
        <w:t xml:space="preserve"> </w:t>
      </w:r>
      <w:r>
        <w:rPr>
          <w:i/>
          <w:iCs/>
        </w:rPr>
        <w:t xml:space="preserve">50</w:t>
      </w:r>
      <w:r>
        <w:t xml:space="preserve">(2), 179–211.</w:t>
      </w:r>
      <w:r>
        <w:t xml:space="preserve"> </w:t>
      </w:r>
      <w:hyperlink r:id="rId105">
        <w:r>
          <w:rPr>
            <w:rStyle w:val="Hyperlink"/>
          </w:rPr>
          <w:t xml:space="preserve">https://doi.org/10.1016/0749-5978(91)90020-T</w:t>
        </w:r>
      </w:hyperlink>
    </w:p>
    <w:bookmarkEnd w:id="106"/>
    <w:bookmarkStart w:id="108" w:name="ref-ajzen2011"/>
    <w:p>
      <w:pPr>
        <w:pStyle w:val="Bibliography"/>
      </w:pPr>
      <w:r>
        <w:t xml:space="preserve">Ajzen, I. (2011). The theory of planned behaviour:</w:t>
      </w:r>
      <w:r>
        <w:t xml:space="preserve"> </w:t>
      </w:r>
      <w:r>
        <w:t xml:space="preserve">Reactions</w:t>
      </w:r>
      <w:r>
        <w:t xml:space="preserve"> </w:t>
      </w:r>
      <w:r>
        <w:t xml:space="preserve">and reflections.</w:t>
      </w:r>
      <w:r>
        <w:t xml:space="preserve"> </w:t>
      </w:r>
      <w:r>
        <w:rPr>
          <w:i/>
          <w:iCs/>
        </w:rPr>
        <w:t xml:space="preserve">Psychology &amp; Health</w:t>
      </w:r>
      <w:r>
        <w:t xml:space="preserve">,</w:t>
      </w:r>
      <w:r>
        <w:t xml:space="preserve"> </w:t>
      </w:r>
      <w:r>
        <w:rPr>
          <w:i/>
          <w:iCs/>
        </w:rPr>
        <w:t xml:space="preserve">26</w:t>
      </w:r>
      <w:r>
        <w:t xml:space="preserve">(9), 1113–1127.</w:t>
      </w:r>
      <w:r>
        <w:t xml:space="preserve"> </w:t>
      </w:r>
      <w:hyperlink r:id="rId107">
        <w:r>
          <w:rPr>
            <w:rStyle w:val="Hyperlink"/>
          </w:rPr>
          <w:t xml:space="preserve">https://doi.org/10.1080/08870446.2011.613995</w:t>
        </w:r>
      </w:hyperlink>
    </w:p>
    <w:bookmarkEnd w:id="108"/>
    <w:bookmarkStart w:id="110" w:name="ref-almaatouq2024"/>
    <w:p>
      <w:pPr>
        <w:pStyle w:val="Bibliography"/>
      </w:pPr>
      <w:r>
        <w:t xml:space="preserve">Almaatouq, A., Griffiths, T. L., Suchow, J. W., Whiting, M. E., Evans, J., &amp; Watts, D. J. (2024). Beyond playing 20 questions with nature:</w:t>
      </w:r>
      <w:r>
        <w:t xml:space="preserve"> </w:t>
      </w:r>
      <w:r>
        <w:t xml:space="preserve">Integrative</w:t>
      </w:r>
      <w:r>
        <w:t xml:space="preserve"> </w:t>
      </w:r>
      <w:r>
        <w:t xml:space="preserve">experiment design in the social and behavioral sciences.</w:t>
      </w:r>
      <w:r>
        <w:t xml:space="preserve"> </w:t>
      </w:r>
      <w:r>
        <w:rPr>
          <w:i/>
          <w:iCs/>
        </w:rPr>
        <w:t xml:space="preserve">Behavioral and Brain Sciences</w:t>
      </w:r>
      <w:r>
        <w:t xml:space="preserve">,</w:t>
      </w:r>
      <w:r>
        <w:t xml:space="preserve"> </w:t>
      </w:r>
      <w:r>
        <w:rPr>
          <w:i/>
          <w:iCs/>
        </w:rPr>
        <w:t xml:space="preserve">47</w:t>
      </w:r>
      <w:r>
        <w:t xml:space="preserve">, e33.</w:t>
      </w:r>
      <w:r>
        <w:t xml:space="preserve"> </w:t>
      </w:r>
      <w:hyperlink r:id="rId109">
        <w:r>
          <w:rPr>
            <w:rStyle w:val="Hyperlink"/>
          </w:rPr>
          <w:t xml:space="preserve">https://doi.org/10.1017/S0140525X22002874</w:t>
        </w:r>
      </w:hyperlink>
    </w:p>
    <w:bookmarkEnd w:id="110"/>
    <w:bookmarkStart w:id="112" w:name="ref-altenmuller2023"/>
    <w:p>
      <w:pPr>
        <w:pStyle w:val="Bibliography"/>
      </w:pPr>
      <w:r>
        <w:t xml:space="preserve">Altenmüller, M. S., &amp; Gollwitzer, M. (2023). Power of pictures?</w:t>
      </w:r>
      <w:r>
        <w:t xml:space="preserve"> </w:t>
      </w:r>
      <w:r>
        <w:t xml:space="preserve">Questioning</w:t>
      </w:r>
      <w:r>
        <w:t xml:space="preserve"> </w:t>
      </w:r>
      <w:r>
        <w:t xml:space="preserve">the emotionalization and behavioral activation potential of aesthetics in war photography.</w:t>
      </w:r>
      <w:r>
        <w:t xml:space="preserve"> </w:t>
      </w:r>
      <w:r>
        <w:rPr>
          <w:i/>
          <w:iCs/>
        </w:rPr>
        <w:t xml:space="preserve">Psychology of Aesthetics, Creativity, and the Arts</w:t>
      </w:r>
      <w:r>
        <w:t xml:space="preserve">.</w:t>
      </w:r>
      <w:r>
        <w:t xml:space="preserve"> </w:t>
      </w:r>
      <w:hyperlink r:id="rId111">
        <w:r>
          <w:rPr>
            <w:rStyle w:val="Hyperlink"/>
          </w:rPr>
          <w:t xml:space="preserve">https://doi.org/10.1037/aca0000607</w:t>
        </w:r>
      </w:hyperlink>
    </w:p>
    <w:bookmarkEnd w:id="112"/>
    <w:bookmarkStart w:id="114" w:name="ref-aron1992"/>
    <w:p>
      <w:pPr>
        <w:pStyle w:val="Bibliography"/>
      </w:pPr>
      <w:r>
        <w:t xml:space="preserve">Aron, A., Aron, E. N., &amp; Smollan, D. (1992). Inclusion of other in the self scale and the structure of interpersonal closeness.</w:t>
      </w:r>
      <w:r>
        <w:t xml:space="preserve"> </w:t>
      </w:r>
      <w:r>
        <w:rPr>
          <w:i/>
          <w:iCs/>
        </w:rPr>
        <w:t xml:space="preserve">Journal of Personality and Social Psychology</w:t>
      </w:r>
      <w:r>
        <w:t xml:space="preserve">,</w:t>
      </w:r>
      <w:r>
        <w:t xml:space="preserve"> </w:t>
      </w:r>
      <w:r>
        <w:rPr>
          <w:i/>
          <w:iCs/>
        </w:rPr>
        <w:t xml:space="preserve">63</w:t>
      </w:r>
      <w:r>
        <w:t xml:space="preserve">(4), 596.</w:t>
      </w:r>
      <w:r>
        <w:t xml:space="preserve"> </w:t>
      </w:r>
      <w:hyperlink r:id="rId113">
        <w:r>
          <w:rPr>
            <w:rStyle w:val="Hyperlink"/>
          </w:rPr>
          <w:t xml:space="preserve">https://doi.org/10.1037/0022-3514.63.4.596</w:t>
        </w:r>
      </w:hyperlink>
    </w:p>
    <w:bookmarkEnd w:id="114"/>
    <w:bookmarkStart w:id="116" w:name="ref-barkela2025"/>
    <w:p>
      <w:pPr>
        <w:pStyle w:val="Bibliography"/>
      </w:pPr>
      <w:r>
        <w:t xml:space="preserve">Barkela, B., &amp; Ress, J. (2025). Does</w:t>
      </w:r>
      <w:r>
        <w:t xml:space="preserve"> </w:t>
      </w:r>
      <w:r>
        <w:t xml:space="preserve">Art Make</w:t>
      </w:r>
      <w:r>
        <w:t xml:space="preserve"> </w:t>
      </w:r>
      <w:r>
        <w:t xml:space="preserve">a</w:t>
      </w:r>
      <w:r>
        <w:t xml:space="preserve"> </w:t>
      </w:r>
      <w:r>
        <w:t xml:space="preserve">Difference</w:t>
      </w:r>
      <w:r>
        <w:t xml:space="preserve">? –</w:t>
      </w:r>
      <w:r>
        <w:t xml:space="preserve"> </w:t>
      </w:r>
      <w:r>
        <w:t xml:space="preserve">An Experimental Investigation</w:t>
      </w:r>
      <w:r>
        <w:t xml:space="preserve"> </w:t>
      </w:r>
      <w:r>
        <w:t xml:space="preserve">of</w:t>
      </w:r>
      <w:r>
        <w:t xml:space="preserve"> </w:t>
      </w:r>
      <w:r>
        <w:t xml:space="preserve">Differential Perception</w:t>
      </w:r>
      <w:r>
        <w:t xml:space="preserve"> </w:t>
      </w:r>
      <w:r>
        <w:t xml:space="preserve">and</w:t>
      </w:r>
      <w:r>
        <w:t xml:space="preserve"> </w:t>
      </w:r>
      <w:r>
        <w:t xml:space="preserve">Processing</w:t>
      </w:r>
      <w:r>
        <w:t xml:space="preserve"> </w:t>
      </w:r>
      <w:r>
        <w:t xml:space="preserve">in the</w:t>
      </w:r>
      <w:r>
        <w:t xml:space="preserve"> </w:t>
      </w:r>
      <w:r>
        <w:t xml:space="preserve">Reception</w:t>
      </w:r>
      <w:r>
        <w:t xml:space="preserve"> </w:t>
      </w:r>
      <w:r>
        <w:t xml:space="preserve">of</w:t>
      </w:r>
      <w:r>
        <w:t xml:space="preserve"> </w:t>
      </w:r>
      <w:r>
        <w:t xml:space="preserve">Artistic</w:t>
      </w:r>
      <w:r>
        <w:t xml:space="preserve"> </w:t>
      </w:r>
      <w:r>
        <w:t xml:space="preserve">and</w:t>
      </w:r>
      <w:r>
        <w:t xml:space="preserve"> </w:t>
      </w:r>
      <w:r>
        <w:t xml:space="preserve">Non-Artistic Apocalyptic Climate Images</w:t>
      </w:r>
      <w:r>
        <w:t xml:space="preserve">.</w:t>
      </w:r>
      <w:r>
        <w:t xml:space="preserve"> </w:t>
      </w:r>
      <w:r>
        <w:rPr>
          <w:i/>
          <w:iCs/>
        </w:rPr>
        <w:t xml:space="preserve">Empirical Studies of the Arts</w:t>
      </w:r>
      <w:r>
        <w:t xml:space="preserve">, 02762374251320816.</w:t>
      </w:r>
      <w:r>
        <w:t xml:space="preserve"> </w:t>
      </w:r>
      <w:hyperlink r:id="rId115">
        <w:r>
          <w:rPr>
            <w:rStyle w:val="Hyperlink"/>
          </w:rPr>
          <w:t xml:space="preserve">https://doi.org/10.1177/02762374251320816</w:t>
        </w:r>
      </w:hyperlink>
    </w:p>
    <w:bookmarkEnd w:id="116"/>
    <w:bookmarkStart w:id="117" w:name="ref-batson1987"/>
    <w:p>
      <w:pPr>
        <w:pStyle w:val="Bibliography"/>
      </w:pPr>
      <w:r>
        <w:t xml:space="preserve">Batson, C. D. (1987). Prosocial</w:t>
      </w:r>
      <w:r>
        <w:t xml:space="preserve"> </w:t>
      </w:r>
      <w:r>
        <w:t xml:space="preserve">Motivation</w:t>
      </w:r>
      <w:r>
        <w:t xml:space="preserve">:</w:t>
      </w:r>
      <w:r>
        <w:t xml:space="preserve"> </w:t>
      </w:r>
      <w:r>
        <w:t xml:space="preserve">Is</w:t>
      </w:r>
      <w:r>
        <w:t xml:space="preserve"> </w:t>
      </w:r>
      <w:r>
        <w:t xml:space="preserve">it ever</w:t>
      </w:r>
      <w:r>
        <w:t xml:space="preserve"> </w:t>
      </w:r>
      <w:r>
        <w:t xml:space="preserve">Truly Altruistic</w:t>
      </w:r>
      <w:r>
        <w:t xml:space="preserve">? In L. Berkowitz (Ed.),</w:t>
      </w:r>
      <w:r>
        <w:t xml:space="preserve"> </w:t>
      </w:r>
      <w:r>
        <w:rPr>
          <w:i/>
          <w:iCs/>
        </w:rPr>
        <w:t xml:space="preserve">Advances in</w:t>
      </w:r>
      <w:r>
        <w:rPr>
          <w:i/>
          <w:iCs/>
        </w:rPr>
        <w:t xml:space="preserve"> </w:t>
      </w:r>
      <w:r>
        <w:rPr>
          <w:i/>
          <w:iCs/>
        </w:rPr>
        <w:t xml:space="preserve">Experimental Social Psychology</w:t>
      </w:r>
      <w:r>
        <w:t xml:space="preserve"> </w:t>
      </w:r>
      <w:r>
        <w:t xml:space="preserve">(Vol. 20, pp. 65–122). Academic Press.</w:t>
      </w:r>
    </w:p>
    <w:bookmarkEnd w:id="117"/>
    <w:bookmarkStart w:id="119" w:name="ref-batson2011"/>
    <w:p>
      <w:pPr>
        <w:pStyle w:val="Bibliography"/>
      </w:pPr>
      <w:r>
        <w:t xml:space="preserve">Batson, C. D. (2011).</w:t>
      </w:r>
      <w:r>
        <w:t xml:space="preserve"> </w:t>
      </w:r>
      <w:r>
        <w:rPr>
          <w:i/>
          <w:iCs/>
        </w:rPr>
        <w:t xml:space="preserve">Altruism in humans</w:t>
      </w:r>
      <w:r>
        <w:t xml:space="preserve"> </w:t>
      </w:r>
      <w:r>
        <w:t xml:space="preserve">(1st ed.). Oxford University Press.</w:t>
      </w:r>
      <w:r>
        <w:t xml:space="preserve"> </w:t>
      </w:r>
      <w:hyperlink r:id="rId118">
        <w:r>
          <w:rPr>
            <w:rStyle w:val="Hyperlink"/>
          </w:rPr>
          <w:t xml:space="preserve">https://doi.org/10.1093/acprof:oso/9780195341065.001.0001</w:t>
        </w:r>
      </w:hyperlink>
    </w:p>
    <w:bookmarkEnd w:id="119"/>
    <w:bookmarkStart w:id="121" w:name="ref-batson1981"/>
    <w:p>
      <w:pPr>
        <w:pStyle w:val="Bibliography"/>
      </w:pPr>
      <w:r>
        <w:t xml:space="preserve">Batson, C. D., Duncan, B. D., Ackerman, P., Buckley, T., &amp; Birch, K. (1981). Is empathic emotion a source of altruistic motivation?</w:t>
      </w:r>
      <w:r>
        <w:t xml:space="preserve"> </w:t>
      </w:r>
      <w:r>
        <w:rPr>
          <w:i/>
          <w:iCs/>
        </w:rPr>
        <w:t xml:space="preserve">Journal of Personality and Social Psychology</w:t>
      </w:r>
      <w:r>
        <w:t xml:space="preserve">,</w:t>
      </w:r>
      <w:r>
        <w:t xml:space="preserve"> </w:t>
      </w:r>
      <w:r>
        <w:rPr>
          <w:i/>
          <w:iCs/>
        </w:rPr>
        <w:t xml:space="preserve">40</w:t>
      </w:r>
      <w:r>
        <w:t xml:space="preserve">(2), 290–302.</w:t>
      </w:r>
      <w:r>
        <w:t xml:space="preserve"> </w:t>
      </w:r>
      <w:hyperlink r:id="rId120">
        <w:r>
          <w:rPr>
            <w:rStyle w:val="Hyperlink"/>
          </w:rPr>
          <w:t xml:space="preserve">https://doi.org/10.1037/0022-3514.40.2.290</w:t>
        </w:r>
      </w:hyperlink>
    </w:p>
    <w:bookmarkEnd w:id="121"/>
    <w:bookmarkStart w:id="123" w:name="ref-batson1995"/>
    <w:p>
      <w:pPr>
        <w:pStyle w:val="Bibliography"/>
      </w:pPr>
      <w:r>
        <w:t xml:space="preserve">Batson, C. D., Turk, C. L., Shaw, L. L., &amp; Klein, T. R. (1995). Information function of empathic emotion:</w:t>
      </w:r>
      <w:r>
        <w:t xml:space="preserve"> </w:t>
      </w:r>
      <w:r>
        <w:t xml:space="preserve">Learning</w:t>
      </w:r>
      <w:r>
        <w:t xml:space="preserve"> </w:t>
      </w:r>
      <w:r>
        <w:t xml:space="preserve">that we value the other’s welfare.</w:t>
      </w:r>
      <w:r>
        <w:t xml:space="preserve"> </w:t>
      </w:r>
      <w:r>
        <w:rPr>
          <w:i/>
          <w:iCs/>
        </w:rPr>
        <w:t xml:space="preserve">Journal of Personality and Social Psychology</w:t>
      </w:r>
      <w:r>
        <w:t xml:space="preserve">,</w:t>
      </w:r>
      <w:r>
        <w:t xml:space="preserve"> </w:t>
      </w:r>
      <w:r>
        <w:rPr>
          <w:i/>
          <w:iCs/>
        </w:rPr>
        <w:t xml:space="preserve">68</w:t>
      </w:r>
      <w:r>
        <w:t xml:space="preserve">(2), 300–313.</w:t>
      </w:r>
      <w:r>
        <w:t xml:space="preserve"> </w:t>
      </w:r>
      <w:hyperlink r:id="rId122">
        <w:r>
          <w:rPr>
            <w:rStyle w:val="Hyperlink"/>
          </w:rPr>
          <w:t xml:space="preserve">https://doi.org/10.1037/0022-3514.68.2.300</w:t>
        </w:r>
      </w:hyperlink>
    </w:p>
    <w:bookmarkEnd w:id="123"/>
    <w:bookmarkStart w:id="124" w:name="ref-bauer2021"/>
    <w:p>
      <w:pPr>
        <w:pStyle w:val="Bibliography"/>
      </w:pPr>
      <w:r>
        <w:t xml:space="preserve">Bauer, G. R. (2021). Quantitative intersectional study design and primary data collection.</w:t>
      </w:r>
      <w:r>
        <w:t xml:space="preserve"> </w:t>
      </w:r>
      <w:r>
        <w:rPr>
          <w:i/>
          <w:iCs/>
        </w:rPr>
        <w:t xml:space="preserve">Meet the Methods Series</w:t>
      </w:r>
      <w:r>
        <w:t xml:space="preserve">,</w:t>
      </w:r>
      <w:r>
        <w:t xml:space="preserve"> </w:t>
      </w:r>
      <w:r>
        <w:rPr>
          <w:i/>
          <w:iCs/>
        </w:rPr>
        <w:t xml:space="preserve">3</w:t>
      </w:r>
      <w:r>
        <w:t xml:space="preserve">(1).</w:t>
      </w:r>
    </w:p>
    <w:bookmarkEnd w:id="124"/>
    <w:bookmarkStart w:id="126" w:name="ref-bekkers2011"/>
    <w:p>
      <w:pPr>
        <w:pStyle w:val="Bibliography"/>
      </w:pPr>
      <w:r>
        <w:t xml:space="preserve">Bekkers, R., &amp; Wiepking, P. (2011). A</w:t>
      </w:r>
      <w:r>
        <w:t xml:space="preserve"> </w:t>
      </w:r>
      <w:r>
        <w:t xml:space="preserve">Literature Review</w:t>
      </w:r>
      <w:r>
        <w:t xml:space="preserve"> </w:t>
      </w:r>
      <w:r>
        <w:t xml:space="preserve">of</w:t>
      </w:r>
      <w:r>
        <w:t xml:space="preserve"> </w:t>
      </w:r>
      <w:r>
        <w:t xml:space="preserve">Empirical Studies</w:t>
      </w:r>
      <w:r>
        <w:t xml:space="preserve"> </w:t>
      </w:r>
      <w:r>
        <w:t xml:space="preserve">of</w:t>
      </w:r>
      <w:r>
        <w:t xml:space="preserve"> </w:t>
      </w:r>
      <w:r>
        <w:t xml:space="preserve">Philanthropy</w:t>
      </w:r>
      <w:r>
        <w:t xml:space="preserve">:</w:t>
      </w:r>
      <w:r>
        <w:t xml:space="preserve"> </w:t>
      </w:r>
      <w:r>
        <w:t xml:space="preserve">Eight Mechanisms That Drive Charitable Giving</w:t>
      </w:r>
      <w:r>
        <w:t xml:space="preserve">.</w:t>
      </w:r>
      <w:r>
        <w:t xml:space="preserve"> </w:t>
      </w:r>
      <w:r>
        <w:rPr>
          <w:i/>
          <w:iCs/>
        </w:rPr>
        <w:t xml:space="preserve">Nonprofit and Voluntary Sector Quarterly</w:t>
      </w:r>
      <w:r>
        <w:t xml:space="preserve">,</w:t>
      </w:r>
      <w:r>
        <w:t xml:space="preserve"> </w:t>
      </w:r>
      <w:r>
        <w:rPr>
          <w:i/>
          <w:iCs/>
        </w:rPr>
        <w:t xml:space="preserve">40</w:t>
      </w:r>
      <w:r>
        <w:t xml:space="preserve">(5), 924–973.</w:t>
      </w:r>
      <w:r>
        <w:t xml:space="preserve"> </w:t>
      </w:r>
      <w:hyperlink r:id="rId125">
        <w:r>
          <w:rPr>
            <w:rStyle w:val="Hyperlink"/>
          </w:rPr>
          <w:t xml:space="preserve">https://doi.org/10.1177/0899764010380927</w:t>
        </w:r>
      </w:hyperlink>
    </w:p>
    <w:bookmarkEnd w:id="126"/>
    <w:bookmarkStart w:id="128" w:name="ref-boer2011"/>
    <w:p>
      <w:pPr>
        <w:pStyle w:val="Bibliography"/>
      </w:pPr>
      <w:r>
        <w:t xml:space="preserve">Boer, D., Fischer, R., Strack, M., Bond, M. H., Lo, E., &amp; Lam, J. (2011). How</w:t>
      </w:r>
      <w:r>
        <w:t xml:space="preserve"> </w:t>
      </w:r>
      <w:r>
        <w:t xml:space="preserve">Shared Preferences</w:t>
      </w:r>
      <w:r>
        <w:t xml:space="preserve"> </w:t>
      </w:r>
      <w:r>
        <w:t xml:space="preserve">in</w:t>
      </w:r>
      <w:r>
        <w:t xml:space="preserve"> </w:t>
      </w:r>
      <w:r>
        <w:t xml:space="preserve">Music Create Bonds Between People</w:t>
      </w:r>
      <w:r>
        <w:t xml:space="preserve">:</w:t>
      </w:r>
      <w:r>
        <w:t xml:space="preserve"> </w:t>
      </w:r>
      <w:r>
        <w:t xml:space="preserve">Values</w:t>
      </w:r>
      <w:r>
        <w:t xml:space="preserve"> </w:t>
      </w:r>
      <w:r>
        <w:t xml:space="preserve">as the</w:t>
      </w:r>
      <w:r>
        <w:t xml:space="preserve"> </w:t>
      </w:r>
      <w:r>
        <w:t xml:space="preserve">Missing Link</w:t>
      </w:r>
      <w:r>
        <w:t xml:space="preserve">.</w:t>
      </w:r>
      <w:r>
        <w:t xml:space="preserve"> </w:t>
      </w:r>
      <w:r>
        <w:rPr>
          <w:i/>
          <w:iCs/>
        </w:rPr>
        <w:t xml:space="preserve">Personality and Social Psychology Bulletin</w:t>
      </w:r>
      <w:r>
        <w:t xml:space="preserve">,</w:t>
      </w:r>
      <w:r>
        <w:t xml:space="preserve"> </w:t>
      </w:r>
      <w:r>
        <w:rPr>
          <w:i/>
          <w:iCs/>
        </w:rPr>
        <w:t xml:space="preserve">37</w:t>
      </w:r>
      <w:r>
        <w:t xml:space="preserve">(9), 1159–1171.</w:t>
      </w:r>
      <w:r>
        <w:t xml:space="preserve"> </w:t>
      </w:r>
      <w:hyperlink r:id="rId127">
        <w:r>
          <w:rPr>
            <w:rStyle w:val="Hyperlink"/>
          </w:rPr>
          <w:t xml:space="preserve">https://doi.org/10.1177/0146167211407521</w:t>
        </w:r>
      </w:hyperlink>
    </w:p>
    <w:bookmarkEnd w:id="128"/>
    <w:bookmarkStart w:id="130" w:name="ref-brysbaert2018"/>
    <w:p>
      <w:pPr>
        <w:pStyle w:val="Bibliography"/>
      </w:pPr>
      <w:r>
        <w:t xml:space="preserve">Brysbaert, M., &amp; Stevens, M. (2018). Power analysis and effect size in mixed effects models:</w:t>
      </w:r>
      <w:r>
        <w:t xml:space="preserve"> </w:t>
      </w:r>
      <w:r>
        <w:t xml:space="preserve">A</w:t>
      </w:r>
      <w:r>
        <w:t xml:space="preserve"> </w:t>
      </w:r>
      <w:r>
        <w:t xml:space="preserve">tutorial.</w:t>
      </w:r>
      <w:r>
        <w:t xml:space="preserve"> </w:t>
      </w:r>
      <w:r>
        <w:rPr>
          <w:i/>
          <w:iCs/>
        </w:rPr>
        <w:t xml:space="preserve">Journal of Cognition</w:t>
      </w:r>
      <w:r>
        <w:t xml:space="preserve">,</w:t>
      </w:r>
      <w:r>
        <w:t xml:space="preserve"> </w:t>
      </w:r>
      <w:r>
        <w:rPr>
          <w:i/>
          <w:iCs/>
        </w:rPr>
        <w:t xml:space="preserve">1</w:t>
      </w:r>
      <w:r>
        <w:t xml:space="preserve">(1), 9.</w:t>
      </w:r>
      <w:r>
        <w:t xml:space="preserve"> </w:t>
      </w:r>
      <w:hyperlink r:id="rId129">
        <w:r>
          <w:rPr>
            <w:rStyle w:val="Hyperlink"/>
          </w:rPr>
          <w:t xml:space="preserve">https://doi.org/10.5334/joc.10</w:t>
        </w:r>
      </w:hyperlink>
    </w:p>
    <w:bookmarkEnd w:id="130"/>
    <w:bookmarkStart w:id="132" w:name="ref-burger2004"/>
    <w:p>
      <w:pPr>
        <w:pStyle w:val="Bibliography"/>
      </w:pPr>
      <w:r>
        <w:t xml:space="preserve">Burger, J. M., Messian, N., Patel, S., Del Prado, A., &amp; Anderson, C. (2004). What a</w:t>
      </w:r>
      <w:r>
        <w:t xml:space="preserve"> </w:t>
      </w:r>
      <w:r>
        <w:t xml:space="preserve">Coincidence</w:t>
      </w:r>
      <w:r>
        <w:t xml:space="preserve">!</w:t>
      </w:r>
      <w:r>
        <w:t xml:space="preserve"> </w:t>
      </w:r>
      <w:r>
        <w:t xml:space="preserve">The Effects</w:t>
      </w:r>
      <w:r>
        <w:t xml:space="preserve"> </w:t>
      </w:r>
      <w:r>
        <w:t xml:space="preserve">of</w:t>
      </w:r>
      <w:r>
        <w:t xml:space="preserve"> </w:t>
      </w:r>
      <w:r>
        <w:t xml:space="preserve">Incidental Similarity</w:t>
      </w:r>
      <w:r>
        <w:t xml:space="preserve"> </w:t>
      </w:r>
      <w:r>
        <w:t xml:space="preserve">on</w:t>
      </w:r>
      <w:r>
        <w:t xml:space="preserve"> </w:t>
      </w:r>
      <w:r>
        <w:t xml:space="preserve">Compliance</w:t>
      </w:r>
      <w:r>
        <w:t xml:space="preserve">.</w:t>
      </w:r>
      <w:r>
        <w:t xml:space="preserve"> </w:t>
      </w:r>
      <w:r>
        <w:rPr>
          <w:i/>
          <w:iCs/>
        </w:rPr>
        <w:t xml:space="preserve">Personality and Social Psychology Bulletin</w:t>
      </w:r>
      <w:r>
        <w:t xml:space="preserve">,</w:t>
      </w:r>
      <w:r>
        <w:t xml:space="preserve"> </w:t>
      </w:r>
      <w:r>
        <w:rPr>
          <w:i/>
          <w:iCs/>
        </w:rPr>
        <w:t xml:space="preserve">30</w:t>
      </w:r>
      <w:r>
        <w:t xml:space="preserve">(1), 35–43.</w:t>
      </w:r>
      <w:r>
        <w:t xml:space="preserve"> </w:t>
      </w:r>
      <w:hyperlink r:id="rId131">
        <w:r>
          <w:rPr>
            <w:rStyle w:val="Hyperlink"/>
          </w:rPr>
          <w:t xml:space="preserve">https://doi.org/10.1177/0146167203258838</w:t>
        </w:r>
      </w:hyperlink>
    </w:p>
    <w:bookmarkEnd w:id="132"/>
    <w:bookmarkStart w:id="134" w:name="ref-R-ggnewscale"/>
    <w:p>
      <w:pPr>
        <w:pStyle w:val="Bibliography"/>
      </w:pPr>
      <w:r>
        <w:t xml:space="preserve">Campitelli, E. (n.d.).</w:t>
      </w:r>
      <w:r>
        <w:t xml:space="preserve"> </w:t>
      </w:r>
      <w:r>
        <w:rPr>
          <w:i/>
          <w:iCs/>
        </w:rPr>
        <w:t xml:space="preserve">Ggnewscale: Multiple fill and colour scales in ’ggplot2’</w:t>
      </w:r>
      <w:r>
        <w:t xml:space="preserve">.</w:t>
      </w:r>
      <w:r>
        <w:t xml:space="preserve"> </w:t>
      </w:r>
      <w:hyperlink r:id="rId133">
        <w:r>
          <w:rPr>
            <w:rStyle w:val="Hyperlink"/>
          </w:rPr>
          <w:t xml:space="preserve">https://doi.org/10.5281/zenodo.2543762</w:t>
        </w:r>
      </w:hyperlink>
    </w:p>
    <w:bookmarkEnd w:id="134"/>
    <w:bookmarkStart w:id="135" w:name="ref-canadiancouncilforrefugees"/>
    <w:p>
      <w:pPr>
        <w:pStyle w:val="Bibliography"/>
      </w:pPr>
      <w:r>
        <w:t xml:space="preserve">Canadian Council for Refugees. (n.d.).</w:t>
      </w:r>
      <w:r>
        <w:t xml:space="preserve"> </w:t>
      </w:r>
      <w:r>
        <w:rPr>
          <w:i/>
          <w:iCs/>
        </w:rPr>
        <w:t xml:space="preserve">Power wheel</w:t>
      </w:r>
      <w:r>
        <w:t xml:space="preserve">.</w:t>
      </w:r>
    </w:p>
    <w:bookmarkEnd w:id="135"/>
    <w:bookmarkStart w:id="137" w:name="ref-chang2021"/>
    <w:p>
      <w:pPr>
        <w:pStyle w:val="Bibliography"/>
      </w:pPr>
      <w:r>
        <w:t xml:space="preserve">Chang, A., Kragness, H. E., Tsou, W., Bosnyak, D. J., Thiede, A., &amp; Trainor, L. J. (2021). Body sway predicts romantic interest in speed dating.</w:t>
      </w:r>
      <w:r>
        <w:t xml:space="preserve"> </w:t>
      </w:r>
      <w:r>
        <w:rPr>
          <w:i/>
          <w:iCs/>
        </w:rPr>
        <w:t xml:space="preserve">Social Cognitive and Affective Neuroscience</w:t>
      </w:r>
      <w:r>
        <w:t xml:space="preserve">,</w:t>
      </w:r>
      <w:r>
        <w:t xml:space="preserve"> </w:t>
      </w:r>
      <w:r>
        <w:rPr>
          <w:i/>
          <w:iCs/>
        </w:rPr>
        <w:t xml:space="preserve">16</w:t>
      </w:r>
      <w:r>
        <w:t xml:space="preserve">(1-2), 185–192.</w:t>
      </w:r>
      <w:r>
        <w:t xml:space="preserve"> </w:t>
      </w:r>
      <w:hyperlink r:id="rId136">
        <w:r>
          <w:rPr>
            <w:rStyle w:val="Hyperlink"/>
          </w:rPr>
          <w:t xml:space="preserve">https://doi.org/10.1093/scan/nsaa093</w:t>
        </w:r>
      </w:hyperlink>
    </w:p>
    <w:bookmarkEnd w:id="137"/>
    <w:bookmarkStart w:id="139" w:name="ref-cialdini1997"/>
    <w:p>
      <w:pPr>
        <w:pStyle w:val="Bibliography"/>
      </w:pPr>
      <w:r>
        <w:t xml:space="preserve">Cialdini, R. B., Brown, S. L., Lewis, B. P., Luce, C., &amp; Neuberg, S. L. (1997). Reinterpreting the empathy–altruism relationship:</w:t>
      </w:r>
      <w:r>
        <w:t xml:space="preserve"> </w:t>
      </w:r>
      <w:r>
        <w:t xml:space="preserve">When</w:t>
      </w:r>
      <w:r>
        <w:t xml:space="preserve"> </w:t>
      </w:r>
      <w:r>
        <w:t xml:space="preserve">one into one equals oneness.</w:t>
      </w:r>
      <w:r>
        <w:t xml:space="preserve"> </w:t>
      </w:r>
      <w:r>
        <w:rPr>
          <w:i/>
          <w:iCs/>
        </w:rPr>
        <w:t xml:space="preserve">Journal of Personality and Social Psychology</w:t>
      </w:r>
      <w:r>
        <w:t xml:space="preserve">,</w:t>
      </w:r>
      <w:r>
        <w:t xml:space="preserve"> </w:t>
      </w:r>
      <w:r>
        <w:rPr>
          <w:i/>
          <w:iCs/>
        </w:rPr>
        <w:t xml:space="preserve">73</w:t>
      </w:r>
      <w:r>
        <w:t xml:space="preserve">(3), 481.</w:t>
      </w:r>
      <w:r>
        <w:t xml:space="preserve"> </w:t>
      </w:r>
      <w:hyperlink r:id="rId138">
        <w:r>
          <w:rPr>
            <w:rStyle w:val="Hyperlink"/>
          </w:rPr>
          <w:t xml:space="preserve">https://doi.org/10.1037/0022-3514.73.3.481</w:t>
        </w:r>
      </w:hyperlink>
    </w:p>
    <w:bookmarkEnd w:id="139"/>
    <w:bookmarkStart w:id="141" w:name="ref-cirelli2016"/>
    <w:p>
      <w:pPr>
        <w:pStyle w:val="Bibliography"/>
      </w:pPr>
      <w:r>
        <w:t xml:space="preserve">Cirelli, L. K., Wan, S. J., &amp; Trainor, L. J. (2016). Social effects of movement synchrony:</w:t>
      </w:r>
      <w:r>
        <w:t xml:space="preserve"> </w:t>
      </w:r>
      <w:r>
        <w:t xml:space="preserve">Increased</w:t>
      </w:r>
      <w:r>
        <w:t xml:space="preserve"> </w:t>
      </w:r>
      <w:r>
        <w:t xml:space="preserve">infant helpfulness only transfers to affiliates of synchronously moving partners.</w:t>
      </w:r>
      <w:r>
        <w:t xml:space="preserve"> </w:t>
      </w:r>
      <w:r>
        <w:rPr>
          <w:i/>
          <w:iCs/>
        </w:rPr>
        <w:t xml:space="preserve">Infancy</w:t>
      </w:r>
      <w:r>
        <w:t xml:space="preserve">,</w:t>
      </w:r>
      <w:r>
        <w:t xml:space="preserve"> </w:t>
      </w:r>
      <w:r>
        <w:rPr>
          <w:i/>
          <w:iCs/>
        </w:rPr>
        <w:t xml:space="preserve">21</w:t>
      </w:r>
      <w:r>
        <w:t xml:space="preserve">(6), 807–821.</w:t>
      </w:r>
      <w:r>
        <w:t xml:space="preserve"> </w:t>
      </w:r>
      <w:hyperlink r:id="rId140">
        <w:r>
          <w:rPr>
            <w:rStyle w:val="Hyperlink"/>
          </w:rPr>
          <w:t xml:space="preserve">https://doi.org/10.1111/infa.12140</w:t>
        </w:r>
      </w:hyperlink>
    </w:p>
    <w:bookmarkEnd w:id="141"/>
    <w:bookmarkStart w:id="143" w:name="ref-clarke2015"/>
    <w:p>
      <w:pPr>
        <w:pStyle w:val="Bibliography"/>
      </w:pPr>
      <w:r>
        <w:t xml:space="preserve">Clarke, E., DeNora, T., &amp; Vuoskoski, J. (2015). Music, empathy and cultural understanding.</w:t>
      </w:r>
      <w:r>
        <w:t xml:space="preserve"> </w:t>
      </w:r>
      <w:r>
        <w:rPr>
          <w:i/>
          <w:iCs/>
        </w:rPr>
        <w:t xml:space="preserve">Physics of Life Reviews</w:t>
      </w:r>
      <w:r>
        <w:t xml:space="preserve">,</w:t>
      </w:r>
      <w:r>
        <w:t xml:space="preserve"> </w:t>
      </w:r>
      <w:r>
        <w:rPr>
          <w:i/>
          <w:iCs/>
        </w:rPr>
        <w:t xml:space="preserve">15</w:t>
      </w:r>
      <w:r>
        <w:t xml:space="preserve">, 61–88.</w:t>
      </w:r>
      <w:r>
        <w:t xml:space="preserve"> </w:t>
      </w:r>
      <w:hyperlink r:id="rId142">
        <w:r>
          <w:rPr>
            <w:rStyle w:val="Hyperlink"/>
          </w:rPr>
          <w:t xml:space="preserve">https://doi.org/10.1016/j.plrev.2015.09.001</w:t>
        </w:r>
      </w:hyperlink>
    </w:p>
    <w:bookmarkEnd w:id="143"/>
    <w:bookmarkStart w:id="145" w:name="ref-cohen1992"/>
    <w:p>
      <w:pPr>
        <w:pStyle w:val="Bibliography"/>
      </w:pPr>
      <w:r>
        <w:t xml:space="preserve">Cohen, J. (1992). A power primer.</w:t>
      </w:r>
      <w:r>
        <w:t xml:space="preserve"> </w:t>
      </w:r>
      <w:r>
        <w:rPr>
          <w:i/>
          <w:iCs/>
        </w:rPr>
        <w:t xml:space="preserve">Psychological Bulletin</w:t>
      </w:r>
      <w:r>
        <w:t xml:space="preserve">,</w:t>
      </w:r>
      <w:r>
        <w:t xml:space="preserve"> </w:t>
      </w:r>
      <w:r>
        <w:rPr>
          <w:i/>
          <w:iCs/>
        </w:rPr>
        <w:t xml:space="preserve">112</w:t>
      </w:r>
      <w:r>
        <w:t xml:space="preserve">(1), 155–159.</w:t>
      </w:r>
      <w:r>
        <w:t xml:space="preserve"> </w:t>
      </w:r>
      <w:hyperlink r:id="rId144">
        <w:r>
          <w:rPr>
            <w:rStyle w:val="Hyperlink"/>
          </w:rPr>
          <w:t xml:space="preserve">https://doi.org/10.1037/0033-2909.112.1.155</w:t>
        </w:r>
      </w:hyperlink>
    </w:p>
    <w:bookmarkEnd w:id="145"/>
    <w:bookmarkStart w:id="147" w:name="ref-R-ggsignif"/>
    <w:p>
      <w:pPr>
        <w:pStyle w:val="Bibliography"/>
      </w:pPr>
      <w:r>
        <w:t xml:space="preserve">Constantin, A.-E., &amp; Patil, I. (2021).</w:t>
      </w:r>
      <w:r>
        <w:t xml:space="preserve"> </w:t>
      </w:r>
      <w:r>
        <w:t xml:space="preserve">ggsignif</w:t>
      </w:r>
      <w:r>
        <w:t xml:space="preserve">: R package for displaying significance brackets for</w:t>
      </w:r>
      <w:r>
        <w:t xml:space="preserve"> </w:t>
      </w:r>
      <w:r>
        <w:t xml:space="preserve">’ggplot2’</w:t>
      </w:r>
      <w:r>
        <w:t xml:space="preserve">.</w:t>
      </w:r>
      <w:r>
        <w:t xml:space="preserve"> </w:t>
      </w:r>
      <w:r>
        <w:rPr>
          <w:i/>
          <w:iCs/>
        </w:rPr>
        <w:t xml:space="preserve">PsyArxiv</w:t>
      </w:r>
      <w:r>
        <w:t xml:space="preserve">.</w:t>
      </w:r>
      <w:r>
        <w:t xml:space="preserve"> </w:t>
      </w:r>
      <w:hyperlink r:id="rId146">
        <w:r>
          <w:rPr>
            <w:rStyle w:val="Hyperlink"/>
          </w:rPr>
          <w:t xml:space="preserve">https://doi.org/10.31234/osf.io/7awm6</w:t>
        </w:r>
      </w:hyperlink>
    </w:p>
    <w:bookmarkEnd w:id="147"/>
    <w:bookmarkStart w:id="149" w:name="ref-cross2019"/>
    <w:p>
      <w:pPr>
        <w:pStyle w:val="Bibliography"/>
      </w:pPr>
      <w:r>
        <w:t xml:space="preserve">Cross, L., Turgeon, M., &amp; Atherton, G. (2019). How</w:t>
      </w:r>
      <w:r>
        <w:t xml:space="preserve"> </w:t>
      </w:r>
      <w:r>
        <w:t xml:space="preserve">Moving Together Binds Us Together</w:t>
      </w:r>
      <w:r>
        <w:t xml:space="preserve">:</w:t>
      </w:r>
      <w:r>
        <w:t xml:space="preserve"> </w:t>
      </w:r>
      <w:r>
        <w:t xml:space="preserve">The Social Consequences</w:t>
      </w:r>
      <w:r>
        <w:t xml:space="preserve"> </w:t>
      </w:r>
      <w:r>
        <w:t xml:space="preserve">of</w:t>
      </w:r>
      <w:r>
        <w:t xml:space="preserve"> </w:t>
      </w:r>
      <w:r>
        <w:t xml:space="preserve">Interpersonal Entrainment</w:t>
      </w:r>
      <w:r>
        <w:t xml:space="preserve"> </w:t>
      </w:r>
      <w:r>
        <w:t xml:space="preserve">and</w:t>
      </w:r>
      <w:r>
        <w:t xml:space="preserve"> </w:t>
      </w:r>
      <w:r>
        <w:t xml:space="preserve">Group Processes</w:t>
      </w:r>
      <w:r>
        <w:t xml:space="preserve">.</w:t>
      </w:r>
      <w:r>
        <w:t xml:space="preserve"> </w:t>
      </w:r>
      <w:r>
        <w:rPr>
          <w:i/>
          <w:iCs/>
        </w:rPr>
        <w:t xml:space="preserve">Open Psychology</w:t>
      </w:r>
      <w:r>
        <w:t xml:space="preserve">,</w:t>
      </w:r>
      <w:r>
        <w:t xml:space="preserve"> </w:t>
      </w:r>
      <w:r>
        <w:rPr>
          <w:i/>
          <w:iCs/>
        </w:rPr>
        <w:t xml:space="preserve">1</w:t>
      </w:r>
      <w:r>
        <w:t xml:space="preserve">(1), 273–302.</w:t>
      </w:r>
      <w:r>
        <w:t xml:space="preserve"> </w:t>
      </w:r>
      <w:hyperlink r:id="rId148">
        <w:r>
          <w:rPr>
            <w:rStyle w:val="Hyperlink"/>
          </w:rPr>
          <w:t xml:space="preserve">https://doi.org/10.1515/psych-2018-0018</w:t>
        </w:r>
      </w:hyperlink>
    </w:p>
    <w:bookmarkEnd w:id="149"/>
    <w:bookmarkStart w:id="151" w:name="ref-cross2020"/>
    <w:p>
      <w:pPr>
        <w:pStyle w:val="Bibliography"/>
      </w:pPr>
      <w:r>
        <w:t xml:space="preserve">Cross, L., Wilson, A. D., &amp; Golonka, S. (2020). I’ll just watch:</w:t>
      </w:r>
      <w:r>
        <w:t xml:space="preserve"> </w:t>
      </w:r>
      <w:r>
        <w:t xml:space="preserve">Do</w:t>
      </w:r>
      <w:r>
        <w:t xml:space="preserve"> </w:t>
      </w:r>
      <w:r>
        <w:t xml:space="preserve">the pro-social effects of coordination really generalize to non-actors?</w:t>
      </w:r>
      <w:r>
        <w:t xml:space="preserve"> </w:t>
      </w:r>
      <w:r>
        <w:rPr>
          <w:i/>
          <w:iCs/>
        </w:rPr>
        <w:t xml:space="preserve">The Journal of Social Psychology</w:t>
      </w:r>
      <w:r>
        <w:t xml:space="preserve">,</w:t>
      </w:r>
      <w:r>
        <w:t xml:space="preserve"> </w:t>
      </w:r>
      <w:r>
        <w:rPr>
          <w:i/>
          <w:iCs/>
        </w:rPr>
        <w:t xml:space="preserve">160</w:t>
      </w:r>
      <w:r>
        <w:t xml:space="preserve">(2), 248–262.</w:t>
      </w:r>
      <w:r>
        <w:t xml:space="preserve"> </w:t>
      </w:r>
      <w:hyperlink r:id="rId150">
        <w:r>
          <w:rPr>
            <w:rStyle w:val="Hyperlink"/>
          </w:rPr>
          <w:t xml:space="preserve">https://doi.org/10.1080/00224545.2019.1623161</w:t>
        </w:r>
      </w:hyperlink>
    </w:p>
    <w:bookmarkEnd w:id="151"/>
    <w:bookmarkStart w:id="152" w:name="ref-davis1980"/>
    <w:p>
      <w:pPr>
        <w:pStyle w:val="Bibliography"/>
      </w:pPr>
      <w:r>
        <w:t xml:space="preserve">Davis, M. (1980). A multidimensional approach to individual differences in empathy.</w:t>
      </w:r>
      <w:r>
        <w:t xml:space="preserve"> </w:t>
      </w:r>
      <w:r>
        <w:rPr>
          <w:i/>
          <w:iCs/>
        </w:rPr>
        <w:t xml:space="preserve">JSAS Catalog of Selected Documents in Psychology</w:t>
      </w:r>
      <w:r>
        <w:t xml:space="preserve">,</w:t>
      </w:r>
      <w:r>
        <w:t xml:space="preserve"> </w:t>
      </w:r>
      <w:r>
        <w:rPr>
          <w:i/>
          <w:iCs/>
        </w:rPr>
        <w:t xml:space="preserve">10</w:t>
      </w:r>
      <w:r>
        <w:t xml:space="preserve">, 85.</w:t>
      </w:r>
    </w:p>
    <w:bookmarkEnd w:id="152"/>
    <w:bookmarkStart w:id="154" w:name="ref-degroot2009"/>
    <w:p>
      <w:pPr>
        <w:pStyle w:val="Bibliography"/>
      </w:pPr>
      <w:r>
        <w:t xml:space="preserve">De Groot, J. I. M., &amp; Steg, L. (2009). Morality and prosocial behavior:</w:t>
      </w:r>
      <w:r>
        <w:t xml:space="preserve"> </w:t>
      </w:r>
      <w:r>
        <w:t xml:space="preserve">The</w:t>
      </w:r>
      <w:r>
        <w:t xml:space="preserve"> </w:t>
      </w:r>
      <w:r>
        <w:t xml:space="preserve">role of awareness, responsibility, and norms in the norm activation model.</w:t>
      </w:r>
      <w:r>
        <w:t xml:space="preserve"> </w:t>
      </w:r>
      <w:r>
        <w:rPr>
          <w:i/>
          <w:iCs/>
        </w:rPr>
        <w:t xml:space="preserve">The Journal of Social Psychology</w:t>
      </w:r>
      <w:r>
        <w:t xml:space="preserve">,</w:t>
      </w:r>
      <w:r>
        <w:t xml:space="preserve"> </w:t>
      </w:r>
      <w:r>
        <w:rPr>
          <w:i/>
          <w:iCs/>
        </w:rPr>
        <w:t xml:space="preserve">149</w:t>
      </w:r>
      <w:r>
        <w:t xml:space="preserve">(4), 425–449.</w:t>
      </w:r>
      <w:r>
        <w:t xml:space="preserve"> </w:t>
      </w:r>
      <w:hyperlink r:id="rId153">
        <w:r>
          <w:rPr>
            <w:rStyle w:val="Hyperlink"/>
          </w:rPr>
          <w:t xml:space="preserve">https://doi.org/10.3200/SOCP.149.4.425-449</w:t>
        </w:r>
      </w:hyperlink>
    </w:p>
    <w:bookmarkEnd w:id="154"/>
    <w:bookmarkStart w:id="155" w:name="ref-duckworth2020"/>
    <w:p>
      <w:pPr>
        <w:pStyle w:val="Bibliography"/>
      </w:pPr>
      <w:r>
        <w:t xml:space="preserve">Duckworth, S. (2020).</w:t>
      </w:r>
      <w:r>
        <w:t xml:space="preserve"> </w:t>
      </w:r>
      <w:r>
        <w:rPr>
          <w:i/>
          <w:iCs/>
        </w:rPr>
        <w:t xml:space="preserve">Wheel of</w:t>
      </w:r>
      <w:r>
        <w:rPr>
          <w:i/>
          <w:iCs/>
        </w:rPr>
        <w:t xml:space="preserve"> </w:t>
      </w:r>
      <w:r>
        <w:rPr>
          <w:i/>
          <w:iCs/>
        </w:rPr>
        <w:t xml:space="preserve">Power</w:t>
      </w:r>
      <w:r>
        <w:rPr>
          <w:i/>
          <w:iCs/>
        </w:rPr>
        <w:t xml:space="preserve">/</w:t>
      </w:r>
      <w:r>
        <w:rPr>
          <w:i/>
          <w:iCs/>
        </w:rPr>
        <w:t xml:space="preserve">Privilege</w:t>
      </w:r>
      <w:r>
        <w:t xml:space="preserve">.</w:t>
      </w:r>
    </w:p>
    <w:bookmarkEnd w:id="155"/>
    <w:bookmarkStart w:id="157" w:name="ref-egermann2011"/>
    <w:p>
      <w:pPr>
        <w:pStyle w:val="Bibliography"/>
      </w:pPr>
      <w:r>
        <w:t xml:space="preserve">Egermann, H., Sutherland, M. E., Grewe, O., Nagel, F., Kopiez, R., &amp; Altenmüller, E. (2011). Does music listening in a social context alter experience?</w:t>
      </w:r>
      <w:r>
        <w:t xml:space="preserve"> </w:t>
      </w:r>
      <w:r>
        <w:t xml:space="preserve">A</w:t>
      </w:r>
      <w:r>
        <w:t xml:space="preserve"> </w:t>
      </w:r>
      <w:r>
        <w:t xml:space="preserve">physiological and psychological perspective on emotion.</w:t>
      </w:r>
      <w:r>
        <w:t xml:space="preserve"> </w:t>
      </w:r>
      <w:r>
        <w:rPr>
          <w:i/>
          <w:iCs/>
        </w:rPr>
        <w:t xml:space="preserve">Musicae Scientiae</w:t>
      </w:r>
      <w:r>
        <w:t xml:space="preserve">,</w:t>
      </w:r>
      <w:r>
        <w:t xml:space="preserve"> </w:t>
      </w:r>
      <w:r>
        <w:rPr>
          <w:i/>
          <w:iCs/>
        </w:rPr>
        <w:t xml:space="preserve">15</w:t>
      </w:r>
      <w:r>
        <w:t xml:space="preserve">(3), 307–323.</w:t>
      </w:r>
      <w:r>
        <w:t xml:space="preserve"> </w:t>
      </w:r>
      <w:hyperlink r:id="rId156">
        <w:r>
          <w:rPr>
            <w:rStyle w:val="Hyperlink"/>
          </w:rPr>
          <w:t xml:space="preserve">https://doi.org/10.1177/1029864911399497</w:t>
        </w:r>
      </w:hyperlink>
    </w:p>
    <w:bookmarkEnd w:id="157"/>
    <w:bookmarkStart w:id="159" w:name="ref-fink2024"/>
    <w:p>
      <w:pPr>
        <w:pStyle w:val="Bibliography"/>
      </w:pPr>
      <w:r>
        <w:t xml:space="preserve">Fink, L. K., Fiehn, H., &amp; Wald-Fuhrmann, M. (2024). The role of audiovisual congruence in aesthetic appreciation of contemporary music and visual art.</w:t>
      </w:r>
      <w:r>
        <w:t xml:space="preserve"> </w:t>
      </w:r>
      <w:r>
        <w:rPr>
          <w:i/>
          <w:iCs/>
        </w:rPr>
        <w:t xml:space="preserve">Scientific Reports</w:t>
      </w:r>
      <w:r>
        <w:t xml:space="preserve">,</w:t>
      </w:r>
      <w:r>
        <w:t xml:space="preserve"> </w:t>
      </w:r>
      <w:r>
        <w:rPr>
          <w:i/>
          <w:iCs/>
        </w:rPr>
        <w:t xml:space="preserve">14</w:t>
      </w:r>
      <w:r>
        <w:t xml:space="preserve">(1), 20923.</w:t>
      </w:r>
      <w:r>
        <w:t xml:space="preserve"> </w:t>
      </w:r>
      <w:hyperlink r:id="rId158">
        <w:r>
          <w:rPr>
            <w:rStyle w:val="Hyperlink"/>
          </w:rPr>
          <w:t xml:space="preserve">https://doi.org/10.1038/s41598-024-71399-y</w:t>
        </w:r>
      </w:hyperlink>
    </w:p>
    <w:bookmarkEnd w:id="159"/>
    <w:bookmarkStart w:id="161" w:name="ref-fink2021"/>
    <w:p>
      <w:pPr>
        <w:pStyle w:val="Bibliography"/>
      </w:pPr>
      <w:r>
        <w:t xml:space="preserve">Fink, L. K., Warrenburg, L. A., Howlin, C., Randall, W. M., Hansen, N. Chr., &amp; Wald-Fuhrmann, M. (2021). Viral tunes: Changes in musical behaviours and interest in coronamusic predict socio-emotional coping during</w:t>
      </w:r>
      <w:r>
        <w:t xml:space="preserve"> </w:t>
      </w:r>
      <w:r>
        <w:t xml:space="preserve">COVID-19</w:t>
      </w:r>
      <w:r>
        <w:t xml:space="preserve"> </w:t>
      </w:r>
      <w:r>
        <w:t xml:space="preserve">lockdown.</w:t>
      </w:r>
      <w:r>
        <w:t xml:space="preserve"> </w:t>
      </w:r>
      <w:r>
        <w:rPr>
          <w:i/>
          <w:iCs/>
        </w:rPr>
        <w:t xml:space="preserve">Humanities and Social Sciences Communications</w:t>
      </w:r>
      <w:r>
        <w:t xml:space="preserve">,</w:t>
      </w:r>
      <w:r>
        <w:t xml:space="preserve"> </w:t>
      </w:r>
      <w:r>
        <w:rPr>
          <w:i/>
          <w:iCs/>
        </w:rPr>
        <w:t xml:space="preserve">8</w:t>
      </w:r>
      <w:r>
        <w:t xml:space="preserve">(1).</w:t>
      </w:r>
      <w:r>
        <w:t xml:space="preserve"> </w:t>
      </w:r>
      <w:hyperlink r:id="rId160">
        <w:r>
          <w:rPr>
            <w:rStyle w:val="Hyperlink"/>
          </w:rPr>
          <w:t xml:space="preserve">https://doi.org/10.1057/s41599-021-00858-y</w:t>
        </w:r>
      </w:hyperlink>
    </w:p>
    <w:bookmarkEnd w:id="161"/>
    <w:bookmarkStart w:id="162" w:name="ref-flannery2024"/>
    <w:p>
      <w:pPr>
        <w:pStyle w:val="Bibliography"/>
      </w:pPr>
      <w:r>
        <w:t xml:space="preserve">Flannery, M. B., &amp; Fink, L. K. (2024).</w:t>
      </w:r>
      <w:r>
        <w:t xml:space="preserve"> </w:t>
      </w:r>
      <w:r>
        <w:rPr>
          <w:i/>
          <w:iCs/>
        </w:rPr>
        <w:t xml:space="preserve">Naturalistic measurement of multi-person cardiac activity using open source smartwatch technology</w:t>
      </w:r>
      <w:r>
        <w:t xml:space="preserve"> </w:t>
      </w:r>
      <w:r>
        <w:t xml:space="preserve">[Poster Presentation].</w:t>
      </w:r>
    </w:p>
    <w:bookmarkEnd w:id="162"/>
    <w:bookmarkStart w:id="164" w:name="ref-greitemeyer2009"/>
    <w:p>
      <w:pPr>
        <w:pStyle w:val="Bibliography"/>
      </w:pPr>
      <w:r>
        <w:t xml:space="preserve">Greitemeyer, T. (2009a). Effects of songs with prosocial lyrics on prosocial behavior: Further evidence and a mediating mechanism.</w:t>
      </w:r>
      <w:r>
        <w:t xml:space="preserve"> </w:t>
      </w:r>
      <w:r>
        <w:rPr>
          <w:i/>
          <w:iCs/>
        </w:rPr>
        <w:t xml:space="preserve">Personality &amp; Social Psychology Bulletin</w:t>
      </w:r>
      <w:r>
        <w:t xml:space="preserve">,</w:t>
      </w:r>
      <w:r>
        <w:t xml:space="preserve"> </w:t>
      </w:r>
      <w:r>
        <w:rPr>
          <w:i/>
          <w:iCs/>
        </w:rPr>
        <w:t xml:space="preserve">35</w:t>
      </w:r>
      <w:r>
        <w:t xml:space="preserve">(11), 1500–1511.</w:t>
      </w:r>
      <w:r>
        <w:t xml:space="preserve"> </w:t>
      </w:r>
      <w:hyperlink r:id="rId163">
        <w:r>
          <w:rPr>
            <w:rStyle w:val="Hyperlink"/>
          </w:rPr>
          <w:t xml:space="preserve">https://doi.org/10.1177/0146167209341648</w:t>
        </w:r>
      </w:hyperlink>
    </w:p>
    <w:bookmarkEnd w:id="164"/>
    <w:bookmarkStart w:id="166" w:name="ref-greitemeyer2009a"/>
    <w:p>
      <w:pPr>
        <w:pStyle w:val="Bibliography"/>
      </w:pPr>
      <w:r>
        <w:t xml:space="preserve">Greitemeyer, T. (2009b). Effects of songs with prosocial lyrics on prosocial thoughts, affect, and behavior.</w:t>
      </w:r>
      <w:r>
        <w:t xml:space="preserve"> </w:t>
      </w:r>
      <w:r>
        <w:rPr>
          <w:i/>
          <w:iCs/>
        </w:rPr>
        <w:t xml:space="preserve">Journal of Experimental Social Psychology</w:t>
      </w:r>
      <w:r>
        <w:t xml:space="preserve">,</w:t>
      </w:r>
      <w:r>
        <w:t xml:space="preserve"> </w:t>
      </w:r>
      <w:r>
        <w:rPr>
          <w:i/>
          <w:iCs/>
        </w:rPr>
        <w:t xml:space="preserve">45</w:t>
      </w:r>
      <w:r>
        <w:t xml:space="preserve">(1), 186–190.</w:t>
      </w:r>
      <w:r>
        <w:t xml:space="preserve"> </w:t>
      </w:r>
      <w:hyperlink r:id="rId165">
        <w:r>
          <w:rPr>
            <w:rStyle w:val="Hyperlink"/>
          </w:rPr>
          <w:t xml:space="preserve">https://doi.org/10.1016/j.jesp.2008.08.003</w:t>
        </w:r>
      </w:hyperlink>
    </w:p>
    <w:bookmarkEnd w:id="166"/>
    <w:bookmarkStart w:id="168" w:name="ref-hanich2014"/>
    <w:p>
      <w:pPr>
        <w:pStyle w:val="Bibliography"/>
      </w:pPr>
      <w:r>
        <w:t xml:space="preserve">Hanich, J. (2014). Watching a film with others: Towards a theory of collective spectatorship.</w:t>
      </w:r>
      <w:r>
        <w:t xml:space="preserve"> </w:t>
      </w:r>
      <w:r>
        <w:rPr>
          <w:i/>
          <w:iCs/>
        </w:rPr>
        <w:t xml:space="preserve">Screen</w:t>
      </w:r>
      <w:r>
        <w:t xml:space="preserve">,</w:t>
      </w:r>
      <w:r>
        <w:t xml:space="preserve"> </w:t>
      </w:r>
      <w:r>
        <w:rPr>
          <w:i/>
          <w:iCs/>
        </w:rPr>
        <w:t xml:space="preserve">55</w:t>
      </w:r>
      <w:r>
        <w:t xml:space="preserve">(3), 338–359.</w:t>
      </w:r>
      <w:r>
        <w:t xml:space="preserve"> </w:t>
      </w:r>
      <w:hyperlink r:id="rId167">
        <w:r>
          <w:rPr>
            <w:rStyle w:val="Hyperlink"/>
          </w:rPr>
          <w:t xml:space="preserve">https://doi.org/10.1093/screen/hju026</w:t>
        </w:r>
      </w:hyperlink>
    </w:p>
    <w:bookmarkEnd w:id="168"/>
    <w:bookmarkStart w:id="170" w:name="ref-hargreaves2005"/>
    <w:p>
      <w:pPr>
        <w:pStyle w:val="Bibliography"/>
      </w:pPr>
      <w:r>
        <w:t xml:space="preserve">Hargreaves, D. J., MacDonald, R., &amp; Miell, D. (2005). How do people communicate using music? In D. Miell, R. MacDonald, &amp; D. J. Hargreaves (Eds.),</w:t>
      </w:r>
      <w:r>
        <w:t xml:space="preserve"> </w:t>
      </w:r>
      <w:r>
        <w:rPr>
          <w:i/>
          <w:iCs/>
        </w:rPr>
        <w:t xml:space="preserve">Musical</w:t>
      </w:r>
      <w:r>
        <w:rPr>
          <w:i/>
          <w:iCs/>
        </w:rPr>
        <w:t xml:space="preserve"> </w:t>
      </w:r>
      <w:r>
        <w:rPr>
          <w:i/>
          <w:iCs/>
        </w:rPr>
        <w:t xml:space="preserve">Communication</w:t>
      </w:r>
      <w:r>
        <w:t xml:space="preserve"> </w:t>
      </w:r>
      <w:r>
        <w:t xml:space="preserve">(p. 0). Oxford University Press.</w:t>
      </w:r>
      <w:r>
        <w:t xml:space="preserve"> </w:t>
      </w:r>
      <w:hyperlink r:id="rId169">
        <w:r>
          <w:rPr>
            <w:rStyle w:val="Hyperlink"/>
          </w:rPr>
          <w:t xml:space="preserve">https://doi.org/10.1093/acprof:oso/9780198529361.003.0001</w:t>
        </w:r>
      </w:hyperlink>
    </w:p>
    <w:bookmarkEnd w:id="170"/>
    <w:bookmarkStart w:id="172" w:name="ref-R-Hmisc"/>
    <w:p>
      <w:pPr>
        <w:pStyle w:val="Bibliography"/>
      </w:pPr>
      <w:r>
        <w:t xml:space="preserve">Harrell Jr, F. E. (2024).</w:t>
      </w:r>
      <w:r>
        <w:t xml:space="preserve"> </w:t>
      </w:r>
      <w:r>
        <w:rPr>
          <w:i/>
          <w:iCs/>
        </w:rPr>
        <w:t xml:space="preserve">Hmisc: Harrell miscellaneous</w:t>
      </w:r>
      <w:r>
        <w:t xml:space="preserve">.</w:t>
      </w:r>
      <w:r>
        <w:t xml:space="preserve"> </w:t>
      </w:r>
      <w:hyperlink r:id="rId171">
        <w:r>
          <w:rPr>
            <w:rStyle w:val="Hyperlink"/>
          </w:rPr>
          <w:t xml:space="preserve">https://CRAN.R-project.org/package=Hmisc</w:t>
        </w:r>
      </w:hyperlink>
    </w:p>
    <w:bookmarkEnd w:id="172"/>
    <w:bookmarkStart w:id="174" w:name="ref-hong2023"/>
    <w:p>
      <w:pPr>
        <w:pStyle w:val="Bibliography"/>
      </w:pPr>
      <w:r>
        <w:t xml:space="preserve">Hong, M., Liang, D., &amp; Lu, T. (2023). "</w:t>
      </w:r>
      <w:r>
        <w:t xml:space="preserve">Fill</w:t>
      </w:r>
      <w:r>
        <w:t xml:space="preserve"> </w:t>
      </w:r>
      <w:r>
        <w:t xml:space="preserve">the</w:t>
      </w:r>
      <w:r>
        <w:t xml:space="preserve"> </w:t>
      </w:r>
      <w:r>
        <w:t xml:space="preserve">World</w:t>
      </w:r>
      <w:r>
        <w:t xml:space="preserve"> </w:t>
      </w:r>
      <w:r>
        <w:t xml:space="preserve">with</w:t>
      </w:r>
      <w:r>
        <w:t xml:space="preserve"> </w:t>
      </w:r>
      <w:r>
        <w:t xml:space="preserve">Love</w:t>
      </w:r>
      <w:r>
        <w:t xml:space="preserve">":</w:t>
      </w:r>
      <w:r>
        <w:t xml:space="preserve"> </w:t>
      </w:r>
      <w:r>
        <w:t xml:space="preserve">Songs</w:t>
      </w:r>
      <w:r>
        <w:t xml:space="preserve"> </w:t>
      </w:r>
      <w:r>
        <w:t xml:space="preserve">with</w:t>
      </w:r>
      <w:r>
        <w:t xml:space="preserve"> </w:t>
      </w:r>
      <w:r>
        <w:t xml:space="preserve">Prosocial Lyrics Enhance Online Charitable Donations</w:t>
      </w:r>
      <w:r>
        <w:t xml:space="preserve"> </w:t>
      </w:r>
      <w:r>
        <w:t xml:space="preserve">among</w:t>
      </w:r>
      <w:r>
        <w:t xml:space="preserve"> </w:t>
      </w:r>
      <w:r>
        <w:t xml:space="preserve">Chinese Adults</w:t>
      </w:r>
      <w:r>
        <w:t xml:space="preserve">.</w:t>
      </w:r>
      <w:r>
        <w:t xml:space="preserve"> </w:t>
      </w:r>
      <w:r>
        <w:rPr>
          <w:i/>
          <w:iCs/>
        </w:rPr>
        <w:t xml:space="preserve">Behavioral Sciences (Basel, Switzerland)</w:t>
      </w:r>
      <w:r>
        <w:t xml:space="preserve">,</w:t>
      </w:r>
      <w:r>
        <w:t xml:space="preserve"> </w:t>
      </w:r>
      <w:r>
        <w:rPr>
          <w:i/>
          <w:iCs/>
        </w:rPr>
        <w:t xml:space="preserve">13</w:t>
      </w:r>
      <w:r>
        <w:t xml:space="preserve">(9), 739.</w:t>
      </w:r>
      <w:r>
        <w:t xml:space="preserve"> </w:t>
      </w:r>
      <w:hyperlink r:id="rId173">
        <w:r>
          <w:rPr>
            <w:rStyle w:val="Hyperlink"/>
          </w:rPr>
          <w:t xml:space="preserve">https://doi.org/10.3390/bs13090739</w:t>
        </w:r>
      </w:hyperlink>
    </w:p>
    <w:bookmarkEnd w:id="174"/>
    <w:bookmarkStart w:id="176" w:name="ref-howell2011"/>
    <w:p>
      <w:pPr>
        <w:pStyle w:val="Bibliography"/>
      </w:pPr>
      <w:r>
        <w:t xml:space="preserve">Howell, R. A. (2011). Lights, camera … action?</w:t>
      </w:r>
      <w:r>
        <w:t xml:space="preserve"> </w:t>
      </w:r>
      <w:r>
        <w:t xml:space="preserve">Altered</w:t>
      </w:r>
      <w:r>
        <w:t xml:space="preserve"> </w:t>
      </w:r>
      <w:r>
        <w:t xml:space="preserve">attitudes and behaviour in response to the climate change film</w:t>
      </w:r>
      <w:r>
        <w:t xml:space="preserve"> </w:t>
      </w:r>
      <w:r>
        <w:t xml:space="preserve">The Age</w:t>
      </w:r>
      <w:r>
        <w:t xml:space="preserve"> </w:t>
      </w:r>
      <w:r>
        <w:t xml:space="preserve">of</w:t>
      </w:r>
      <w:r>
        <w:t xml:space="preserve"> </w:t>
      </w:r>
      <w:r>
        <w:t xml:space="preserve">Stupid</w:t>
      </w:r>
      <w:r>
        <w:t xml:space="preserve">.</w:t>
      </w:r>
      <w:r>
        <w:t xml:space="preserve"> </w:t>
      </w:r>
      <w:r>
        <w:rPr>
          <w:i/>
          <w:iCs/>
        </w:rPr>
        <w:t xml:space="preserve">Global Environmental Change</w:t>
      </w:r>
      <w:r>
        <w:t xml:space="preserve">,</w:t>
      </w:r>
      <w:r>
        <w:t xml:space="preserve"> </w:t>
      </w:r>
      <w:r>
        <w:rPr>
          <w:i/>
          <w:iCs/>
        </w:rPr>
        <w:t xml:space="preserve">21</w:t>
      </w:r>
      <w:r>
        <w:t xml:space="preserve">(1), 177–187.</w:t>
      </w:r>
      <w:r>
        <w:t xml:space="preserve"> </w:t>
      </w:r>
      <w:hyperlink r:id="rId175">
        <w:r>
          <w:rPr>
            <w:rStyle w:val="Hyperlink"/>
          </w:rPr>
          <w:t xml:space="preserve">https://doi.org/10.1016/j.gloenvcha.2010.09.004</w:t>
        </w:r>
      </w:hyperlink>
    </w:p>
    <w:bookmarkEnd w:id="176"/>
    <w:bookmarkStart w:id="178" w:name="ref-iosifyan2025"/>
    <w:p>
      <w:pPr>
        <w:pStyle w:val="Bibliography"/>
      </w:pPr>
      <w:r>
        <w:t xml:space="preserve">Iosifyan, M., Wolfe, J., &amp; Wolfe, B. (2025).</w:t>
      </w:r>
      <w:r>
        <w:t xml:space="preserve"> </w:t>
      </w:r>
      <w:r>
        <w:rPr>
          <w:i/>
          <w:iCs/>
        </w:rPr>
        <w:t xml:space="preserve">Art</w:t>
      </w:r>
      <w:r>
        <w:rPr>
          <w:i/>
          <w:iCs/>
        </w:rPr>
        <w:t xml:space="preserve"> </w:t>
      </w:r>
      <w:r>
        <w:rPr>
          <w:i/>
          <w:iCs/>
        </w:rPr>
        <w:t xml:space="preserve">Schema Effects</w:t>
      </w:r>
      <w:r>
        <w:rPr>
          <w:i/>
          <w:iCs/>
        </w:rPr>
        <w:t xml:space="preserve"> </w:t>
      </w:r>
      <w:r>
        <w:rPr>
          <w:i/>
          <w:iCs/>
        </w:rPr>
        <w:t xml:space="preserve">on</w:t>
      </w:r>
      <w:r>
        <w:rPr>
          <w:i/>
          <w:iCs/>
        </w:rPr>
        <w:t xml:space="preserve"> </w:t>
      </w:r>
      <w:r>
        <w:rPr>
          <w:i/>
          <w:iCs/>
        </w:rPr>
        <w:t xml:space="preserve">Upregulation</w:t>
      </w:r>
      <w:r>
        <w:rPr>
          <w:i/>
          <w:iCs/>
        </w:rPr>
        <w:t xml:space="preserve"> </w:t>
      </w:r>
      <w:r>
        <w:rPr>
          <w:i/>
          <w:iCs/>
        </w:rPr>
        <w:t xml:space="preserve">of</w:t>
      </w:r>
      <w:r>
        <w:rPr>
          <w:i/>
          <w:iCs/>
        </w:rPr>
        <w:t xml:space="preserve"> </w:t>
      </w:r>
      <w:r>
        <w:rPr>
          <w:i/>
          <w:iCs/>
        </w:rPr>
        <w:t xml:space="preserve">Social Cognition</w:t>
      </w:r>
      <w:r>
        <w:t xml:space="preserve"> </w:t>
      </w:r>
      <w:r>
        <w:t xml:space="preserve">({{SSRN Scholarly Paper}} 5394180). Social Science Research Network.</w:t>
      </w:r>
      <w:r>
        <w:t xml:space="preserve"> </w:t>
      </w:r>
      <w:hyperlink r:id="rId177">
        <w:r>
          <w:rPr>
            <w:rStyle w:val="Hyperlink"/>
          </w:rPr>
          <w:t xml:space="preserve">https://doi.org/10.2139/ssrn.5394180</w:t>
        </w:r>
      </w:hyperlink>
    </w:p>
    <w:bookmarkEnd w:id="178"/>
    <w:bookmarkStart w:id="180" w:name="ref-kaltwasser2019"/>
    <w:p>
      <w:pPr>
        <w:pStyle w:val="Bibliography"/>
      </w:pPr>
      <w:r>
        <w:t xml:space="preserve">Kaltwasser, L., Rost, N., Ardizzi, M., Calbi, M., Settembrino, L., Fingerhut, J., Pauen, M., &amp; Gallese, V. (2019). Sharing the filmic experience -</w:t>
      </w:r>
      <w:r>
        <w:t xml:space="preserve"> </w:t>
      </w:r>
      <w:r>
        <w:t xml:space="preserve">The</w:t>
      </w:r>
      <w:r>
        <w:t xml:space="preserve"> </w:t>
      </w:r>
      <w:r>
        <w:t xml:space="preserve">physiology of socio-emotional processes in the cinema.</w:t>
      </w:r>
      <w:r>
        <w:t xml:space="preserve"> </w:t>
      </w:r>
      <w:r>
        <w:rPr>
          <w:i/>
          <w:iCs/>
        </w:rPr>
        <w:t xml:space="preserve">PLOS ONE</w:t>
      </w:r>
      <w:r>
        <w:t xml:space="preserve">,</w:t>
      </w:r>
      <w:r>
        <w:t xml:space="preserve"> </w:t>
      </w:r>
      <w:r>
        <w:rPr>
          <w:i/>
          <w:iCs/>
        </w:rPr>
        <w:t xml:space="preserve">14</w:t>
      </w:r>
      <w:r>
        <w:t xml:space="preserve">(10), e0223259.</w:t>
      </w:r>
      <w:r>
        <w:t xml:space="preserve"> </w:t>
      </w:r>
      <w:hyperlink r:id="rId179">
        <w:r>
          <w:rPr>
            <w:rStyle w:val="Hyperlink"/>
          </w:rPr>
          <w:t xml:space="preserve">https://doi.org/10.1371/journal.pone.0223259</w:t>
        </w:r>
      </w:hyperlink>
    </w:p>
    <w:bookmarkEnd w:id="180"/>
    <w:bookmarkStart w:id="182" w:name="ref-R-ggpubr"/>
    <w:p>
      <w:pPr>
        <w:pStyle w:val="Bibliography"/>
      </w:pPr>
      <w:r>
        <w:t xml:space="preserve">Kassambara, A. (2023).</w:t>
      </w:r>
      <w:r>
        <w:t xml:space="preserve"> </w:t>
      </w:r>
      <w:r>
        <w:rPr>
          <w:i/>
          <w:iCs/>
        </w:rPr>
        <w:t xml:space="preserve">Ggpubr: ’ggplot2’ based publication ready plots</w:t>
      </w:r>
      <w:r>
        <w:t xml:space="preserve">.</w:t>
      </w:r>
      <w:r>
        <w:t xml:space="preserve"> </w:t>
      </w:r>
      <w:hyperlink r:id="rId181">
        <w:r>
          <w:rPr>
            <w:rStyle w:val="Hyperlink"/>
          </w:rPr>
          <w:t xml:space="preserve">https://CRAN.R-project.org/package=ggpubr</w:t>
        </w:r>
      </w:hyperlink>
    </w:p>
    <w:bookmarkEnd w:id="182"/>
    <w:bookmarkStart w:id="184" w:name="ref-klockner2013"/>
    <w:p>
      <w:pPr>
        <w:pStyle w:val="Bibliography"/>
      </w:pPr>
      <w:r>
        <w:t xml:space="preserve">Klöckner, C. A. (2013). A comprehensive model of the psychology of environmental behaviour—</w:t>
      </w:r>
      <w:r>
        <w:t xml:space="preserve">A</w:t>
      </w:r>
      <w:r>
        <w:t xml:space="preserve"> </w:t>
      </w:r>
      <w:r>
        <w:t xml:space="preserve">meta-analysis.</w:t>
      </w:r>
      <w:r>
        <w:t xml:space="preserve"> </w:t>
      </w:r>
      <w:r>
        <w:rPr>
          <w:i/>
          <w:iCs/>
        </w:rPr>
        <w:t xml:space="preserve">Global Environmental Change</w:t>
      </w:r>
      <w:r>
        <w:t xml:space="preserve">,</w:t>
      </w:r>
      <w:r>
        <w:t xml:space="preserve"> </w:t>
      </w:r>
      <w:r>
        <w:rPr>
          <w:i/>
          <w:iCs/>
        </w:rPr>
        <w:t xml:space="preserve">23</w:t>
      </w:r>
      <w:r>
        <w:t xml:space="preserve">(5), 1028–1038.</w:t>
      </w:r>
      <w:r>
        <w:t xml:space="preserve"> </w:t>
      </w:r>
      <w:hyperlink r:id="rId183">
        <w:r>
          <w:rPr>
            <w:rStyle w:val="Hyperlink"/>
          </w:rPr>
          <w:t xml:space="preserve">https://doi.org/10.1016/j.gloenvcha.2013.05.014</w:t>
        </w:r>
      </w:hyperlink>
    </w:p>
    <w:bookmarkEnd w:id="184"/>
    <w:bookmarkStart w:id="186" w:name="ref-kreuzer2025"/>
    <w:p>
      <w:pPr>
        <w:pStyle w:val="Bibliography"/>
      </w:pPr>
      <w:r>
        <w:t xml:space="preserve">Kreuzer, M., Wald-Fuhrmann, M., Weining, C., Tröndle, M., &amp; Egermann, H. (2025). Western</w:t>
      </w:r>
      <w:r>
        <w:t xml:space="preserve"> </w:t>
      </w:r>
      <w:r>
        <w:t xml:space="preserve">Classical Music Concerts Are More Immersive</w:t>
      </w:r>
      <w:r>
        <w:t xml:space="preserve">,</w:t>
      </w:r>
      <w:r>
        <w:t xml:space="preserve"> </w:t>
      </w:r>
      <w:r>
        <w:t xml:space="preserve">Intellectually Stimulating</w:t>
      </w:r>
      <w:r>
        <w:t xml:space="preserve">, and</w:t>
      </w:r>
      <w:r>
        <w:t xml:space="preserve"> </w:t>
      </w:r>
      <w:r>
        <w:t xml:space="preserve">Social</w:t>
      </w:r>
      <w:r>
        <w:t xml:space="preserve">,</w:t>
      </w:r>
      <w:r>
        <w:t xml:space="preserve"> </w:t>
      </w:r>
      <w:r>
        <w:t xml:space="preserve">When Experienced Live Rather Than</w:t>
      </w:r>
      <w:r>
        <w:t xml:space="preserve"> </w:t>
      </w:r>
      <w:r>
        <w:t xml:space="preserve">in a</w:t>
      </w:r>
      <w:r>
        <w:t xml:space="preserve"> </w:t>
      </w:r>
      <w:r>
        <w:t xml:space="preserve">Digital Stream</w:t>
      </w:r>
      <w:r>
        <w:t xml:space="preserve">.</w:t>
      </w:r>
      <w:r>
        <w:t xml:space="preserve"> </w:t>
      </w:r>
      <w:r>
        <w:t xml:space="preserve">An Ecologically Valid Concert Study</w:t>
      </w:r>
      <w:r>
        <w:t xml:space="preserve"> </w:t>
      </w:r>
      <w:r>
        <w:t xml:space="preserve">on</w:t>
      </w:r>
      <w:r>
        <w:t xml:space="preserve"> </w:t>
      </w:r>
      <w:r>
        <w:t xml:space="preserve">Different Modes</w:t>
      </w:r>
      <w:r>
        <w:t xml:space="preserve"> </w:t>
      </w:r>
      <w:r>
        <w:t xml:space="preserve">of</w:t>
      </w:r>
      <w:r>
        <w:t xml:space="preserve"> </w:t>
      </w:r>
      <w:r>
        <w:t xml:space="preserve">Liveness</w:t>
      </w:r>
      <w:r>
        <w:t xml:space="preserve">.</w:t>
      </w:r>
      <w:r>
        <w:t xml:space="preserve"> </w:t>
      </w:r>
      <w:r>
        <w:rPr>
          <w:i/>
          <w:iCs/>
        </w:rPr>
        <w:t xml:space="preserve">Music &amp; Science</w:t>
      </w:r>
      <w:r>
        <w:t xml:space="preserve">,</w:t>
      </w:r>
      <w:r>
        <w:t xml:space="preserve"> </w:t>
      </w:r>
      <w:r>
        <w:rPr>
          <w:i/>
          <w:iCs/>
        </w:rPr>
        <w:t xml:space="preserve">8</w:t>
      </w:r>
      <w:r>
        <w:t xml:space="preserve">, 20592043251333995.</w:t>
      </w:r>
      <w:r>
        <w:t xml:space="preserve"> </w:t>
      </w:r>
      <w:hyperlink r:id="rId185">
        <w:r>
          <w:rPr>
            <w:rStyle w:val="Hyperlink"/>
          </w:rPr>
          <w:t xml:space="preserve">https://doi.org/10.1177/20592043251333995</w:t>
        </w:r>
      </w:hyperlink>
    </w:p>
    <w:bookmarkEnd w:id="186"/>
    <w:bookmarkStart w:id="188" w:name="ref-R-lmerTest"/>
    <w:p>
      <w:pPr>
        <w:pStyle w:val="Bibliography"/>
      </w:pPr>
      <w:r>
        <w:t xml:space="preserve">Kuznetsova, A., Brockhoff, P. B., &amp; Christensen, R. H. B.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187">
        <w:r>
          <w:rPr>
            <w:rStyle w:val="Hyperlink"/>
          </w:rPr>
          <w:t xml:space="preserve">https://doi.org/10.18637/jss.v082.i13</w:t>
        </w:r>
      </w:hyperlink>
    </w:p>
    <w:bookmarkEnd w:id="188"/>
    <w:bookmarkStart w:id="189" w:name="ref-lane2006"/>
    <w:p>
      <w:pPr>
        <w:pStyle w:val="Bibliography"/>
      </w:pPr>
      <w:r>
        <w:t xml:space="preserve">Lane, J., &amp; Otte, A. (2006).</w:t>
      </w:r>
      <w:r>
        <w:t xml:space="preserve"> </w:t>
      </w:r>
      <w:r>
        <w:rPr>
          <w:i/>
          <w:iCs/>
        </w:rPr>
        <w:t xml:space="preserve">The</w:t>
      </w:r>
      <w:r>
        <w:rPr>
          <w:i/>
          <w:iCs/>
        </w:rPr>
        <w:t xml:space="preserve"> </w:t>
      </w:r>
      <w:r>
        <w:rPr>
          <w:i/>
          <w:iCs/>
        </w:rPr>
        <w:t xml:space="preserve">Innocents</w:t>
      </w:r>
      <w:r>
        <w:t xml:space="preserve">.</w:t>
      </w:r>
    </w:p>
    <w:bookmarkEnd w:id="189"/>
    <w:bookmarkStart w:id="190" w:name="ref-lane2021"/>
    <w:p>
      <w:pPr>
        <w:pStyle w:val="Bibliography"/>
      </w:pPr>
      <w:r>
        <w:t xml:space="preserve">Lane, J., &amp; Otte, A. (2021). "</w:t>
      </w:r>
      <w:r>
        <w:t xml:space="preserve">The Innocents</w:t>
      </w:r>
      <w:r>
        <w:t xml:space="preserve">":</w:t>
      </w:r>
      <w:r>
        <w:t xml:space="preserve"> </w:t>
      </w:r>
      <w:r>
        <w:t xml:space="preserve">At</w:t>
      </w:r>
      <w:r>
        <w:t xml:space="preserve"> </w:t>
      </w:r>
      <w:r>
        <w:t xml:space="preserve">the intersection of music and social justice advocacy.</w:t>
      </w:r>
      <w:r>
        <w:t xml:space="preserve"> </w:t>
      </w:r>
      <w:r>
        <w:rPr>
          <w:i/>
          <w:iCs/>
        </w:rPr>
        <w:t xml:space="preserve">Percussive Notes</w:t>
      </w:r>
      <w:r>
        <w:t xml:space="preserve">,</w:t>
      </w:r>
      <w:r>
        <w:t xml:space="preserve"> </w:t>
      </w:r>
      <w:r>
        <w:rPr>
          <w:i/>
          <w:iCs/>
        </w:rPr>
        <w:t xml:space="preserve">59</w:t>
      </w:r>
      <w:r>
        <w:t xml:space="preserve">(6).</w:t>
      </w:r>
    </w:p>
    <w:bookmarkEnd w:id="190"/>
    <w:bookmarkStart w:id="192" w:name="ref-lange2015"/>
    <w:p>
      <w:pPr>
        <w:pStyle w:val="Bibliography"/>
      </w:pPr>
      <w:r>
        <w:t xml:space="preserve">Lange, K., Kühn, S., &amp; Filevich, E. (2015). "</w:t>
      </w:r>
      <w:r>
        <w:t xml:space="preserve">Just Another Tool</w:t>
      </w:r>
      <w:r>
        <w:t xml:space="preserve"> </w:t>
      </w:r>
      <w:r>
        <w:t xml:space="preserve">for</w:t>
      </w:r>
      <w:r>
        <w:t xml:space="preserve"> </w:t>
      </w:r>
      <w:r>
        <w:t xml:space="preserve">Online Studies</w:t>
      </w:r>
      <w:r>
        <w:t xml:space="preserve">” (</w:t>
      </w:r>
      <w:r>
        <w:t xml:space="preserve">JATOS</w:t>
      </w:r>
      <w:r>
        <w:t xml:space="preserve">):</w:t>
      </w:r>
      <w:r>
        <w:t xml:space="preserve"> </w:t>
      </w:r>
      <w:r>
        <w:t xml:space="preserve">An</w:t>
      </w:r>
      <w:r>
        <w:t xml:space="preserve"> </w:t>
      </w:r>
      <w:r>
        <w:t xml:space="preserve">easy solution for setup and management of web servers supporting online studies.</w:t>
      </w:r>
      <w:r>
        <w:t xml:space="preserve"> </w:t>
      </w:r>
      <w:r>
        <w:rPr>
          <w:i/>
          <w:iCs/>
        </w:rPr>
        <w:t xml:space="preserve">PLOS ONE</w:t>
      </w:r>
      <w:r>
        <w:t xml:space="preserve">,</w:t>
      </w:r>
      <w:r>
        <w:t xml:space="preserve"> </w:t>
      </w:r>
      <w:r>
        <w:rPr>
          <w:i/>
          <w:iCs/>
        </w:rPr>
        <w:t xml:space="preserve">10</w:t>
      </w:r>
      <w:r>
        <w:t xml:space="preserve">(6), e0130834.</w:t>
      </w:r>
      <w:r>
        <w:t xml:space="preserve"> </w:t>
      </w:r>
      <w:hyperlink r:id="rId191">
        <w:r>
          <w:rPr>
            <w:rStyle w:val="Hyperlink"/>
          </w:rPr>
          <w:t xml:space="preserve">https://doi.org/10.1371/journal.pone.0130834</w:t>
        </w:r>
      </w:hyperlink>
    </w:p>
    <w:bookmarkEnd w:id="192"/>
    <w:bookmarkStart w:id="194" w:name="ref-leeuw2023"/>
    <w:p>
      <w:pPr>
        <w:pStyle w:val="Bibliography"/>
      </w:pPr>
      <w:r>
        <w:t xml:space="preserve">Leeuw, J. R. de, Gilbert, R. A., &amp; Luchterhandt, B. (2023).</w:t>
      </w:r>
      <w:r>
        <w:t xml:space="preserve"> </w:t>
      </w:r>
      <w:r>
        <w:t xml:space="preserve">jsPsych</w:t>
      </w:r>
      <w:r>
        <w:t xml:space="preserve">:</w:t>
      </w:r>
      <w:r>
        <w:t xml:space="preserve"> </w:t>
      </w:r>
      <w:r>
        <w:t xml:space="preserve">Enabling</w:t>
      </w:r>
      <w:r>
        <w:t xml:space="preserve"> </w:t>
      </w:r>
      <w:r>
        <w:t xml:space="preserve">an open-source collaborative ecosystem of behavioral experiments.</w:t>
      </w:r>
      <w:r>
        <w:t xml:space="preserve"> </w:t>
      </w:r>
      <w:r>
        <w:rPr>
          <w:i/>
          <w:iCs/>
        </w:rPr>
        <w:t xml:space="preserve">Journal of Open Source Software</w:t>
      </w:r>
      <w:r>
        <w:t xml:space="preserve">,</w:t>
      </w:r>
      <w:r>
        <w:t xml:space="preserve"> </w:t>
      </w:r>
      <w:r>
        <w:rPr>
          <w:i/>
          <w:iCs/>
        </w:rPr>
        <w:t xml:space="preserve">8</w:t>
      </w:r>
      <w:r>
        <w:t xml:space="preserve">(85), 5351.</w:t>
      </w:r>
      <w:r>
        <w:t xml:space="preserve"> </w:t>
      </w:r>
      <w:hyperlink r:id="rId193">
        <w:r>
          <w:rPr>
            <w:rStyle w:val="Hyperlink"/>
          </w:rPr>
          <w:t xml:space="preserve">https://doi.org/10.21105/joss.05351</w:t>
        </w:r>
      </w:hyperlink>
    </w:p>
    <w:bookmarkEnd w:id="194"/>
    <w:bookmarkStart w:id="196" w:name="ref-leeuw2022"/>
    <w:p>
      <w:pPr>
        <w:pStyle w:val="Bibliography"/>
      </w:pPr>
      <w:r>
        <w:t xml:space="preserve">Leeuw, J. R. de, Motz, B. A., Fyfe, E. R., Carvalho, P. F., &amp; Goldstone, R. L. (2022). Generalizability, transferability, and the practice-to-practice gap.</w:t>
      </w:r>
      <w:r>
        <w:t xml:space="preserve"> </w:t>
      </w:r>
      <w:r>
        <w:rPr>
          <w:i/>
          <w:iCs/>
        </w:rPr>
        <w:t xml:space="preserve">Behavioral and Brain Sciences</w:t>
      </w:r>
      <w:r>
        <w:t xml:space="preserve">,</w:t>
      </w:r>
      <w:r>
        <w:t xml:space="preserve"> </w:t>
      </w:r>
      <w:r>
        <w:rPr>
          <w:i/>
          <w:iCs/>
        </w:rPr>
        <w:t xml:space="preserve">45</w:t>
      </w:r>
      <w:r>
        <w:t xml:space="preserve">, e11.</w:t>
      </w:r>
      <w:r>
        <w:t xml:space="preserve"> </w:t>
      </w:r>
      <w:hyperlink r:id="rId195">
        <w:r>
          <w:rPr>
            <w:rStyle w:val="Hyperlink"/>
          </w:rPr>
          <w:t xml:space="preserve">https://doi.org/10.1017/S0140525X21000406</w:t>
        </w:r>
      </w:hyperlink>
    </w:p>
    <w:bookmarkEnd w:id="196"/>
    <w:bookmarkStart w:id="198" w:name="ref-liljestrom2013"/>
    <w:p>
      <w:pPr>
        <w:pStyle w:val="Bibliography"/>
      </w:pPr>
      <w:r>
        <w:t xml:space="preserve">Liljeström, S., Juslin, P. N., &amp; Västfjäll, D. (2013). Experimental evidence of the roles of music choice, social context, and listener personality in emotional reactions to music.</w:t>
      </w:r>
      <w:r>
        <w:t xml:space="preserve"> </w:t>
      </w:r>
      <w:r>
        <w:rPr>
          <w:i/>
          <w:iCs/>
        </w:rPr>
        <w:t xml:space="preserve">Psychology of Music</w:t>
      </w:r>
      <w:r>
        <w:t xml:space="preserve">,</w:t>
      </w:r>
      <w:r>
        <w:t xml:space="preserve"> </w:t>
      </w:r>
      <w:r>
        <w:rPr>
          <w:i/>
          <w:iCs/>
        </w:rPr>
        <w:t xml:space="preserve">41</w:t>
      </w:r>
      <w:r>
        <w:t xml:space="preserve">(5), 579–599.</w:t>
      </w:r>
      <w:r>
        <w:t xml:space="preserve"> </w:t>
      </w:r>
      <w:hyperlink r:id="rId197">
        <w:r>
          <w:rPr>
            <w:rStyle w:val="Hyperlink"/>
          </w:rPr>
          <w:t xml:space="preserve">https://doi.org/10.1177/0305735612440615</w:t>
        </w:r>
      </w:hyperlink>
    </w:p>
    <w:bookmarkEnd w:id="198"/>
    <w:bookmarkStart w:id="200" w:name="ref-lonsdale2009"/>
    <w:p>
      <w:pPr>
        <w:pStyle w:val="Bibliography"/>
      </w:pPr>
      <w:r>
        <w:t xml:space="preserve">Lonsdale, A. J., &amp; North, A. C. (2009). Musical</w:t>
      </w:r>
      <w:r>
        <w:t xml:space="preserve"> </w:t>
      </w:r>
      <w:r>
        <w:t xml:space="preserve">Taste</w:t>
      </w:r>
      <w:r>
        <w:t xml:space="preserve"> </w:t>
      </w:r>
      <w:r>
        <w:t xml:space="preserve">and</w:t>
      </w:r>
      <w:r>
        <w:t xml:space="preserve"> </w:t>
      </w:r>
      <w:r>
        <w:t xml:space="preserve">Ingroup Favouritism</w:t>
      </w:r>
      <w:r>
        <w:t xml:space="preserve">.</w:t>
      </w:r>
      <w:r>
        <w:t xml:space="preserve"> </w:t>
      </w:r>
      <w:r>
        <w:rPr>
          <w:i/>
          <w:iCs/>
        </w:rPr>
        <w:t xml:space="preserve">Group Processes &amp; Intergroup Relations</w:t>
      </w:r>
      <w:r>
        <w:t xml:space="preserve">,</w:t>
      </w:r>
      <w:r>
        <w:t xml:space="preserve"> </w:t>
      </w:r>
      <w:r>
        <w:rPr>
          <w:i/>
          <w:iCs/>
        </w:rPr>
        <w:t xml:space="preserve">12</w:t>
      </w:r>
      <w:r>
        <w:t xml:space="preserve">(3), 319–327.</w:t>
      </w:r>
      <w:r>
        <w:t xml:space="preserve"> </w:t>
      </w:r>
      <w:hyperlink r:id="rId199">
        <w:r>
          <w:rPr>
            <w:rStyle w:val="Hyperlink"/>
          </w:rPr>
          <w:t xml:space="preserve">https://doi.org/10.1177/1368430209102842</w:t>
        </w:r>
      </w:hyperlink>
    </w:p>
    <w:bookmarkEnd w:id="200"/>
    <w:bookmarkStart w:id="201" w:name="ref-lorenc2022"/>
    <w:p>
      <w:pPr>
        <w:pStyle w:val="Bibliography"/>
      </w:pPr>
      <w:r>
        <w:t xml:space="preserve">Lorenc, W. (2022).</w:t>
      </w:r>
      <w:r>
        <w:t xml:space="preserve"> </w:t>
      </w:r>
      <w:r>
        <w:rPr>
          <w:i/>
          <w:iCs/>
        </w:rPr>
        <w:t xml:space="preserve">The</w:t>
      </w:r>
      <w:r>
        <w:rPr>
          <w:i/>
          <w:iCs/>
        </w:rPr>
        <w:t xml:space="preserve"> </w:t>
      </w:r>
      <w:r>
        <w:rPr>
          <w:i/>
          <w:iCs/>
        </w:rPr>
        <w:t xml:space="preserve">Innocents</w:t>
      </w:r>
      <w:r>
        <w:t xml:space="preserve">.</w:t>
      </w:r>
    </w:p>
    <w:bookmarkEnd w:id="201"/>
    <w:bookmarkStart w:id="203" w:name="ref-meteyard2020"/>
    <w:p>
      <w:pPr>
        <w:pStyle w:val="Bibliography"/>
      </w:pPr>
      <w:r>
        <w:t xml:space="preserve">Meteyard, L., &amp; Davies, R. A. I. (2020). Best practice guidance for linear mixed-effects models in psychological science.</w:t>
      </w:r>
      <w:r>
        <w:t xml:space="preserve"> </w:t>
      </w:r>
      <w:r>
        <w:rPr>
          <w:i/>
          <w:iCs/>
        </w:rPr>
        <w:t xml:space="preserve">Journal of Memory and Language</w:t>
      </w:r>
      <w:r>
        <w:t xml:space="preserve">,</w:t>
      </w:r>
      <w:r>
        <w:t xml:space="preserve"> </w:t>
      </w:r>
      <w:r>
        <w:rPr>
          <w:i/>
          <w:iCs/>
        </w:rPr>
        <w:t xml:space="preserve">112</w:t>
      </w:r>
      <w:r>
        <w:t xml:space="preserve">, 104092.</w:t>
      </w:r>
      <w:r>
        <w:t xml:space="preserve"> </w:t>
      </w:r>
      <w:hyperlink r:id="rId202">
        <w:r>
          <w:rPr>
            <w:rStyle w:val="Hyperlink"/>
          </w:rPr>
          <w:t xml:space="preserve">https://doi.org/10.1016/j.jml.2020.104092</w:t>
        </w:r>
      </w:hyperlink>
    </w:p>
    <w:bookmarkEnd w:id="203"/>
    <w:bookmarkStart w:id="205" w:name="ref-mogan2017"/>
    <w:p>
      <w:pPr>
        <w:pStyle w:val="Bibliography"/>
      </w:pPr>
      <w:r>
        <w:t xml:space="preserve">Mogan, R., Fischer, R., &amp; Bulbulia, J. A. (2017). To be in synchrony or not?</w:t>
      </w:r>
      <w:r>
        <w:t xml:space="preserve"> </w:t>
      </w:r>
      <w:r>
        <w:t xml:space="preserve">A</w:t>
      </w:r>
      <w:r>
        <w:t xml:space="preserve"> </w:t>
      </w:r>
      <w:r>
        <w:t xml:space="preserve">meta-analysis of synchrony’s effects on behavior, perception, cognition and affect.</w:t>
      </w:r>
      <w:r>
        <w:t xml:space="preserve"> </w:t>
      </w:r>
      <w:r>
        <w:rPr>
          <w:i/>
          <w:iCs/>
        </w:rPr>
        <w:t xml:space="preserve">Journal of Experimental Social Psychology</w:t>
      </w:r>
      <w:r>
        <w:t xml:space="preserve">,</w:t>
      </w:r>
      <w:r>
        <w:t xml:space="preserve"> </w:t>
      </w:r>
      <w:r>
        <w:rPr>
          <w:i/>
          <w:iCs/>
        </w:rPr>
        <w:t xml:space="preserve">72</w:t>
      </w:r>
      <w:r>
        <w:t xml:space="preserve">, 13–20.</w:t>
      </w:r>
      <w:r>
        <w:t xml:space="preserve"> </w:t>
      </w:r>
      <w:hyperlink r:id="rId204">
        <w:r>
          <w:rPr>
            <w:rStyle w:val="Hyperlink"/>
          </w:rPr>
          <w:t xml:space="preserve">https://doi.org/10.1016/j.jesp.2017.03.009</w:t>
        </w:r>
      </w:hyperlink>
    </w:p>
    <w:bookmarkEnd w:id="205"/>
    <w:bookmarkStart w:id="207" w:name="ref-muthukrishna2019"/>
    <w:p>
      <w:pPr>
        <w:pStyle w:val="Bibliography"/>
      </w:pPr>
      <w:r>
        <w:t xml:space="preserve">Muthukrishna, M., &amp; Henrich, J. (2019). A problem in theory.</w:t>
      </w:r>
      <w:r>
        <w:t xml:space="preserve"> </w:t>
      </w:r>
      <w:r>
        <w:rPr>
          <w:i/>
          <w:iCs/>
        </w:rPr>
        <w:t xml:space="preserve">Nature Human Behaviour</w:t>
      </w:r>
      <w:r>
        <w:t xml:space="preserve">,</w:t>
      </w:r>
      <w:r>
        <w:t xml:space="preserve"> </w:t>
      </w:r>
      <w:r>
        <w:rPr>
          <w:i/>
          <w:iCs/>
        </w:rPr>
        <w:t xml:space="preserve">3</w:t>
      </w:r>
      <w:r>
        <w:t xml:space="preserve">(3), 221–229.</w:t>
      </w:r>
      <w:r>
        <w:t xml:space="preserve"> </w:t>
      </w:r>
      <w:hyperlink r:id="rId206">
        <w:r>
          <w:rPr>
            <w:rStyle w:val="Hyperlink"/>
          </w:rPr>
          <w:t xml:space="preserve">https://doi.org/10.1038/s41562-018-0522-1</w:t>
        </w:r>
      </w:hyperlink>
    </w:p>
    <w:bookmarkEnd w:id="207"/>
    <w:bookmarkStart w:id="209" w:name="ref-nolan2010"/>
    <w:p>
      <w:pPr>
        <w:pStyle w:val="Bibliography"/>
      </w:pPr>
      <w:r>
        <w:t xml:space="preserve">Nolan, J. M. (2010).</w:t>
      </w:r>
      <w:r>
        <w:t xml:space="preserve"> </w:t>
      </w:r>
      <w:r>
        <w:t xml:space="preserve">“</w:t>
      </w:r>
      <w:r>
        <w:t xml:space="preserve">An Inconvenient Truth</w:t>
      </w:r>
      <w:r>
        <w:t xml:space="preserve">”</w:t>
      </w:r>
      <w:r>
        <w:t xml:space="preserve"> </w:t>
      </w:r>
      <w:r>
        <w:t xml:space="preserve">increases knowledge, concern, and willingness to reduce greenhouse gases.</w:t>
      </w:r>
      <w:r>
        <w:t xml:space="preserve"> </w:t>
      </w:r>
      <w:r>
        <w:rPr>
          <w:i/>
          <w:iCs/>
        </w:rPr>
        <w:t xml:space="preserve">Environment and Behavior</w:t>
      </w:r>
      <w:r>
        <w:t xml:space="preserve">,</w:t>
      </w:r>
      <w:r>
        <w:t xml:space="preserve"> </w:t>
      </w:r>
      <w:r>
        <w:rPr>
          <w:i/>
          <w:iCs/>
        </w:rPr>
        <w:t xml:space="preserve">42</w:t>
      </w:r>
      <w:r>
        <w:t xml:space="preserve">(5), 643–658.</w:t>
      </w:r>
      <w:r>
        <w:t xml:space="preserve"> </w:t>
      </w:r>
      <w:hyperlink r:id="rId208">
        <w:r>
          <w:rPr>
            <w:rStyle w:val="Hyperlink"/>
          </w:rPr>
          <w:t xml:space="preserve">https://doi.org/10.117710013916509357696</w:t>
        </w:r>
      </w:hyperlink>
    </w:p>
    <w:bookmarkEnd w:id="209"/>
    <w:bookmarkStart w:id="210" w:name="ref-ollen2006"/>
    <w:p>
      <w:pPr>
        <w:pStyle w:val="Bibliography"/>
      </w:pPr>
      <w:r>
        <w:t xml:space="preserve">Ollen, J. (2006).</w:t>
      </w:r>
      <w:r>
        <w:t xml:space="preserve"> </w:t>
      </w:r>
      <w:r>
        <w:rPr>
          <w:i/>
          <w:iCs/>
        </w:rPr>
        <w:t xml:space="preserve">A criterion-related validity test of selected indicators of musical sophistication using expert ratings</w:t>
      </w:r>
      <w:r>
        <w:t xml:space="preserve"> </w:t>
      </w:r>
      <w:r>
        <w:t xml:space="preserve">[PhD thesis].</w:t>
      </w:r>
    </w:p>
    <w:bookmarkEnd w:id="210"/>
    <w:bookmarkStart w:id="212" w:name="ref-onderdijk2021"/>
    <w:p>
      <w:pPr>
        <w:pStyle w:val="Bibliography"/>
      </w:pPr>
      <w:r>
        <w:t xml:space="preserve">Onderdijk, K. E., Swarbrick, D., van Kerrebroeck, B., Mantei, M., Vuoskoski, J. K., Maes, P.-J., &amp; Leman, M. (2021). Livestream experiments:</w:t>
      </w:r>
      <w:r>
        <w:t xml:space="preserve"> </w:t>
      </w:r>
      <w:r>
        <w:t xml:space="preserve">The</w:t>
      </w:r>
      <w:r>
        <w:t xml:space="preserve"> </w:t>
      </w:r>
      <w:r>
        <w:t xml:space="preserve">role of</w:t>
      </w:r>
      <w:r>
        <w:t xml:space="preserve"> </w:t>
      </w:r>
      <w:r>
        <w:t xml:space="preserve">COVID-19</w:t>
      </w:r>
      <w:r>
        <w:t xml:space="preserve">, agency, presence, and social context in facilitating social connectedness.</w:t>
      </w:r>
      <w:r>
        <w:t xml:space="preserve"> </w:t>
      </w:r>
      <w:r>
        <w:rPr>
          <w:i/>
          <w:iCs/>
        </w:rPr>
        <w:t xml:space="preserve">Frontiers in Psychology</w:t>
      </w:r>
      <w:r>
        <w:t xml:space="preserve">,</w:t>
      </w:r>
      <w:r>
        <w:t xml:space="preserve"> </w:t>
      </w:r>
      <w:r>
        <w:rPr>
          <w:i/>
          <w:iCs/>
        </w:rPr>
        <w:t xml:space="preserve">12</w:t>
      </w:r>
      <w:r>
        <w:t xml:space="preserve">, 647929.</w:t>
      </w:r>
      <w:r>
        <w:t xml:space="preserve"> </w:t>
      </w:r>
      <w:hyperlink r:id="rId211">
        <w:r>
          <w:rPr>
            <w:rStyle w:val="Hyperlink"/>
          </w:rPr>
          <w:t xml:space="preserve">https://doi.org/10.3389/fpsyg.2021.647929</w:t>
        </w:r>
      </w:hyperlink>
    </w:p>
    <w:bookmarkEnd w:id="212"/>
    <w:bookmarkStart w:id="214" w:name="ref-pelowski2024"/>
    <w:p>
      <w:pPr>
        <w:pStyle w:val="Bibliography"/>
      </w:pPr>
      <w:r>
        <w:t xml:space="preserve">Pelowski, M., Cotter, K. N., Specker, E., Fingerhut, J., Trupp, M. D., &amp; Speidel, K. (2024). How lasting is the impact of art?:</w:t>
      </w:r>
      <w:r>
        <w:t xml:space="preserve"> </w:t>
      </w:r>
      <w:r>
        <w:t xml:space="preserve">An</w:t>
      </w:r>
      <w:r>
        <w:t xml:space="preserve"> </w:t>
      </w:r>
      <w:r>
        <w:t xml:space="preserve">exploratory study of the incidence and duration of art exhibition-induced prosocial attitude change using a 2-week daily diary method.</w:t>
      </w:r>
      <w:r>
        <w:t xml:space="preserve"> </w:t>
      </w:r>
      <w:r>
        <w:rPr>
          <w:i/>
          <w:iCs/>
        </w:rPr>
        <w:t xml:space="preserve">Psychology of Aesthetics, Creativity, and the Arts</w:t>
      </w:r>
      <w:r>
        <w:t xml:space="preserve">.</w:t>
      </w:r>
      <w:r>
        <w:t xml:space="preserve"> </w:t>
      </w:r>
      <w:hyperlink r:id="rId213">
        <w:r>
          <w:rPr>
            <w:rStyle w:val="Hyperlink"/>
          </w:rPr>
          <w:t xml:space="preserve">https://doi.org/10.1037/aca0000670</w:t>
        </w:r>
      </w:hyperlink>
    </w:p>
    <w:bookmarkEnd w:id="214"/>
    <w:bookmarkStart w:id="216" w:name="ref-R-base"/>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215">
        <w:r>
          <w:rPr>
            <w:rStyle w:val="Hyperlink"/>
          </w:rPr>
          <w:t xml:space="preserve">https://www.R-project.org/</w:t>
        </w:r>
      </w:hyperlink>
    </w:p>
    <w:bookmarkEnd w:id="216"/>
    <w:bookmarkStart w:id="218" w:name="ref-rabinowitch2023"/>
    <w:p>
      <w:pPr>
        <w:pStyle w:val="Bibliography"/>
      </w:pPr>
      <w:r>
        <w:t xml:space="preserve">Rabinowitch, T.-C. (2023). Musical engagement as a duet of tight synchrony and loose interpretability.</w:t>
      </w:r>
      <w:r>
        <w:t xml:space="preserve"> </w:t>
      </w:r>
      <w:r>
        <w:rPr>
          <w:i/>
          <w:iCs/>
        </w:rPr>
        <w:t xml:space="preserve">Physics of Life Reviews</w:t>
      </w:r>
      <w:r>
        <w:t xml:space="preserve">,</w:t>
      </w:r>
      <w:r>
        <w:t xml:space="preserve"> </w:t>
      </w:r>
      <w:r>
        <w:rPr>
          <w:i/>
          <w:iCs/>
        </w:rPr>
        <w:t xml:space="preserve">44</w:t>
      </w:r>
      <w:r>
        <w:t xml:space="preserve">, 122–136.</w:t>
      </w:r>
      <w:r>
        <w:t xml:space="preserve"> </w:t>
      </w:r>
      <w:hyperlink r:id="rId217">
        <w:r>
          <w:rPr>
            <w:rStyle w:val="Hyperlink"/>
          </w:rPr>
          <w:t xml:space="preserve">https://doi.org/10.1016/j.plrev.2022.12.019</w:t>
        </w:r>
      </w:hyperlink>
    </w:p>
    <w:bookmarkEnd w:id="218"/>
    <w:bookmarkStart w:id="220" w:name="ref-rabinowitch2013"/>
    <w:p>
      <w:pPr>
        <w:pStyle w:val="Bibliography"/>
      </w:pPr>
      <w:r>
        <w:t xml:space="preserve">Rabinowitch, T.-C., Cross, I., &amp; Burnard, P. (2013). Long-term musical group interaction has a positive influence on empathy in children.</w:t>
      </w:r>
      <w:r>
        <w:t xml:space="preserve"> </w:t>
      </w:r>
      <w:r>
        <w:rPr>
          <w:i/>
          <w:iCs/>
        </w:rPr>
        <w:t xml:space="preserve">Psychology of Music</w:t>
      </w:r>
      <w:r>
        <w:t xml:space="preserve">,</w:t>
      </w:r>
      <w:r>
        <w:t xml:space="preserve"> </w:t>
      </w:r>
      <w:r>
        <w:rPr>
          <w:i/>
          <w:iCs/>
        </w:rPr>
        <w:t xml:space="preserve">41</w:t>
      </w:r>
      <w:r>
        <w:t xml:space="preserve">(4), 484–498.</w:t>
      </w:r>
      <w:r>
        <w:t xml:space="preserve"> </w:t>
      </w:r>
      <w:hyperlink r:id="rId219">
        <w:r>
          <w:rPr>
            <w:rStyle w:val="Hyperlink"/>
          </w:rPr>
          <w:t xml:space="preserve">https://doi.org/10.1177/0305735612440609</w:t>
        </w:r>
      </w:hyperlink>
    </w:p>
    <w:bookmarkEnd w:id="220"/>
    <w:bookmarkStart w:id="222" w:name="ref-rathje2021"/>
    <w:p>
      <w:pPr>
        <w:pStyle w:val="Bibliography"/>
      </w:pPr>
      <w:r>
        <w:t xml:space="preserve">Rathje, S., Hackel, L., &amp; Zaki, J. (2021). Attending live theatre improves empathy, changes attitudes, and leads to pro-social behavior.</w:t>
      </w:r>
      <w:r>
        <w:t xml:space="preserve"> </w:t>
      </w:r>
      <w:r>
        <w:rPr>
          <w:i/>
          <w:iCs/>
        </w:rPr>
        <w:t xml:space="preserve">Journal of Experimental Social Psychology</w:t>
      </w:r>
      <w:r>
        <w:t xml:space="preserve">,</w:t>
      </w:r>
      <w:r>
        <w:t xml:space="preserve"> </w:t>
      </w:r>
      <w:r>
        <w:rPr>
          <w:i/>
          <w:iCs/>
        </w:rPr>
        <w:t xml:space="preserve">95</w:t>
      </w:r>
      <w:r>
        <w:t xml:space="preserve">, 104138.</w:t>
      </w:r>
      <w:r>
        <w:t xml:space="preserve"> </w:t>
      </w:r>
      <w:hyperlink r:id="rId221">
        <w:r>
          <w:rPr>
            <w:rStyle w:val="Hyperlink"/>
          </w:rPr>
          <w:t xml:space="preserve">https://doi.org/10.1016/j.jesp.2021.104138</w:t>
        </w:r>
      </w:hyperlink>
    </w:p>
    <w:bookmarkEnd w:id="222"/>
    <w:bookmarkStart w:id="224" w:name="ref-reddan2024"/>
    <w:p>
      <w:pPr>
        <w:pStyle w:val="Bibliography"/>
      </w:pPr>
      <w:r>
        <w:t xml:space="preserve">Reddan, M. C., Garcia, S. B., Golarai, G., Eberhardt, J. L., &amp; Zaki, J. (2024). Film intervention increases empathic understanding of formerly incarcerated people and support for criminal justice reform.</w:t>
      </w:r>
      <w:r>
        <w:t xml:space="preserve"> </w:t>
      </w:r>
      <w:r>
        <w:rPr>
          <w:i/>
          <w:iCs/>
        </w:rPr>
        <w:t xml:space="preserve">Proceedings of the National Academy of Sciences</w:t>
      </w:r>
      <w:r>
        <w:t xml:space="preserve">,</w:t>
      </w:r>
      <w:r>
        <w:t xml:space="preserve"> </w:t>
      </w:r>
      <w:r>
        <w:rPr>
          <w:i/>
          <w:iCs/>
        </w:rPr>
        <w:t xml:space="preserve">121</w:t>
      </w:r>
      <w:r>
        <w:t xml:space="preserve">(44), e2322819121.</w:t>
      </w:r>
      <w:r>
        <w:t xml:space="preserve"> </w:t>
      </w:r>
      <w:hyperlink r:id="rId223">
        <w:r>
          <w:rPr>
            <w:rStyle w:val="Hyperlink"/>
          </w:rPr>
          <w:t xml:space="preserve">https://doi.org/10.1073/pnas.2322819121</w:t>
        </w:r>
      </w:hyperlink>
    </w:p>
    <w:bookmarkEnd w:id="224"/>
    <w:bookmarkStart w:id="226" w:name="ref-reddish2014"/>
    <w:p>
      <w:pPr>
        <w:pStyle w:val="Bibliography"/>
      </w:pPr>
      <w:r>
        <w:t xml:space="preserve">Reddish, P., Bulbulia, J., &amp; Fischer, R. (2014). Does synchrony promote generalized prosociality?</w:t>
      </w:r>
      <w:r>
        <w:t xml:space="preserve"> </w:t>
      </w:r>
      <w:r>
        <w:rPr>
          <w:i/>
          <w:iCs/>
        </w:rPr>
        <w:t xml:space="preserve">Religion, Brain &amp; Behavior</w:t>
      </w:r>
      <w:r>
        <w:t xml:space="preserve">,</w:t>
      </w:r>
      <w:r>
        <w:t xml:space="preserve"> </w:t>
      </w:r>
      <w:r>
        <w:rPr>
          <w:i/>
          <w:iCs/>
        </w:rPr>
        <w:t xml:space="preserve">4</w:t>
      </w:r>
      <w:r>
        <w:t xml:space="preserve">(1), 3–19.</w:t>
      </w:r>
      <w:r>
        <w:t xml:space="preserve"> </w:t>
      </w:r>
      <w:hyperlink r:id="rId225">
        <w:r>
          <w:rPr>
            <w:rStyle w:val="Hyperlink"/>
          </w:rPr>
          <w:t xml:space="preserve">https://doi.org/10.1080/2153599X.2013.764545</w:t>
        </w:r>
      </w:hyperlink>
    </w:p>
    <w:bookmarkEnd w:id="226"/>
    <w:bookmarkStart w:id="228" w:name="ref-reddish2016"/>
    <w:p>
      <w:pPr>
        <w:pStyle w:val="Bibliography"/>
      </w:pPr>
      <w:r>
        <w:t xml:space="preserve">Reddish, P., Tong, E. M. W., Jong, J., Lanman, J. A., &amp; Whitehouse, H. (2016). Collective synchrony increases prosociality towards non-performers and outgroup members.</w:t>
      </w:r>
      <w:r>
        <w:t xml:space="preserve"> </w:t>
      </w:r>
      <w:r>
        <w:rPr>
          <w:i/>
          <w:iCs/>
        </w:rPr>
        <w:t xml:space="preserve">British Journal of Social Psychology</w:t>
      </w:r>
      <w:r>
        <w:t xml:space="preserve">,</w:t>
      </w:r>
      <w:r>
        <w:t xml:space="preserve"> </w:t>
      </w:r>
      <w:r>
        <w:rPr>
          <w:i/>
          <w:iCs/>
        </w:rPr>
        <w:t xml:space="preserve">55</w:t>
      </w:r>
      <w:r>
        <w:t xml:space="preserve">(4), 722–738.</w:t>
      </w:r>
      <w:r>
        <w:t xml:space="preserve"> </w:t>
      </w:r>
      <w:hyperlink r:id="rId227">
        <w:r>
          <w:rPr>
            <w:rStyle w:val="Hyperlink"/>
          </w:rPr>
          <w:t xml:space="preserve">https://doi.org/10.1111/bjso.12165</w:t>
        </w:r>
      </w:hyperlink>
    </w:p>
    <w:bookmarkEnd w:id="228"/>
    <w:bookmarkStart w:id="230" w:name="ref-rentfrow2009"/>
    <w:p>
      <w:pPr>
        <w:pStyle w:val="Bibliography"/>
      </w:pPr>
      <w:r>
        <w:t xml:space="preserve">Rentfrow, P. J., McDonald, J. A., &amp; Oldmeadow, J. A. (2009). You</w:t>
      </w:r>
      <w:r>
        <w:t xml:space="preserve"> </w:t>
      </w:r>
      <w:r>
        <w:t xml:space="preserve">Are What You Listen To</w:t>
      </w:r>
      <w:r>
        <w:t xml:space="preserve">:</w:t>
      </w:r>
      <w:r>
        <w:t xml:space="preserve"> </w:t>
      </w:r>
      <w:r>
        <w:t xml:space="preserve">Young People</w:t>
      </w:r>
      <w:r>
        <w:t xml:space="preserve">’s</w:t>
      </w:r>
      <w:r>
        <w:t xml:space="preserve"> </w:t>
      </w:r>
      <w:r>
        <w:t xml:space="preserve">Stereotypes</w:t>
      </w:r>
      <w:r>
        <w:t xml:space="preserve"> </w:t>
      </w:r>
      <w:r>
        <w:t xml:space="preserve">about</w:t>
      </w:r>
      <w:r>
        <w:t xml:space="preserve"> </w:t>
      </w:r>
      <w:r>
        <w:t xml:space="preserve">Music Fans</w:t>
      </w:r>
      <w:r>
        <w:t xml:space="preserve">.</w:t>
      </w:r>
      <w:r>
        <w:t xml:space="preserve"> </w:t>
      </w:r>
      <w:r>
        <w:rPr>
          <w:i/>
          <w:iCs/>
        </w:rPr>
        <w:t xml:space="preserve">Group Processes &amp; Intergroup Relations</w:t>
      </w:r>
      <w:r>
        <w:t xml:space="preserve">,</w:t>
      </w:r>
      <w:r>
        <w:t xml:space="preserve"> </w:t>
      </w:r>
      <w:r>
        <w:rPr>
          <w:i/>
          <w:iCs/>
        </w:rPr>
        <w:t xml:space="preserve">12</w:t>
      </w:r>
      <w:r>
        <w:t xml:space="preserve">(3), 329–344.</w:t>
      </w:r>
      <w:r>
        <w:t xml:space="preserve"> </w:t>
      </w:r>
      <w:hyperlink r:id="rId229">
        <w:r>
          <w:rPr>
            <w:rStyle w:val="Hyperlink"/>
          </w:rPr>
          <w:t xml:space="preserve">https://doi.org/10.1177/1368430209102845</w:t>
        </w:r>
      </w:hyperlink>
    </w:p>
    <w:bookmarkEnd w:id="230"/>
    <w:bookmarkStart w:id="232" w:name="ref-sakellari2015"/>
    <w:p>
      <w:pPr>
        <w:pStyle w:val="Bibliography"/>
      </w:pPr>
      <w:r>
        <w:t xml:space="preserve">Sakellari, M. (2015). Cinematic climate change, a promising perspective on climate change communication.</w:t>
      </w:r>
      <w:r>
        <w:t xml:space="preserve"> </w:t>
      </w:r>
      <w:r>
        <w:rPr>
          <w:i/>
          <w:iCs/>
        </w:rPr>
        <w:t xml:space="preserve">Public Understanding of Science</w:t>
      </w:r>
      <w:r>
        <w:t xml:space="preserve">,</w:t>
      </w:r>
      <w:r>
        <w:t xml:space="preserve"> </w:t>
      </w:r>
      <w:r>
        <w:rPr>
          <w:i/>
          <w:iCs/>
        </w:rPr>
        <w:t xml:space="preserve">24</w:t>
      </w:r>
      <w:r>
        <w:t xml:space="preserve">(7), 827–841.</w:t>
      </w:r>
      <w:r>
        <w:t xml:space="preserve"> </w:t>
      </w:r>
      <w:hyperlink r:id="rId231">
        <w:r>
          <w:rPr>
            <w:rStyle w:val="Hyperlink"/>
          </w:rPr>
          <w:t xml:space="preserve">https://doi.org/10.1177/0963662514537028</w:t>
        </w:r>
      </w:hyperlink>
    </w:p>
    <w:bookmarkEnd w:id="232"/>
    <w:bookmarkStart w:id="233" w:name="ref-savage2021"/>
    <w:p>
      <w:pPr>
        <w:pStyle w:val="Bibliography"/>
      </w:pPr>
      <w:r>
        <w:t xml:space="preserve">Savage, P. E., Loui, P., Tarr, B., Schachner, A., Glowacki, L., Mithen, S., &amp; Fitch, W. T. (2021). Music as a coevolved system for social bonding.</w:t>
      </w:r>
      <w:r>
        <w:t xml:space="preserve"> </w:t>
      </w:r>
      <w:r>
        <w:rPr>
          <w:i/>
          <w:iCs/>
        </w:rPr>
        <w:t xml:space="preserve">Behavioral and Brain Sciences</w:t>
      </w:r>
      <w:r>
        <w:t xml:space="preserve">,</w:t>
      </w:r>
      <w:r>
        <w:t xml:space="preserve"> </w:t>
      </w:r>
      <w:r>
        <w:rPr>
          <w:i/>
          <w:iCs/>
        </w:rPr>
        <w:t xml:space="preserve">44</w:t>
      </w:r>
      <w:r>
        <w:t xml:space="preserve">, e59.</w:t>
      </w:r>
    </w:p>
    <w:bookmarkEnd w:id="233"/>
    <w:bookmarkStart w:id="235" w:name="ref-savari2023"/>
    <w:p>
      <w:pPr>
        <w:pStyle w:val="Bibliography"/>
      </w:pPr>
      <w:r>
        <w:t xml:space="preserve">Savari, M., Damaneh, H. E., Damaneh, H. E., &amp; Cotton, M. (2023). Integrating the norm activation model and theory of planned behaviour to investigate farmer pro-environmental behavioural intention.</w:t>
      </w:r>
      <w:r>
        <w:t xml:space="preserve"> </w:t>
      </w:r>
      <w:r>
        <w:rPr>
          <w:i/>
          <w:iCs/>
        </w:rPr>
        <w:t xml:space="preserve">Scientific Reports</w:t>
      </w:r>
      <w:r>
        <w:t xml:space="preserve">,</w:t>
      </w:r>
      <w:r>
        <w:t xml:space="preserve"> </w:t>
      </w:r>
      <w:r>
        <w:rPr>
          <w:i/>
          <w:iCs/>
        </w:rPr>
        <w:t xml:space="preserve">13</w:t>
      </w:r>
      <w:r>
        <w:t xml:space="preserve">(1), 5584.</w:t>
      </w:r>
      <w:r>
        <w:t xml:space="preserve"> </w:t>
      </w:r>
      <w:hyperlink r:id="rId234">
        <w:r>
          <w:rPr>
            <w:rStyle w:val="Hyperlink"/>
          </w:rPr>
          <w:t xml:space="preserve">https://doi.org/10.1038/s41598-023-32831-x</w:t>
        </w:r>
      </w:hyperlink>
    </w:p>
    <w:bookmarkEnd w:id="235"/>
    <w:bookmarkStart w:id="237" w:name="ref-saxena2023"/>
    <w:p>
      <w:pPr>
        <w:pStyle w:val="Bibliography"/>
      </w:pPr>
      <w:r>
        <w:t xml:space="preserve">Saxena, S., Fink, L. K., &amp; Lange, E. B. (2023). Deep learning models for webcam eye tracking in online experiments.</w:t>
      </w:r>
      <w:r>
        <w:t xml:space="preserve"> </w:t>
      </w:r>
      <w:r>
        <w:rPr>
          <w:i/>
          <w:iCs/>
        </w:rPr>
        <w:t xml:space="preserve">Behavior Research Methods</w:t>
      </w:r>
      <w:r>
        <w:t xml:space="preserve">,</w:t>
      </w:r>
      <w:r>
        <w:t xml:space="preserve"> </w:t>
      </w:r>
      <w:r>
        <w:rPr>
          <w:i/>
          <w:iCs/>
        </w:rPr>
        <w:t xml:space="preserve">56</w:t>
      </w:r>
      <w:r>
        <w:t xml:space="preserve">, 3487–3503.</w:t>
      </w:r>
      <w:r>
        <w:t xml:space="preserve"> </w:t>
      </w:r>
      <w:hyperlink r:id="rId236">
        <w:r>
          <w:rPr>
            <w:rStyle w:val="Hyperlink"/>
          </w:rPr>
          <w:t xml:space="preserve">https://doi.org/10.3758/s13428-023-02190-6</w:t>
        </w:r>
      </w:hyperlink>
    </w:p>
    <w:bookmarkEnd w:id="237"/>
    <w:bookmarkStart w:id="239" w:name="ref-saxena2025"/>
    <w:p>
      <w:pPr>
        <w:pStyle w:val="Bibliography"/>
      </w:pPr>
      <w:r>
        <w:t xml:space="preserve">Saxena, S., Visram, A., Lobo, N., Mirza, Z., Khan, M. R., Pirabaharan, B., Nguyen, A., &amp; Fink, L. K. (2025).</w:t>
      </w:r>
      <w:r>
        <w:t xml:space="preserve"> </w:t>
      </w:r>
      <w:r>
        <w:t xml:space="preserve">SocialEyes</w:t>
      </w:r>
      <w:r>
        <w:t xml:space="preserve">:</w:t>
      </w:r>
      <w:r>
        <w:t xml:space="preserve"> </w:t>
      </w:r>
      <w:r>
        <w:t xml:space="preserve">Scaling</w:t>
      </w:r>
      <w:r>
        <w:t xml:space="preserve"> </w:t>
      </w:r>
      <w:r>
        <w:t xml:space="preserve">mobile eye-tracking to multi-person social settings.</w:t>
      </w:r>
      <w:r>
        <w:t xml:space="preserve"> </w:t>
      </w:r>
      <w:r>
        <w:rPr>
          <w:i/>
          <w:iCs/>
        </w:rPr>
        <w:t xml:space="preserve">Proceedings of the 2025</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Human Factors</w:t>
      </w:r>
      <w:r>
        <w:rPr>
          <w:i/>
          <w:iCs/>
        </w:rPr>
        <w:t xml:space="preserve"> </w:t>
      </w:r>
      <w:r>
        <w:rPr>
          <w:i/>
          <w:iCs/>
        </w:rPr>
        <w:t xml:space="preserve">in</w:t>
      </w:r>
      <w:r>
        <w:rPr>
          <w:i/>
          <w:iCs/>
        </w:rPr>
        <w:t xml:space="preserve"> </w:t>
      </w:r>
      <w:r>
        <w:rPr>
          <w:i/>
          <w:iCs/>
        </w:rPr>
        <w:t xml:space="preserve">Computing Systems</w:t>
      </w:r>
      <w:r>
        <w:rPr>
          <w:i/>
          <w:iCs/>
        </w:rPr>
        <w:t xml:space="preserve"> </w:t>
      </w:r>
      <w:r>
        <w:rPr>
          <w:i/>
          <w:iCs/>
        </w:rPr>
        <w:t xml:space="preserve">(</w:t>
      </w:r>
      <w:r>
        <w:rPr>
          <w:i/>
          <w:iCs/>
        </w:rPr>
        <w:t xml:space="preserve">CHI</w:t>
      </w:r>
      <w:r>
        <w:rPr>
          <w:i/>
          <w:iCs/>
        </w:rPr>
        <w:t xml:space="preserve"> </w:t>
      </w:r>
      <w:r>
        <w:rPr>
          <w:i/>
          <w:iCs/>
        </w:rPr>
        <w:t xml:space="preserve">2025)</w:t>
      </w:r>
      <w:r>
        <w:t xml:space="preserve">.</w:t>
      </w:r>
      <w:r>
        <w:t xml:space="preserve"> </w:t>
      </w:r>
      <w:hyperlink r:id="rId238">
        <w:r>
          <w:rPr>
            <w:rStyle w:val="Hyperlink"/>
          </w:rPr>
          <w:t xml:space="preserve">https://doi.org/10.1145/3706598.3713910</w:t>
        </w:r>
      </w:hyperlink>
    </w:p>
    <w:bookmarkEnd w:id="239"/>
    <w:bookmarkStart w:id="241" w:name="ref-schimmack2000"/>
    <w:p>
      <w:pPr>
        <w:pStyle w:val="Bibliography"/>
      </w:pPr>
      <w:r>
        <w:t xml:space="preserve">Schimmack, U., &amp; Grob, A. (2000). Dimensional models of core affect: A quantitative comparison by means of structural equation modeling.</w:t>
      </w:r>
      <w:r>
        <w:t xml:space="preserve"> </w:t>
      </w:r>
      <w:r>
        <w:rPr>
          <w:i/>
          <w:iCs/>
        </w:rPr>
        <w:t xml:space="preserve">European Journal of Personality</w:t>
      </w:r>
      <w:r>
        <w:t xml:space="preserve">,</w:t>
      </w:r>
      <w:r>
        <w:t xml:space="preserve"> </w:t>
      </w:r>
      <w:r>
        <w:rPr>
          <w:i/>
          <w:iCs/>
        </w:rPr>
        <w:t xml:space="preserve">14</w:t>
      </w:r>
      <w:r>
        <w:t xml:space="preserve">(4), 325–345.</w:t>
      </w:r>
      <w:r>
        <w:t xml:space="preserve"> </w:t>
      </w:r>
      <w:hyperlink r:id="rId240">
        <w:r>
          <w:rPr>
            <w:rStyle w:val="Hyperlink"/>
          </w:rPr>
          <w:t xml:space="preserve">https://doi.org/10.1002/1099-0984(200007/08)14:4&lt;325::AID-PER380&gt;3.0.CO;2-I</w:t>
        </w:r>
      </w:hyperlink>
    </w:p>
    <w:bookmarkEnd w:id="241"/>
    <w:bookmarkStart w:id="243" w:name="ref-schindler2017"/>
    <w:p>
      <w:pPr>
        <w:pStyle w:val="Bibliography"/>
      </w:pPr>
      <w:r>
        <w:t xml:space="preserve">Schindler, I., Hosoya, G., Menninghaus, W., Beermann, U., Wagner, V., Eid, M., &amp; Scherer, K. R. (2017). Measuring aesthetic emotions:</w:t>
      </w:r>
      <w:r>
        <w:t xml:space="preserve"> </w:t>
      </w:r>
      <w:r>
        <w:t xml:space="preserve">A</w:t>
      </w:r>
      <w:r>
        <w:t xml:space="preserve"> </w:t>
      </w:r>
      <w:r>
        <w:t xml:space="preserve">review of the literature and a new assessment tool.</w:t>
      </w:r>
      <w:r>
        <w:t xml:space="preserve"> </w:t>
      </w:r>
      <w:r>
        <w:rPr>
          <w:i/>
          <w:iCs/>
        </w:rPr>
        <w:t xml:space="preserve">PloS One</w:t>
      </w:r>
      <w:r>
        <w:t xml:space="preserve">,</w:t>
      </w:r>
      <w:r>
        <w:t xml:space="preserve"> </w:t>
      </w:r>
      <w:r>
        <w:rPr>
          <w:i/>
          <w:iCs/>
        </w:rPr>
        <w:t xml:space="preserve">12</w:t>
      </w:r>
      <w:r>
        <w:t xml:space="preserve">(6), e0178899.</w:t>
      </w:r>
      <w:r>
        <w:t xml:space="preserve"> </w:t>
      </w:r>
      <w:hyperlink r:id="rId242">
        <w:r>
          <w:rPr>
            <w:rStyle w:val="Hyperlink"/>
          </w:rPr>
          <w:t xml:space="preserve">https://doi.org/10.1371/journal.pone.0178899</w:t>
        </w:r>
      </w:hyperlink>
    </w:p>
    <w:bookmarkEnd w:id="243"/>
    <w:bookmarkStart w:id="244" w:name="ref-schwartz1977"/>
    <w:p>
      <w:pPr>
        <w:pStyle w:val="Bibliography"/>
      </w:pPr>
      <w:r>
        <w:t xml:space="preserve">Schwartz, S. H. (1977). Normative influences on altruism. In</w:t>
      </w:r>
      <w:r>
        <w:t xml:space="preserve"> </w:t>
      </w:r>
      <w:r>
        <w:rPr>
          <w:i/>
          <w:iCs/>
        </w:rPr>
        <w:t xml:space="preserve">Advances in</w:t>
      </w:r>
      <w:r>
        <w:rPr>
          <w:i/>
          <w:iCs/>
        </w:rPr>
        <w:t xml:space="preserve"> </w:t>
      </w:r>
      <w:r>
        <w:rPr>
          <w:i/>
          <w:iCs/>
        </w:rPr>
        <w:t xml:space="preserve">Experimental Social Psychology</w:t>
      </w:r>
      <w:r>
        <w:t xml:space="preserve"> </w:t>
      </w:r>
      <w:r>
        <w:t xml:space="preserve">(Vol. 10, pp. 221–279). Academic Press.</w:t>
      </w:r>
    </w:p>
    <w:bookmarkEnd w:id="244"/>
    <w:bookmarkStart w:id="246" w:name="ref-sheeran2002"/>
    <w:p>
      <w:pPr>
        <w:pStyle w:val="Bibliography"/>
      </w:pPr>
      <w:r>
        <w:t xml:space="preserve">Sheeran, P. (2002). Intention–behavior relations:</w:t>
      </w:r>
      <w:r>
        <w:t xml:space="preserve"> </w:t>
      </w:r>
      <w:r>
        <w:t xml:space="preserve">A</w:t>
      </w:r>
      <w:r>
        <w:t xml:space="preserve"> </w:t>
      </w:r>
      <w:r>
        <w:t xml:space="preserve">conceptual and empirical review.</w:t>
      </w:r>
      <w:r>
        <w:t xml:space="preserve"> </w:t>
      </w:r>
      <w:r>
        <w:rPr>
          <w:i/>
          <w:iCs/>
        </w:rPr>
        <w:t xml:space="preserve">European Review of Social Psychology</w:t>
      </w:r>
      <w:r>
        <w:t xml:space="preserve">,</w:t>
      </w:r>
      <w:r>
        <w:t xml:space="preserve"> </w:t>
      </w:r>
      <w:r>
        <w:rPr>
          <w:i/>
          <w:iCs/>
        </w:rPr>
        <w:t xml:space="preserve">12</w:t>
      </w:r>
      <w:r>
        <w:t xml:space="preserve">(1), 1–36.</w:t>
      </w:r>
      <w:r>
        <w:t xml:space="preserve"> </w:t>
      </w:r>
      <w:hyperlink r:id="rId245">
        <w:r>
          <w:rPr>
            <w:rStyle w:val="Hyperlink"/>
          </w:rPr>
          <w:t xml:space="preserve">https://doi.org/10.1080/14792772143000003</w:t>
        </w:r>
      </w:hyperlink>
    </w:p>
    <w:bookmarkEnd w:id="246"/>
    <w:bookmarkStart w:id="248" w:name="ref-smith2007"/>
    <w:p>
      <w:pPr>
        <w:pStyle w:val="Bibliography"/>
      </w:pPr>
      <w:r>
        <w:t xml:space="preserve">Smith, J. R., &amp; McSweeney, A. (2007). Charitable giving:</w:t>
      </w:r>
      <w:r>
        <w:t xml:space="preserve"> </w:t>
      </w:r>
      <w:r>
        <w:t xml:space="preserve">The</w:t>
      </w:r>
      <w:r>
        <w:t xml:space="preserve"> </w:t>
      </w:r>
      <w:r>
        <w:t xml:space="preserve">effectiveness of a revised theory of planned behaviour model in predicting donating intentions and behaviour.</w:t>
      </w:r>
      <w:r>
        <w:t xml:space="preserve"> </w:t>
      </w:r>
      <w:r>
        <w:rPr>
          <w:i/>
          <w:iCs/>
        </w:rPr>
        <w:t xml:space="preserve">Journal of Community &amp; Applied Social Psychology</w:t>
      </w:r>
      <w:r>
        <w:t xml:space="preserve">,</w:t>
      </w:r>
      <w:r>
        <w:t xml:space="preserve"> </w:t>
      </w:r>
      <w:r>
        <w:rPr>
          <w:i/>
          <w:iCs/>
        </w:rPr>
        <w:t xml:space="preserve">17</w:t>
      </w:r>
      <w:r>
        <w:t xml:space="preserve">(5), 363–386.</w:t>
      </w:r>
      <w:r>
        <w:t xml:space="preserve"> </w:t>
      </w:r>
      <w:hyperlink r:id="rId247">
        <w:r>
          <w:rPr>
            <w:rStyle w:val="Hyperlink"/>
          </w:rPr>
          <w:t xml:space="preserve">https://doi.org/10.1002/casp.906</w:t>
        </w:r>
      </w:hyperlink>
    </w:p>
    <w:bookmarkEnd w:id="248"/>
    <w:bookmarkStart w:id="250" w:name="ref-sole1975"/>
    <w:p>
      <w:pPr>
        <w:pStyle w:val="Bibliography"/>
      </w:pPr>
      <w:r>
        <w:t xml:space="preserve">Sole, K., Marton, J., &amp; Hornstein, H. A. (1975). Opinion similarity and helping:</w:t>
      </w:r>
      <w:r>
        <w:t xml:space="preserve"> </w:t>
      </w:r>
      <w:r>
        <w:t xml:space="preserve">Three</w:t>
      </w:r>
      <w:r>
        <w:t xml:space="preserve"> </w:t>
      </w:r>
      <w:r>
        <w:t xml:space="preserve">field experiments investigating the bases of promotive tension.</w:t>
      </w:r>
      <w:r>
        <w:t xml:space="preserve"> </w:t>
      </w:r>
      <w:r>
        <w:rPr>
          <w:i/>
          <w:iCs/>
        </w:rPr>
        <w:t xml:space="preserve">Journal of Experimental Social Psychology</w:t>
      </w:r>
      <w:r>
        <w:t xml:space="preserve">,</w:t>
      </w:r>
      <w:r>
        <w:t xml:space="preserve"> </w:t>
      </w:r>
      <w:r>
        <w:rPr>
          <w:i/>
          <w:iCs/>
        </w:rPr>
        <w:t xml:space="preserve">11</w:t>
      </w:r>
      <w:r>
        <w:t xml:space="preserve">(1), 1–13.</w:t>
      </w:r>
      <w:r>
        <w:t xml:space="preserve"> </w:t>
      </w:r>
      <w:hyperlink r:id="rId249">
        <w:r>
          <w:rPr>
            <w:rStyle w:val="Hyperlink"/>
          </w:rPr>
          <w:t xml:space="preserve">https://doi.org/10.1016/S0022-1031(75)80004-7</w:t>
        </w:r>
      </w:hyperlink>
    </w:p>
    <w:bookmarkEnd w:id="250"/>
    <w:bookmarkStart w:id="252" w:name="ref-soto2017"/>
    <w:p>
      <w:pPr>
        <w:pStyle w:val="Bibliography"/>
      </w:pPr>
      <w:r>
        <w:t xml:space="preserve">Soto, C. J., &amp; John, O. P. (2017). The next</w:t>
      </w:r>
      <w:r>
        <w:t xml:space="preserve"> </w:t>
      </w:r>
      <w:r>
        <w:t xml:space="preserve">Big Five Inventory</w:t>
      </w:r>
      <w:r>
        <w:t xml:space="preserve"> </w:t>
      </w:r>
      <w:r>
        <w:t xml:space="preserve">(</w:t>
      </w:r>
      <w:r>
        <w:t xml:space="preserve">BFI-2</w:t>
      </w:r>
      <w:r>
        <w:t xml:space="preserve">):</w:t>
      </w:r>
      <w:r>
        <w:t xml:space="preserve"> </w:t>
      </w:r>
      <w:r>
        <w:t xml:space="preserve">Developing</w:t>
      </w:r>
      <w:r>
        <w:t xml:space="preserve"> </w:t>
      </w:r>
      <w:r>
        <w:t xml:space="preserve">and assessing a hierarchical model with 15 facets to enhance bandwidth, fidelity, and predictive power.</w:t>
      </w:r>
      <w:r>
        <w:t xml:space="preserve"> </w:t>
      </w:r>
      <w:r>
        <w:rPr>
          <w:i/>
          <w:iCs/>
        </w:rPr>
        <w:t xml:space="preserve">Journal of Personality and Social Psychology</w:t>
      </w:r>
      <w:r>
        <w:t xml:space="preserve">,</w:t>
      </w:r>
      <w:r>
        <w:t xml:space="preserve"> </w:t>
      </w:r>
      <w:r>
        <w:rPr>
          <w:i/>
          <w:iCs/>
        </w:rPr>
        <w:t xml:space="preserve">113</w:t>
      </w:r>
      <w:r>
        <w:t xml:space="preserve">(1), 117.</w:t>
      </w:r>
      <w:r>
        <w:t xml:space="preserve"> </w:t>
      </w:r>
      <w:hyperlink r:id="rId251">
        <w:r>
          <w:rPr>
            <w:rStyle w:val="Hyperlink"/>
          </w:rPr>
          <w:t xml:space="preserve">https://doi.org/10.1037/pspp0000096</w:t>
        </w:r>
      </w:hyperlink>
    </w:p>
    <w:bookmarkEnd w:id="252"/>
    <w:bookmarkStart w:id="254" w:name="ref-steg2010"/>
    <w:p>
      <w:pPr>
        <w:pStyle w:val="Bibliography"/>
      </w:pPr>
      <w:r>
        <w:t xml:space="preserve">Steg, L., &amp; De Groot, J. I. M. (2010). Explaining prosocial intentions:</w:t>
      </w:r>
      <w:r>
        <w:t xml:space="preserve"> </w:t>
      </w:r>
      <w:r>
        <w:t xml:space="preserve">Testing</w:t>
      </w:r>
      <w:r>
        <w:t xml:space="preserve"> </w:t>
      </w:r>
      <w:r>
        <w:t xml:space="preserve">causal relationships in the norm activation model.</w:t>
      </w:r>
      <w:r>
        <w:t xml:space="preserve"> </w:t>
      </w:r>
      <w:r>
        <w:rPr>
          <w:i/>
          <w:iCs/>
        </w:rPr>
        <w:t xml:space="preserve">British Journal of Social Psychology</w:t>
      </w:r>
      <w:r>
        <w:t xml:space="preserve">,</w:t>
      </w:r>
      <w:r>
        <w:t xml:space="preserve"> </w:t>
      </w:r>
      <w:r>
        <w:rPr>
          <w:i/>
          <w:iCs/>
        </w:rPr>
        <w:t xml:space="preserve">49</w:t>
      </w:r>
      <w:r>
        <w:t xml:space="preserve">(4), 725–743.</w:t>
      </w:r>
      <w:r>
        <w:t xml:space="preserve"> </w:t>
      </w:r>
      <w:hyperlink r:id="rId253">
        <w:r>
          <w:rPr>
            <w:rStyle w:val="Hyperlink"/>
          </w:rPr>
          <w:t xml:space="preserve">https://doi.org/10.1348/014466609X477745</w:t>
        </w:r>
      </w:hyperlink>
    </w:p>
    <w:bookmarkEnd w:id="254"/>
    <w:bookmarkStart w:id="256" w:name="ref-sturmer2009"/>
    <w:p>
      <w:pPr>
        <w:pStyle w:val="Bibliography"/>
      </w:pPr>
      <w:r>
        <w:t xml:space="preserve">Stürmer, S., &amp; Snyder, M. (2009). Helping</w:t>
      </w:r>
      <w:r>
        <w:t xml:space="preserve"> </w:t>
      </w:r>
      <w:r>
        <w:t xml:space="preserve">“</w:t>
      </w:r>
      <w:r>
        <w:t xml:space="preserve">Us</w:t>
      </w:r>
      <w:r>
        <w:t xml:space="preserve">”</w:t>
      </w:r>
      <w:r>
        <w:t xml:space="preserve"> </w:t>
      </w:r>
      <w:r>
        <w:t xml:space="preserve">versus</w:t>
      </w:r>
      <w:r>
        <w:t xml:space="preserve"> </w:t>
      </w:r>
      <w:r>
        <w:t xml:space="preserve">“</w:t>
      </w:r>
      <w:r>
        <w:t xml:space="preserve">Them</w:t>
      </w:r>
      <w:r>
        <w:t xml:space="preserve">”</w:t>
      </w:r>
      <w:r>
        <w:t xml:space="preserve">:</w:t>
      </w:r>
      <w:r>
        <w:t xml:space="preserve"> </w:t>
      </w:r>
      <w:r>
        <w:t xml:space="preserve">Towards</w:t>
      </w:r>
      <w:r>
        <w:t xml:space="preserve"> </w:t>
      </w:r>
      <w:r>
        <w:t xml:space="preserve">a</w:t>
      </w:r>
      <w:r>
        <w:t xml:space="preserve"> </w:t>
      </w:r>
      <w:r>
        <w:t xml:space="preserve">Group</w:t>
      </w:r>
      <w:r>
        <w:t xml:space="preserve">-</w:t>
      </w:r>
      <w:r>
        <w:t xml:space="preserve">Level Theory</w:t>
      </w:r>
      <w:r>
        <w:t xml:space="preserve"> </w:t>
      </w:r>
      <w:r>
        <w:t xml:space="preserve">of</w:t>
      </w:r>
      <w:r>
        <w:t xml:space="preserve"> </w:t>
      </w:r>
      <w:r>
        <w:t xml:space="preserve">Helping</w:t>
      </w:r>
      <w:r>
        <w:t xml:space="preserve"> </w:t>
      </w:r>
      <w:r>
        <w:t xml:space="preserve">and</w:t>
      </w:r>
      <w:r>
        <w:t xml:space="preserve"> </w:t>
      </w:r>
      <w:r>
        <w:t xml:space="preserve">Altruism Within</w:t>
      </w:r>
      <w:r>
        <w:t xml:space="preserve"> </w:t>
      </w:r>
      <w:r>
        <w:t xml:space="preserve">and</w:t>
      </w:r>
      <w:r>
        <w:t xml:space="preserve"> </w:t>
      </w:r>
      <w:r>
        <w:t xml:space="preserve">Across Group Boundaries</w:t>
      </w:r>
      <w:r>
        <w:t xml:space="preserve">. In Stürmer, Stefan &amp; M. Snyder (Eds.),</w:t>
      </w:r>
      <w:r>
        <w:t xml:space="preserve"> </w:t>
      </w:r>
      <w:r>
        <w:rPr>
          <w:i/>
          <w:iCs/>
        </w:rPr>
        <w:t xml:space="preserve">The</w:t>
      </w:r>
      <w:r>
        <w:rPr>
          <w:i/>
          <w:iCs/>
        </w:rPr>
        <w:t xml:space="preserve"> </w:t>
      </w:r>
      <w:r>
        <w:rPr>
          <w:i/>
          <w:iCs/>
        </w:rPr>
        <w:t xml:space="preserve">Psychology</w:t>
      </w:r>
      <w:r>
        <w:rPr>
          <w:i/>
          <w:iCs/>
        </w:rPr>
        <w:t xml:space="preserve"> </w:t>
      </w:r>
      <w:r>
        <w:rPr>
          <w:i/>
          <w:iCs/>
        </w:rPr>
        <w:t xml:space="preserve">of</w:t>
      </w:r>
      <w:r>
        <w:rPr>
          <w:i/>
          <w:iCs/>
        </w:rPr>
        <w:t xml:space="preserve"> </w:t>
      </w:r>
      <w:r>
        <w:rPr>
          <w:i/>
          <w:iCs/>
        </w:rPr>
        <w:t xml:space="preserve">Prosocial Behavior</w:t>
      </w:r>
      <w:r>
        <w:t xml:space="preserve"> </w:t>
      </w:r>
      <w:r>
        <w:t xml:space="preserve">(1st ed., pp. 33–58). Wiley.</w:t>
      </w:r>
      <w:r>
        <w:t xml:space="preserve"> </w:t>
      </w:r>
      <w:hyperlink r:id="rId255">
        <w:r>
          <w:rPr>
            <w:rStyle w:val="Hyperlink"/>
          </w:rPr>
          <w:t xml:space="preserve">https://doi.org/10.1002/9781444307948.ch2</w:t>
        </w:r>
      </w:hyperlink>
    </w:p>
    <w:bookmarkEnd w:id="256"/>
    <w:bookmarkStart w:id="258" w:name="ref-swarbrick2024"/>
    <w:p>
      <w:pPr>
        <w:pStyle w:val="Bibliography"/>
      </w:pPr>
      <w:r>
        <w:t xml:space="preserve">Swarbrick, D., Martin, R., Høffding, S., Nielsen, N., &amp; Vuoskoski, J. K. (2024). Audience</w:t>
      </w:r>
      <w:r>
        <w:t xml:space="preserve"> </w:t>
      </w:r>
      <w:r>
        <w:t xml:space="preserve">Musical Absorption</w:t>
      </w:r>
      <w:r>
        <w:t xml:space="preserve">:</w:t>
      </w:r>
      <w:r>
        <w:t xml:space="preserve"> </w:t>
      </w:r>
      <w:r>
        <w:t xml:space="preserve">Exploring Attention</w:t>
      </w:r>
      <w:r>
        <w:t xml:space="preserve"> </w:t>
      </w:r>
      <w:r>
        <w:t xml:space="preserve">and</w:t>
      </w:r>
      <w:r>
        <w:t xml:space="preserve"> </w:t>
      </w:r>
      <w:r>
        <w:t xml:space="preserve">Affect</w:t>
      </w:r>
      <w:r>
        <w:t xml:space="preserve"> </w:t>
      </w:r>
      <w:r>
        <w:t xml:space="preserve">in the</w:t>
      </w:r>
      <w:r>
        <w:t xml:space="preserve"> </w:t>
      </w:r>
      <w:r>
        <w:t xml:space="preserve">Live Concert Setting</w:t>
      </w:r>
      <w:r>
        <w:t xml:space="preserve">.</w:t>
      </w:r>
      <w:r>
        <w:t xml:space="preserve"> </w:t>
      </w:r>
      <w:r>
        <w:rPr>
          <w:i/>
          <w:iCs/>
        </w:rPr>
        <w:t xml:space="preserve">Music &amp; Science</w:t>
      </w:r>
      <w:r>
        <w:t xml:space="preserve">,</w:t>
      </w:r>
      <w:r>
        <w:t xml:space="preserve"> </w:t>
      </w:r>
      <w:r>
        <w:rPr>
          <w:i/>
          <w:iCs/>
        </w:rPr>
        <w:t xml:space="preserve">7</w:t>
      </w:r>
      <w:r>
        <w:t xml:space="preserve">, 20592043241263461.</w:t>
      </w:r>
      <w:r>
        <w:t xml:space="preserve"> </w:t>
      </w:r>
      <w:hyperlink r:id="rId257">
        <w:r>
          <w:rPr>
            <w:rStyle w:val="Hyperlink"/>
          </w:rPr>
          <w:t xml:space="preserve">https://doi.org/10.1177/20592043241263461</w:t>
        </w:r>
      </w:hyperlink>
    </w:p>
    <w:bookmarkEnd w:id="258"/>
    <w:bookmarkStart w:id="260" w:name="ref-swarbrick2021"/>
    <w:p>
      <w:pPr>
        <w:pStyle w:val="Bibliography"/>
      </w:pPr>
      <w:r>
        <w:t xml:space="preserve">Swarbrick, D., Seibt, B., Grinspun, N., &amp; Vuoskoski, J. K. (2021). Corona</w:t>
      </w:r>
      <w:r>
        <w:t xml:space="preserve"> </w:t>
      </w:r>
      <w:r>
        <w:t xml:space="preserve">Concerts</w:t>
      </w:r>
      <w:r>
        <w:t xml:space="preserve">:</w:t>
      </w:r>
      <w:r>
        <w:t xml:space="preserve"> </w:t>
      </w:r>
      <w:r>
        <w:t xml:space="preserve">The Effect</w:t>
      </w:r>
      <w:r>
        <w:t xml:space="preserve"> </w:t>
      </w:r>
      <w:r>
        <w:t xml:space="preserve">of</w:t>
      </w:r>
      <w:r>
        <w:t xml:space="preserve"> </w:t>
      </w:r>
      <w:r>
        <w:t xml:space="preserve">Virtual Concert Characteristics</w:t>
      </w:r>
      <w:r>
        <w:t xml:space="preserve"> </w:t>
      </w:r>
      <w:r>
        <w:t xml:space="preserve">on</w:t>
      </w:r>
      <w:r>
        <w:t xml:space="preserve"> </w:t>
      </w:r>
      <w:r>
        <w:t xml:space="preserve">Social Connection</w:t>
      </w:r>
      <w:r>
        <w:t xml:space="preserve"> </w:t>
      </w:r>
      <w:r>
        <w:t xml:space="preserve">and</w:t>
      </w:r>
      <w:r>
        <w:t xml:space="preserve"> </w:t>
      </w:r>
      <w:r>
        <w:t xml:space="preserve">Kama Muta</w:t>
      </w:r>
      <w:r>
        <w:t xml:space="preserve">.</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259">
        <w:r>
          <w:rPr>
            <w:rStyle w:val="Hyperlink"/>
          </w:rPr>
          <w:t xml:space="preserve">https://doi.org/10.3389/fpsyg.2021.648448</w:t>
        </w:r>
      </w:hyperlink>
    </w:p>
    <w:bookmarkEnd w:id="260"/>
    <w:bookmarkStart w:id="262" w:name="ref-swarbrick2023"/>
    <w:p>
      <w:pPr>
        <w:pStyle w:val="Bibliography"/>
      </w:pPr>
      <w:r>
        <w:t xml:space="preserve">Swarbrick, D., &amp; Vuoskoski, J. K. (2023). Collectively classical:</w:t>
      </w:r>
      <w:r>
        <w:t xml:space="preserve"> </w:t>
      </w:r>
      <w:r>
        <w:t xml:space="preserve">Connectedness</w:t>
      </w:r>
      <w:r>
        <w:t xml:space="preserve">, awe, feeling moved, and motion at a live and livestreamed concert.</w:t>
      </w:r>
      <w:r>
        <w:t xml:space="preserve"> </w:t>
      </w:r>
      <w:r>
        <w:rPr>
          <w:i/>
          <w:iCs/>
        </w:rPr>
        <w:t xml:space="preserve">Music &amp; Science</w:t>
      </w:r>
      <w:r>
        <w:t xml:space="preserve">,</w:t>
      </w:r>
      <w:r>
        <w:t xml:space="preserve"> </w:t>
      </w:r>
      <w:r>
        <w:rPr>
          <w:i/>
          <w:iCs/>
        </w:rPr>
        <w:t xml:space="preserve">6</w:t>
      </w:r>
      <w:r>
        <w:t xml:space="preserve">.</w:t>
      </w:r>
      <w:r>
        <w:t xml:space="preserve"> </w:t>
      </w:r>
      <w:hyperlink r:id="rId261">
        <w:r>
          <w:rPr>
            <w:rStyle w:val="Hyperlink"/>
          </w:rPr>
          <w:t xml:space="preserve">https://doi.org/10.1177/20592043231207595</w:t>
        </w:r>
      </w:hyperlink>
    </w:p>
    <w:bookmarkEnd w:id="262"/>
    <w:bookmarkStart w:id="264" w:name="ref-torres-harding2012"/>
    <w:p>
      <w:pPr>
        <w:pStyle w:val="Bibliography"/>
      </w:pPr>
      <w:r>
        <w:t xml:space="preserve">Torres-Harding, S. R., Siers, B., &amp; Olson, B. D. (2012). Development and psychometric evaluation of the</w:t>
      </w:r>
      <w:r>
        <w:t xml:space="preserve"> </w:t>
      </w:r>
      <w:r>
        <w:t xml:space="preserve">Social Justice Scale</w:t>
      </w:r>
      <w:r>
        <w:t xml:space="preserve"> </w:t>
      </w:r>
      <w:r>
        <w:t xml:space="preserve">(</w:t>
      </w:r>
      <w:r>
        <w:t xml:space="preserve">SJS</w:t>
      </w:r>
      <w:r>
        <w:t xml:space="preserve">).</w:t>
      </w:r>
      <w:r>
        <w:t xml:space="preserve"> </w:t>
      </w:r>
      <w:r>
        <w:rPr>
          <w:i/>
          <w:iCs/>
        </w:rPr>
        <w:t xml:space="preserve">American Journal of Community Psychology</w:t>
      </w:r>
      <w:r>
        <w:t xml:space="preserve">,</w:t>
      </w:r>
      <w:r>
        <w:t xml:space="preserve"> </w:t>
      </w:r>
      <w:r>
        <w:rPr>
          <w:i/>
          <w:iCs/>
        </w:rPr>
        <w:t xml:space="preserve">50</w:t>
      </w:r>
      <w:r>
        <w:t xml:space="preserve">(1), 77–88.</w:t>
      </w:r>
      <w:r>
        <w:t xml:space="preserve"> </w:t>
      </w:r>
      <w:hyperlink r:id="rId263">
        <w:r>
          <w:rPr>
            <w:rStyle w:val="Hyperlink"/>
          </w:rPr>
          <w:t xml:space="preserve">https://doi.org/10.1007/s10464-011-9478-2</w:t>
        </w:r>
      </w:hyperlink>
    </w:p>
    <w:bookmarkEnd w:id="264"/>
    <w:bookmarkStart w:id="266" w:name="ref-tukachinskyforster2025"/>
    <w:p>
      <w:pPr>
        <w:pStyle w:val="Bibliography"/>
      </w:pPr>
      <w:r>
        <w:t xml:space="preserve">Tukachinsky Forster, R., Spitz, D. H., Rabinowitch, T.-C., &amp; Granot, R. (2025). How experiencing eudaimonic emotions through music shapes prosocial and altruistic behavior: Introducing a</w:t>
      </w:r>
      <w:r>
        <w:t xml:space="preserve"> </w:t>
      </w:r>
      <w:r>
        <w:t xml:space="preserve">Unified Model</w:t>
      </w:r>
      <w:r>
        <w:t xml:space="preserve"> </w:t>
      </w:r>
      <w:r>
        <w:t xml:space="preserve">of</w:t>
      </w:r>
      <w:r>
        <w:t xml:space="preserve"> </w:t>
      </w:r>
      <w:r>
        <w:t xml:space="preserve">Music-Listening-Induced Eudaimonia</w:t>
      </w:r>
      <w:r>
        <w:t xml:space="preserve"> </w:t>
      </w:r>
      <w:r>
        <w:t xml:space="preserve">(</w:t>
      </w:r>
      <w:r>
        <w:t xml:space="preserve">UMMIE</w:t>
      </w:r>
      <w:r>
        <w:t xml:space="preserve">).</w:t>
      </w:r>
      <w:r>
        <w:t xml:space="preserve"> </w:t>
      </w:r>
      <w:r>
        <w:rPr>
          <w:i/>
          <w:iCs/>
        </w:rPr>
        <w:t xml:space="preserve">Frontiers in Cognition</w:t>
      </w:r>
      <w:r>
        <w:t xml:space="preserve">,</w:t>
      </w:r>
      <w:r>
        <w:t xml:space="preserve"> </w:t>
      </w:r>
      <w:r>
        <w:rPr>
          <w:i/>
          <w:iCs/>
        </w:rPr>
        <w:t xml:space="preserve">4</w:t>
      </w:r>
      <w:r>
        <w:t xml:space="preserve">.</w:t>
      </w:r>
      <w:r>
        <w:t xml:space="preserve"> </w:t>
      </w:r>
      <w:hyperlink r:id="rId265">
        <w:r>
          <w:rPr>
            <w:rStyle w:val="Hyperlink"/>
          </w:rPr>
          <w:t xml:space="preserve">https://doi.org/10.3389/fcogn.2025.1705976</w:t>
        </w:r>
      </w:hyperlink>
    </w:p>
    <w:bookmarkEnd w:id="266"/>
    <w:bookmarkStart w:id="268" w:name="ref-tzanaki2025"/>
    <w:p>
      <w:pPr>
        <w:pStyle w:val="Bibliography"/>
      </w:pPr>
      <w:r>
        <w:t xml:space="preserve">Tzanaki, P., Eerola, T., &amp; Timmers, R. (2025). Actions and feelings in sync: Exploring the relationship between synchrony and empathy in children’s dyadic musical interactions.</w:t>
      </w:r>
      <w:r>
        <w:t xml:space="preserve"> </w:t>
      </w:r>
      <w:r>
        <w:rPr>
          <w:i/>
          <w:iCs/>
        </w:rPr>
        <w:t xml:space="preserve">Frontiers in Psychology</w:t>
      </w:r>
      <w:r>
        <w:t xml:space="preserve">,</w:t>
      </w:r>
      <w:r>
        <w:t xml:space="preserve"> </w:t>
      </w:r>
      <w:r>
        <w:rPr>
          <w:i/>
          <w:iCs/>
        </w:rPr>
        <w:t xml:space="preserve">16</w:t>
      </w:r>
      <w:r>
        <w:t xml:space="preserve">.</w:t>
      </w:r>
      <w:r>
        <w:t xml:space="preserve"> </w:t>
      </w:r>
      <w:hyperlink r:id="rId267">
        <w:r>
          <w:rPr>
            <w:rStyle w:val="Hyperlink"/>
          </w:rPr>
          <w:t xml:space="preserve">https://doi.org/10.3389/fpsyg.2025.1467767</w:t>
        </w:r>
      </w:hyperlink>
    </w:p>
    <w:bookmarkEnd w:id="268"/>
    <w:bookmarkStart w:id="270" w:name="ref-R-png"/>
    <w:p>
      <w:pPr>
        <w:pStyle w:val="Bibliography"/>
      </w:pPr>
      <w:r>
        <w:t xml:space="preserve">Urbanek, S. (2022).</w:t>
      </w:r>
      <w:r>
        <w:t xml:space="preserve"> </w:t>
      </w:r>
      <w:r>
        <w:rPr>
          <w:i/>
          <w:iCs/>
        </w:rPr>
        <w:t xml:space="preserve">Png: Read and write PNG images</w:t>
      </w:r>
      <w:r>
        <w:t xml:space="preserve">.</w:t>
      </w:r>
      <w:r>
        <w:t xml:space="preserve"> </w:t>
      </w:r>
      <w:hyperlink r:id="rId269">
        <w:r>
          <w:rPr>
            <w:rStyle w:val="Hyperlink"/>
          </w:rPr>
          <w:t xml:space="preserve">https://CRAN.R-project.org/package=png</w:t>
        </w:r>
      </w:hyperlink>
    </w:p>
    <w:bookmarkEnd w:id="270"/>
    <w:bookmarkStart w:id="272" w:name="ref-R-MASS"/>
    <w:p>
      <w:pPr>
        <w:pStyle w:val="Bibliography"/>
      </w:pPr>
      <w:r>
        <w:t xml:space="preserve">Venables, W. N., &amp; Ripley, B. D. (2002).</w:t>
      </w:r>
      <w:r>
        <w:t xml:space="preserve"> </w:t>
      </w:r>
      <w:r>
        <w:rPr>
          <w:i/>
          <w:iCs/>
        </w:rPr>
        <w:t xml:space="preserve">Modern applied statistics with s</w:t>
      </w:r>
      <w:r>
        <w:t xml:space="preserve"> </w:t>
      </w:r>
      <w:r>
        <w:t xml:space="preserve">(Fourth). Springer.</w:t>
      </w:r>
      <w:r>
        <w:t xml:space="preserve"> </w:t>
      </w:r>
      <w:hyperlink r:id="rId271">
        <w:r>
          <w:rPr>
            <w:rStyle w:val="Hyperlink"/>
          </w:rPr>
          <w:t xml:space="preserve">https://www.stats.ox.ac.uk/pub/MASS4/</w:t>
        </w:r>
      </w:hyperlink>
    </w:p>
    <w:bookmarkEnd w:id="272"/>
    <w:bookmarkStart w:id="273" w:name="ref-verschwele2020"/>
    <w:p>
      <w:pPr>
        <w:pStyle w:val="Bibliography"/>
      </w:pPr>
      <w:r>
        <w:t xml:space="preserve">Verschwele, L. (2020). Im</w:t>
      </w:r>
      <w:r>
        <w:t xml:space="preserve"> </w:t>
      </w:r>
      <w:r>
        <w:t xml:space="preserve">Zweifel</w:t>
      </w:r>
      <w:r>
        <w:t xml:space="preserve"> </w:t>
      </w:r>
      <w:r>
        <w:t xml:space="preserve">lebenslänglich.</w:t>
      </w:r>
      <w:r>
        <w:t xml:space="preserve"> </w:t>
      </w:r>
      <w:r>
        <w:rPr>
          <w:i/>
          <w:iCs/>
        </w:rPr>
        <w:t xml:space="preserve">TAZ</w:t>
      </w:r>
      <w:r>
        <w:t xml:space="preserve">, 8–9.</w:t>
      </w:r>
    </w:p>
    <w:bookmarkEnd w:id="273"/>
    <w:bookmarkStart w:id="275" w:name="ref-wald-fuhrmann2021"/>
    <w:p>
      <w:pPr>
        <w:pStyle w:val="Bibliography"/>
      </w:pPr>
      <w:r>
        <w:t xml:space="preserve">Wald-Fuhrmann, M., Egermann, H., Czepiel, A., O’Neill, K., Weining, C., Meier, D., Tschacher, W., Uhde, F., Toelle, J., &amp; Tröndle, M. (2021). Music</w:t>
      </w:r>
      <w:r>
        <w:t xml:space="preserve"> </w:t>
      </w:r>
      <w:r>
        <w:t xml:space="preserve">Listening</w:t>
      </w:r>
      <w:r>
        <w:t xml:space="preserve"> </w:t>
      </w:r>
      <w:r>
        <w:t xml:space="preserve">in</w:t>
      </w:r>
      <w:r>
        <w:t xml:space="preserve"> </w:t>
      </w:r>
      <w:r>
        <w:t xml:space="preserve">Classical Concerts</w:t>
      </w:r>
      <w:r>
        <w:t xml:space="preserve">:</w:t>
      </w:r>
      <w:r>
        <w:t xml:space="preserve"> </w:t>
      </w:r>
      <w:r>
        <w:t xml:space="preserve">Theory</w:t>
      </w:r>
      <w:r>
        <w:t xml:space="preserve">,</w:t>
      </w:r>
      <w:r>
        <w:t xml:space="preserve"> </w:t>
      </w:r>
      <w:r>
        <w:t xml:space="preserve">Literature Review</w:t>
      </w:r>
      <w:r>
        <w:t xml:space="preserve">, and</w:t>
      </w:r>
      <w:r>
        <w:t xml:space="preserve"> </w:t>
      </w:r>
      <w:r>
        <w:t xml:space="preserve">Research Program</w:t>
      </w:r>
      <w:r>
        <w:t xml:space="preserve">.</w:t>
      </w:r>
      <w:r>
        <w:t xml:space="preserve"> </w:t>
      </w:r>
      <w:r>
        <w:rPr>
          <w:i/>
          <w:iCs/>
        </w:rPr>
        <w:t xml:space="preserve">Frontiers in Psychology</w:t>
      </w:r>
      <w:r>
        <w:t xml:space="preserve">,</w:t>
      </w:r>
      <w:r>
        <w:t xml:space="preserve"> </w:t>
      </w:r>
      <w:r>
        <w:rPr>
          <w:i/>
          <w:iCs/>
        </w:rPr>
        <w:t xml:space="preserve">12</w:t>
      </w:r>
      <w:r>
        <w:t xml:space="preserve">, 638783.</w:t>
      </w:r>
      <w:r>
        <w:t xml:space="preserve"> </w:t>
      </w:r>
      <w:hyperlink r:id="rId274">
        <w:r>
          <w:rPr>
            <w:rStyle w:val="Hyperlink"/>
          </w:rPr>
          <w:t xml:space="preserve">https://doi.org/10.3389/fpsyg.2021.638783</w:t>
        </w:r>
      </w:hyperlink>
    </w:p>
    <w:bookmarkEnd w:id="275"/>
    <w:bookmarkStart w:id="277" w:name="ref-westfall2014"/>
    <w:p>
      <w:pPr>
        <w:pStyle w:val="Bibliography"/>
      </w:pPr>
      <w:r>
        <w:t xml:space="preserve">Westfall, J., Kenny, D. A., &amp; Judd, C. M. (2014). Statistical power and optimal design in experiments in which samples of participants respond to samples of stimuli.</w:t>
      </w:r>
      <w:r>
        <w:t xml:space="preserve"> </w:t>
      </w:r>
      <w:r>
        <w:rPr>
          <w:i/>
          <w:iCs/>
        </w:rPr>
        <w:t xml:space="preserve">Journal of Experimental Psychology: General</w:t>
      </w:r>
      <w:r>
        <w:t xml:space="preserve">,</w:t>
      </w:r>
      <w:r>
        <w:t xml:space="preserve"> </w:t>
      </w:r>
      <w:r>
        <w:rPr>
          <w:i/>
          <w:iCs/>
        </w:rPr>
        <w:t xml:space="preserve">143</w:t>
      </w:r>
      <w:r>
        <w:t xml:space="preserve">(5), 2020–2045.</w:t>
      </w:r>
      <w:r>
        <w:t xml:space="preserve"> </w:t>
      </w:r>
      <w:hyperlink r:id="rId276">
        <w:r>
          <w:rPr>
            <w:rStyle w:val="Hyperlink"/>
          </w:rPr>
          <w:t xml:space="preserve">https://doi.org/10.1037/xge0000014</w:t>
        </w:r>
      </w:hyperlink>
    </w:p>
    <w:bookmarkEnd w:id="277"/>
    <w:bookmarkStart w:id="279" w:name="ref-R-ggplot2"/>
    <w:p>
      <w:pPr>
        <w:pStyle w:val="Bibliography"/>
      </w:pPr>
      <w:r>
        <w:t xml:space="preserve">Wickham, H. (2016).</w:t>
      </w:r>
      <w:r>
        <w:t xml:space="preserve"> </w:t>
      </w:r>
      <w:r>
        <w:rPr>
          <w:i/>
          <w:iCs/>
        </w:rPr>
        <w:t xml:space="preserve">ggplot2: Elegant graphics for data analysis</w:t>
      </w:r>
      <w:r>
        <w:t xml:space="preserve">. Springer-Verlag.</w:t>
      </w:r>
      <w:r>
        <w:t xml:space="preserve"> </w:t>
      </w:r>
      <w:hyperlink r:id="rId278">
        <w:r>
          <w:rPr>
            <w:rStyle w:val="Hyperlink"/>
          </w:rPr>
          <w:t xml:space="preserve">https://ggplot2.tidyverse.org</w:t>
        </w:r>
      </w:hyperlink>
    </w:p>
    <w:bookmarkEnd w:id="279"/>
    <w:bookmarkStart w:id="281" w:name="ref-R-ggridges"/>
    <w:p>
      <w:pPr>
        <w:pStyle w:val="Bibliography"/>
      </w:pPr>
      <w:r>
        <w:t xml:space="preserve">Wilke, C. O. (2024).</w:t>
      </w:r>
      <w:r>
        <w:t xml:space="preserve"> </w:t>
      </w:r>
      <w:r>
        <w:rPr>
          <w:i/>
          <w:iCs/>
        </w:rPr>
        <w:t xml:space="preserve">Ggridges: Ridgeline plots in ’ggplot2’</w:t>
      </w:r>
      <w:r>
        <w:t xml:space="preserve">.</w:t>
      </w:r>
      <w:r>
        <w:t xml:space="preserve"> </w:t>
      </w:r>
      <w:hyperlink r:id="rId280">
        <w:r>
          <w:rPr>
            <w:rStyle w:val="Hyperlink"/>
          </w:rPr>
          <w:t xml:space="preserve">https://CRAN.R-project.org/package=ggridges</w:t>
        </w:r>
      </w:hyperlink>
    </w:p>
    <w:bookmarkEnd w:id="281"/>
    <w:bookmarkStart w:id="283" w:name="ref-zhang2019"/>
    <w:p>
      <w:pPr>
        <w:pStyle w:val="Bibliography"/>
      </w:pPr>
      <w:r>
        <w:t xml:space="preserve">Zhang, J. D., &amp; Schubert, E. (2019). A single item measure for identifying musician and nonmusician categories based on measures of musical sophistication.</w:t>
      </w:r>
      <w:r>
        <w:t xml:space="preserve"> </w:t>
      </w:r>
      <w:r>
        <w:rPr>
          <w:i/>
          <w:iCs/>
        </w:rPr>
        <w:t xml:space="preserve">Music Perception: An Interdisciplinary Journal</w:t>
      </w:r>
      <w:r>
        <w:t xml:space="preserve">,</w:t>
      </w:r>
      <w:r>
        <w:t xml:space="preserve"> </w:t>
      </w:r>
      <w:r>
        <w:rPr>
          <w:i/>
          <w:iCs/>
        </w:rPr>
        <w:t xml:space="preserve">36</w:t>
      </w:r>
      <w:r>
        <w:t xml:space="preserve">(5), 457–467.</w:t>
      </w:r>
      <w:r>
        <w:t xml:space="preserve"> </w:t>
      </w:r>
      <w:hyperlink r:id="rId282">
        <w:r>
          <w:rPr>
            <w:rStyle w:val="Hyperlink"/>
          </w:rPr>
          <w:t xml:space="preserve">https://doi.org/10.1525/mp.2019.36.5.457</w:t>
        </w:r>
      </w:hyperlink>
    </w:p>
    <w:bookmarkEnd w:id="283"/>
    <w:bookmarkEnd w:id="284"/>
    <w:p>
      <w:r>
        <w:br w:type="page"/>
      </w:r>
    </w:p>
    <w:bookmarkEnd w:id="285"/>
    <w:p>
      <w:pPr>
        <w:pStyle w:val="Heading1"/>
      </w:pPr>
      <w:r>
        <w:t xml:space="preserve">Appendix A</w:t>
      </w:r>
    </w:p>
    <w:bookmarkStart w:id="286" w:name="apx-sampledescription"/>
    <w:p>
      <w:pPr>
        <w:pStyle w:val="Heading1"/>
      </w:pPr>
      <w:r>
        <w:t xml:space="preserve">Detailed sample descriptions</w:t>
      </w:r>
    </w:p>
    <w:p>
      <w:pPr>
        <w:pStyle w:val="FirstParagraph"/>
      </w:pPr>
      <w:r>
        <w:t xml:space="preserve">TODO</w:t>
      </w:r>
    </w:p>
    <w:p>
      <w:r>
        <w:br w:type="page"/>
      </w:r>
    </w:p>
    <w:bookmarkEnd w:id="286"/>
    <w:p>
      <w:pPr>
        <w:pStyle w:val="Heading1"/>
      </w:pPr>
      <w:r>
        <w:t xml:space="preserve">Appendix B</w:t>
      </w:r>
    </w:p>
    <w:bookmarkStart w:id="290" w:name="apx-implementation"/>
    <w:p>
      <w:pPr>
        <w:pStyle w:val="Heading1"/>
      </w:pPr>
      <w:r>
        <w:t xml:space="preserve">Technical implementation</w:t>
      </w:r>
    </w:p>
    <w:bookmarkStart w:id="287" w:name="surveys"/>
    <w:p>
      <w:pPr>
        <w:pStyle w:val="Heading2"/>
      </w:pPr>
      <w:r>
        <w:t xml:space="preserve">Surveys</w:t>
      </w:r>
    </w:p>
    <w:p>
      <w:pPr>
        <w:pStyle w:val="FirstParagraph"/>
      </w:pPr>
      <w:r>
        <w:t xml:space="preserve">All surveys were coded in jsPsych</w:t>
      </w:r>
      <w:r>
        <w:t xml:space="preserve"> </w:t>
      </w:r>
      <w:r>
        <w:t xml:space="preserve">(</w:t>
      </w:r>
      <w:hyperlink w:anchor="ref-leeuw2023">
        <w:r>
          <w:rPr>
            <w:rStyle w:val="Hyperlink"/>
          </w:rPr>
          <w:t xml:space="preserve">Leeuw et al., 2023</w:t>
        </w:r>
      </w:hyperlink>
      <w:r>
        <w:t xml:space="preserve">)</w:t>
      </w:r>
      <w:r>
        <w:t xml:space="preserve"> </w:t>
      </w:r>
      <w:r>
        <w:t xml:space="preserve">and hosted through JATOS</w:t>
      </w:r>
      <w:r>
        <w:t xml:space="preserve"> </w:t>
      </w:r>
      <w:r>
        <w:t xml:space="preserve">(</w:t>
      </w:r>
      <w:hyperlink w:anchor="ref-lange2015">
        <w:r>
          <w:rPr>
            <w:rStyle w:val="Hyperlink"/>
          </w:rPr>
          <w:t xml:space="preserve">Lange et al., 2015</w:t>
        </w:r>
      </w:hyperlink>
      <w:r>
        <w:t xml:space="preserve">)</w:t>
      </w:r>
      <w:r>
        <w:t xml:space="preserve"> </w:t>
      </w:r>
      <w:r>
        <w:t xml:space="preserve">on our lab server located at McMaster University, and managed by McMaster’s Research and High Performance Computing Support. Codebooks and print versions are available at https://doi.org/10.5281/zenodo.15282949. All participants completed the survey via web browser: In-person participants were provided with LIVELab’s Samsung Galaxy Tab A 8.0 SM-T380 tablets, which they could store in a pouch attached to their seat during the event. Livestream participants used their own machines. Since this was a live event, participants had limited time to fill out the surveys before the event and at intermission so as not to delay the performance and the film screening. To ensure that participants progressed through the surveys as planned, we monitored the incoming data using the JATOS logs. If participants did not complete the surveys in the designated time, we skipped the remaining questions so that the surveys would not distract participants from the event. For in-person participants, research assistants went up to their seats and manually skipped the remaining survey questions, whereas for livestream participants, we signaled the JATOS server to move every participant to the livestream once the first and second half of the event began, respectively.</w:t>
      </w:r>
    </w:p>
    <w:bookmarkEnd w:id="287"/>
    <w:bookmarkStart w:id="288" w:name="physiological-measures"/>
    <w:p>
      <w:pPr>
        <w:pStyle w:val="Heading2"/>
      </w:pPr>
      <w:r>
        <w:t xml:space="preserve">Physiological measures</w:t>
      </w:r>
    </w:p>
    <w:p>
      <w:pPr>
        <w:pStyle w:val="FirstParagraph"/>
      </w:pPr>
      <w:r>
        <w:t xml:space="preserve">Both in-person and online participants consented to eye-tracking and cardiac monitoring. In-person participants were equipped with Bangle.js 2 watches collecting a photoplethysmogram signal</w:t>
      </w:r>
      <w:r>
        <w:t xml:space="preserve"> </w:t>
      </w:r>
      <w:r>
        <w:t xml:space="preserve">(</w:t>
      </w:r>
      <w:hyperlink w:anchor="ref-flannery2024">
        <w:r>
          <w:rPr>
            <w:rStyle w:val="Hyperlink"/>
          </w:rPr>
          <w:t xml:space="preserve">Flannery &amp; Fink, 2024</w:t>
        </w:r>
      </w:hyperlink>
      <w:r>
        <w:t xml:space="preserve">)</w:t>
      </w:r>
      <w:r>
        <w:t xml:space="preserve">, and with Pupil Labs’ NEON eye-tracking glasses, controlled via a multi-person mobile eye-tracking system</w:t>
      </w:r>
      <w:r>
        <w:t xml:space="preserve"> </w:t>
      </w:r>
      <w:r>
        <w:t xml:space="preserve">(</w:t>
      </w:r>
      <w:hyperlink w:anchor="ref-saxena2025">
        <w:r>
          <w:rPr>
            <w:rStyle w:val="Hyperlink"/>
          </w:rPr>
          <w:t xml:space="preserve">Saxena et al., 2025</w:t>
        </w:r>
      </w:hyperlink>
      <w:r>
        <w:t xml:space="preserve">)</w:t>
      </w:r>
      <w:r>
        <w:t xml:space="preserve">. Livestream participants were recorded via webcam to extract their eye-movements and cardiac activity post-hoc. The calibration for the eye-tracking glasses is described in</w:t>
      </w:r>
      <w:r>
        <w:t xml:space="preserve"> </w:t>
      </w:r>
      <w:r>
        <w:t xml:space="preserve">Saxena et al. (</w:t>
      </w:r>
      <w:hyperlink w:anchor="ref-saxena2025">
        <w:r>
          <w:rPr>
            <w:rStyle w:val="Hyperlink"/>
          </w:rPr>
          <w:t xml:space="preserve">2025</w:t>
        </w:r>
      </w:hyperlink>
      <w:r>
        <w:t xml:space="preserve">)</w:t>
      </w:r>
      <w:r>
        <w:t xml:space="preserve"> </w:t>
      </w:r>
      <w:r>
        <w:t xml:space="preserve">and the calibration for the webcam is described in</w:t>
      </w:r>
      <w:r>
        <w:t xml:space="preserve"> </w:t>
      </w:r>
      <w:r>
        <w:t xml:space="preserve">Saxena et al. (</w:t>
      </w:r>
      <w:hyperlink w:anchor="ref-saxena2023">
        <w:r>
          <w:rPr>
            <w:rStyle w:val="Hyperlink"/>
          </w:rPr>
          <w:t xml:space="preserve">2023</w:t>
        </w:r>
      </w:hyperlink>
      <w:r>
        <w:t xml:space="preserve">)</w:t>
      </w:r>
      <w:r>
        <w:t xml:space="preserve">.</w:t>
      </w:r>
    </w:p>
    <w:bookmarkEnd w:id="288"/>
    <w:bookmarkStart w:id="289" w:name="environment"/>
    <w:p>
      <w:pPr>
        <w:pStyle w:val="Heading2"/>
      </w:pPr>
      <w:r>
        <w:t xml:space="preserve">Environment</w:t>
      </w:r>
    </w:p>
    <w:p>
      <w:pPr>
        <w:pStyle w:val="FirstParagraph"/>
      </w:pPr>
      <w:r>
        <w:t xml:space="preserve">The LIVELab is equipped with technology that meets the demands of concert halls as well as psychological laboratories. It has a capacity of 106 seats. For this study, in-person participants were seated in the second, third and fourth front rows. Including participants, the event was attended by 55 in-person audience members on April 2nd and 60 audience members on April 4th. The performance took place on the stage, where the sound was recorded by eight microphones for the different instruments and two microphones for the audience (e.g., to capture applause), and presented over a PA system consisting of two Meyer 500HP subwoofers and 5 Meyer UPJ-1P speakers. For the livestream, the performance was filmed from a static PTZOptics pt30x-sdi-g2 camera positioned behind and above the audience seating to capture an unobstructed view of the stage. The livestream audio was the same mix presented in the concert hall. The film was screened for the in-person audience on a 384.5 cm x 216 cm Samsung LH015IER LED video wall, using the same PA sound system. The film video and audio were streamed directly to YouTube. For livestream participants, the stream was presented in the jsPsych environment using the AVOKE plugin [TODO cite].</w:t>
      </w:r>
    </w:p>
    <w:p>
      <w:r>
        <w:br w:type="page"/>
      </w:r>
    </w:p>
    <w:bookmarkEnd w:id="289"/>
    <w:bookmarkEnd w:id="290"/>
    <w:p>
      <w:pPr>
        <w:pStyle w:val="Heading1"/>
      </w:pPr>
      <w:r>
        <w:t xml:space="preserve">Appendix C</w:t>
      </w:r>
    </w:p>
    <w:bookmarkStart w:id="299" w:name="apx-eventexperience"/>
    <w:p>
      <w:pPr>
        <w:pStyle w:val="Heading1"/>
      </w:pPr>
      <w:r>
        <w:t xml:space="preserve">Event Experience</w:t>
      </w:r>
    </w:p>
    <w:bookmarkStart w:id="294" w:name="fig-affect"/>
    <w:p>
      <w:pPr>
        <w:pStyle w:val="FigureTitle"/>
      </w:pPr>
      <w:r>
        <w:t xml:space="preserve">Figure C1</w:t>
      </w:r>
    </w:p>
    <w:p>
      <w:pPr>
        <w:pStyle w:val="Caption"/>
      </w:pPr>
      <w:r>
        <w:t xml:space="preserve">TODO</w:t>
      </w:r>
    </w:p>
    <w:p>
      <w:pPr>
        <w:pStyle w:val="FigureWithNote"/>
      </w:pPr>
      <w:r>
        <w:drawing>
          <wp:inline>
            <wp:extent cx="5943600" cy="5943600"/>
            <wp:effectExtent b="0" l="0" r="0" t="0"/>
            <wp:docPr descr="" title="" id="292" name="Picture"/>
            <a:graphic>
              <a:graphicData uri="http://schemas.openxmlformats.org/drawingml/2006/picture">
                <pic:pic>
                  <pic:nvPicPr>
                    <pic:cNvPr descr="Innocents_Prosociality_Manuscript_files/figure-docx/fig-affect-1.png" id="293" name="Picture"/>
                    <pic:cNvPicPr>
                      <a:picLocks noChangeArrowheads="1" noChangeAspect="1"/>
                    </pic:cNvPicPr>
                  </pic:nvPicPr>
                  <pic:blipFill>
                    <a:blip r:embed="rId291"/>
                    <a:stretch>
                      <a:fillRect/>
                    </a:stretch>
                  </pic:blipFill>
                  <pic:spPr bwMode="auto">
                    <a:xfrm>
                      <a:off x="0" y="0"/>
                      <a:ext cx="5943600" cy="5943600"/>
                    </a:xfrm>
                    <a:prstGeom prst="rect">
                      <a:avLst/>
                    </a:prstGeom>
                    <a:noFill/>
                    <a:ln w="9525">
                      <a:noFill/>
                      <a:headEnd/>
                      <a:tailEnd/>
                    </a:ln>
                  </pic:spPr>
                </pic:pic>
              </a:graphicData>
            </a:graphic>
          </wp:inline>
        </w:drawing>
      </w:r>
    </w:p>
    <w:bookmarkEnd w:id="294"/>
    <w:p>
      <w:pPr>
        <w:pStyle w:val="FigureNote"/>
      </w:pPr>
      <w:r>
        <w:rPr>
          <w:i/>
          <w:iCs/>
        </w:rPr>
        <w:t xml:space="preserve">Note</w:t>
      </w:r>
      <w:r>
        <w:t xml:space="preserve">. TODO</w:t>
      </w:r>
    </w:p>
    <w:bookmarkStart w:id="298" w:name="fig-engagement"/>
    <w:p>
      <w:pPr>
        <w:pStyle w:val="FigureTitle"/>
      </w:pPr>
      <w:r>
        <w:t xml:space="preserve">Figure C2</w:t>
      </w:r>
    </w:p>
    <w:p>
      <w:pPr>
        <w:pStyle w:val="Caption"/>
      </w:pPr>
      <w:r>
        <w:t xml:space="preserve">TODO</w:t>
      </w:r>
    </w:p>
    <w:p>
      <w:pPr>
        <w:pStyle w:val="FigureWithNote"/>
      </w:pPr>
      <w:r>
        <w:drawing>
          <wp:inline>
            <wp:extent cx="5943600" cy="5943600"/>
            <wp:effectExtent b="0" l="0" r="0" t="0"/>
            <wp:docPr descr="" title="" id="296" name="Picture"/>
            <a:graphic>
              <a:graphicData uri="http://schemas.openxmlformats.org/drawingml/2006/picture">
                <pic:pic>
                  <pic:nvPicPr>
                    <pic:cNvPr descr="Innocents_Prosociality_Manuscript_files/figure-docx/fig-engagement-1.png" id="297" name="Picture"/>
                    <pic:cNvPicPr>
                      <a:picLocks noChangeArrowheads="1" noChangeAspect="1"/>
                    </pic:cNvPicPr>
                  </pic:nvPicPr>
                  <pic:blipFill>
                    <a:blip r:embed="rId295"/>
                    <a:stretch>
                      <a:fillRect/>
                    </a:stretch>
                  </pic:blipFill>
                  <pic:spPr bwMode="auto">
                    <a:xfrm>
                      <a:off x="0" y="0"/>
                      <a:ext cx="5943600" cy="5943600"/>
                    </a:xfrm>
                    <a:prstGeom prst="rect">
                      <a:avLst/>
                    </a:prstGeom>
                    <a:noFill/>
                    <a:ln w="9525">
                      <a:noFill/>
                      <a:headEnd/>
                      <a:tailEnd/>
                    </a:ln>
                  </pic:spPr>
                </pic:pic>
              </a:graphicData>
            </a:graphic>
          </wp:inline>
        </w:drawing>
      </w:r>
    </w:p>
    <w:bookmarkEnd w:id="298"/>
    <w:p>
      <w:pPr>
        <w:pStyle w:val="FigureNote"/>
      </w:pPr>
      <w:r>
        <w:rPr>
          <w:i/>
          <w:iCs/>
        </w:rPr>
        <w:t xml:space="preserve">Note</w:t>
      </w:r>
      <w:r>
        <w:t xml:space="preserve">. TODO</w:t>
      </w:r>
    </w:p>
    <w:p>
      <w:r>
        <w:br w:type="page"/>
      </w:r>
    </w:p>
    <w:bookmarkEnd w:id="299"/>
    <w:p>
      <w:pPr>
        <w:pStyle w:val="Heading1"/>
      </w:pPr>
      <w:r>
        <w:t xml:space="preserve">Appendix D</w:t>
      </w:r>
    </w:p>
    <w:bookmarkStart w:id="300" w:name="apx-modelcomps"/>
    <w:p>
      <w:pPr>
        <w:pStyle w:val="Heading1"/>
      </w:pPr>
      <w:r>
        <w:t xml:space="preserve">Model Comparisons</w:t>
      </w:r>
    </w:p>
    <w:p>
      <w:pPr>
        <w:pStyle w:val="FirstParagraph"/>
      </w:pPr>
      <w:r>
        <w:t xml:space="preserve">TODO expand this appendix to include the full output for each model.</w:t>
      </w:r>
    </w:p>
    <w:p>
      <w:pPr>
        <w:pStyle w:val="TableCaption"/>
      </w:pPr>
      <w:r>
        <w:t xml:space="preserve">Model comparison results for the three outcomes</w:t>
      </w:r>
    </w:p>
    <w:tbl>
      <w:tblPr>
        <w:tblStyle w:val="Table"/>
        <w:tblW w:type="auto" w:w="0"/>
        <w:tblLook w:firstRow="1" w:lastRow="0" w:firstColumn="0" w:lastColumn="0" w:noHBand="0" w:noVBand="0" w:val="0020"/>
        <w:tblCaption w:val="Model comparison results for the three outcomes"/>
      </w:tblPr>
      <w:tblGrid>
        <w:gridCol w:w="3960"/>
        <w:gridCol w:w="3960"/>
      </w:tblGrid>
      <w:tr>
        <w:trPr>
          <w:tblHeader w:val="on"/>
        </w:trPr>
        <w:tc>
          <w:tcPr/>
          <w:p>
            <w:pPr>
              <w:pStyle w:val="Compact"/>
              <w:jc w:val="left"/>
            </w:pPr>
            <w:r>
              <w:t xml:space="preserve">Model/Test</w:t>
            </w:r>
          </w:p>
        </w:tc>
        <w:tc>
          <w:tcPr/>
          <w:p>
            <w:pPr>
              <w:pStyle w:val="Compact"/>
              <w:jc w:val="left"/>
            </w:pPr>
            <w:r>
              <w:t xml:space="preserve">Formula/Statistic</w:t>
            </w:r>
          </w:p>
        </w:tc>
      </w:tr>
      <w:tr>
        <w:tc>
          <w:tcPr/>
          <w:p>
            <w:pPr>
              <w:pStyle w:val="Compact"/>
              <w:jc w:val="left"/>
            </w:pPr>
            <w:r>
              <w:t xml:space="preserve">Closeness</w:t>
            </w:r>
            <m:oMath>
              <m:sSup>
                <m:e>
                  <m:r>
                    <m:t>​</m:t>
                  </m:r>
                </m:e>
                <m:sup>
                  <m:r>
                    <m:t>a</m:t>
                  </m:r>
                </m:sup>
              </m:sSup>
            </m:oMath>
          </w:p>
        </w:tc>
        <w:tc>
          <w:tcPr/>
          <w:p>
            <w:pPr>
              <w:pStyle w:val="Compact"/>
              <w:jc w:val="left"/>
            </w:pPr>
            <m:oMath>
              <m:sSub>
                <m:e>
                  <m:r>
                    <m:t>N</m:t>
                  </m:r>
                </m:e>
                <m:sub>
                  <m:r>
                    <m:t>o</m:t>
                  </m:r>
                  <m:r>
                    <m:t>b</m:t>
                  </m:r>
                  <m:r>
                    <m:t>s</m:t>
                  </m:r>
                  <m:r>
                    <m:t>e</m:t>
                  </m:r>
                  <m:r>
                    <m:t>r</m:t>
                  </m:r>
                  <m:r>
                    <m:t>v</m:t>
                  </m:r>
                  <m:r>
                    <m:t>a</m:t>
                  </m:r>
                  <m:r>
                    <m:t>t</m:t>
                  </m:r>
                  <m:r>
                    <m:t>i</m:t>
                  </m:r>
                  <m:r>
                    <m:t>o</m:t>
                  </m:r>
                  <m:r>
                    <m:t>n</m:t>
                  </m:r>
                  <m:r>
                    <m:t>s</m:t>
                  </m:r>
                </m:sub>
              </m:sSub>
              <m:r>
                <m:rPr>
                  <m:sty m:val="p"/>
                </m:rPr>
                <m:t>=</m:t>
              </m:r>
              <m:r>
                <m:t>177</m:t>
              </m:r>
            </m:oMath>
            <w:r>
              <w:t xml:space="preserve">;</w:t>
            </w:r>
            <w:r>
              <w:t xml:space="preserve"> </w:t>
            </w:r>
            <m:oMath>
              <m:sSub>
                <m:e>
                  <m:r>
                    <m:t>N</m:t>
                  </m:r>
                </m:e>
                <m:sub>
                  <m:r>
                    <m:t>p</m:t>
                  </m:r>
                  <m:r>
                    <m:t>a</m:t>
                  </m:r>
                  <m:r>
                    <m:t>r</m:t>
                  </m:r>
                  <m:r>
                    <m:t>t</m:t>
                  </m:r>
                  <m:r>
                    <m:t>i</m:t>
                  </m:r>
                  <m:r>
                    <m:t>c</m:t>
                  </m:r>
                  <m:r>
                    <m:t>i</m:t>
                  </m:r>
                  <m:r>
                    <m:t>p</m:t>
                  </m:r>
                  <m:r>
                    <m:t>a</m:t>
                  </m:r>
                  <m:r>
                    <m:t>n</m:t>
                  </m:r>
                  <m:r>
                    <m:t>t</m:t>
                  </m:r>
                  <m:r>
                    <m:t>s</m:t>
                  </m:r>
                </m:sub>
              </m:sSub>
              <m:r>
                <m:rPr>
                  <m:sty m:val="p"/>
                </m:rPr>
                <m:t>=</m:t>
              </m:r>
              <m:r>
                <m:t>94</m:t>
              </m:r>
            </m:oMath>
          </w:p>
        </w:tc>
      </w:tr>
      <w:tr>
        <w:tc>
          <w:tcPr/>
          <w:p>
            <w:pPr>
              <w:pStyle w:val="Compact"/>
              <w:jc w:val="left"/>
            </w:pPr>
            <w:r>
              <w:t xml:space="preserve">Base Model</w:t>
            </w:r>
          </w:p>
        </w:tc>
        <w:tc>
          <w:tcPr/>
          <w:p>
            <w:pPr>
              <w:pStyle w:val="Compact"/>
              <w:jc w:val="left"/>
            </w:pPr>
            <w:r>
              <w:t xml:space="preserve">Closeness</w:t>
            </w:r>
            <w:r>
              <w:t xml:space="preserve"> </w:t>
            </w:r>
            <w:r>
              <w:t xml:space="preserve">Baseline + (1|Participant)</w:t>
            </w:r>
          </w:p>
        </w:tc>
      </w:tr>
      <w:tr>
        <w:tc>
          <w:tcPr/>
          <w:p>
            <w:pPr>
              <w:pStyle w:val="Compact"/>
              <w:jc w:val="left"/>
            </w:pPr>
            <w:r>
              <w:t xml:space="preserve">Full Model</w:t>
            </w:r>
          </w:p>
        </w:tc>
        <w:tc>
          <w:tcPr/>
          <w:p>
            <w:pPr>
              <w:pStyle w:val="Compact"/>
              <w:jc w:val="left"/>
            </w:pPr>
            <w:r>
              <w:t xml:space="preserve">Closeness</w:t>
            </w:r>
            <w:r>
              <w:t xml:space="preserve"> </w:t>
            </w:r>
            <w:r>
              <w:t xml:space="preserve">Baseline + Attendance * Stimulus * Time + (1|Participant)</w:t>
            </w:r>
          </w:p>
        </w:tc>
      </w:tr>
      <w:tr>
        <w:tc>
          <w:tcPr/>
          <w:p>
            <w:pPr>
              <w:pStyle w:val="Compact"/>
              <w:jc w:val="left"/>
            </w:pPr>
            <w:r>
              <w:t xml:space="preserve">LRT Test</w:t>
            </w:r>
          </w:p>
        </w:tc>
        <w:tc>
          <w:tcPr/>
          <w:p>
            <w:pPr>
              <w:pStyle w:val="Compact"/>
              <w:jc w:val="left"/>
            </w:pPr>
            <m:oMath>
              <m:sSup>
                <m:e>
                  <m:r>
                    <m:t>χ</m:t>
                  </m:r>
                </m:e>
                <m:sup>
                  <m:r>
                    <m:t>2</m:t>
                  </m:r>
                </m:sup>
              </m:sSup>
              <m:d>
                <m:dPr>
                  <m:begChr m:val="("/>
                  <m:sepChr m:val=""/>
                  <m:endChr m:val=")"/>
                  <m:grow/>
                </m:dPr>
                <m:e>
                  <m:r>
                    <m:t>7</m:t>
                  </m:r>
                </m:e>
              </m:d>
              <m:r>
                <m:rPr>
                  <m:sty m:val="p"/>
                </m:rPr>
                <m:t>=</m:t>
              </m:r>
              <m:r>
                <m:t>30.94</m:t>
              </m:r>
            </m:oMath>
            <w:r>
              <w:t xml:space="preserve">,</w:t>
            </w:r>
            <w:r>
              <w:t xml:space="preserve"> </w:t>
            </w:r>
            <m:oMath>
              <m:r>
                <m:t>p</m:t>
              </m:r>
              <m:r>
                <m:rPr>
                  <m:sty m:val="p"/>
                </m:rPr>
                <m:t>&lt;</m:t>
              </m:r>
              <m:r>
                <m:t>.001</m:t>
              </m:r>
            </m:oMath>
          </w:p>
        </w:tc>
      </w:tr>
    </w:tbl>
    <w:p>
      <w:pPr>
        <w:pStyle w:val="BodyText"/>
      </w:pPr>
      <w:r>
        <w:t xml:space="preserve">Empathy</w:t>
      </w:r>
      <m:oMath>
        <m:sSup>
          <m:e>
            <m:r>
              <m:t>​</m:t>
            </m:r>
          </m:e>
          <m:sup>
            <m:r>
              <m:t>b</m:t>
            </m:r>
          </m:sup>
        </m:sSup>
      </m:oMath>
      <w:r>
        <w:t xml:space="preserve"> </w:t>
      </w:r>
      <m:oMath>
        <m:sSub>
          <m:e>
            <m:r>
              <m:t>N</m:t>
            </m:r>
          </m:e>
          <m:sub>
            <m:r>
              <m:t>o</m:t>
            </m:r>
            <m:r>
              <m:t>b</m:t>
            </m:r>
            <m:r>
              <m:t>s</m:t>
            </m:r>
            <m:r>
              <m:t>e</m:t>
            </m:r>
            <m:r>
              <m:t>r</m:t>
            </m:r>
            <m:r>
              <m:t>v</m:t>
            </m:r>
            <m:r>
              <m:t>a</m:t>
            </m:r>
            <m:r>
              <m:t>t</m:t>
            </m:r>
            <m:r>
              <m:t>i</m:t>
            </m:r>
            <m:r>
              <m:t>o</m:t>
            </m:r>
            <m:r>
              <m:t>n</m:t>
            </m:r>
            <m:r>
              <m:t>s</m:t>
            </m:r>
          </m:sub>
        </m:sSub>
        <m:r>
          <m:rPr>
            <m:sty m:val="p"/>
          </m:rPr>
          <m:t>=</m:t>
        </m:r>
        <m:r>
          <m:t>175</m:t>
        </m:r>
      </m:oMath>
      <w:r>
        <w:t xml:space="preserve">;</w:t>
      </w:r>
      <w:r>
        <w:t xml:space="preserve"> </w:t>
      </w:r>
      <m:oMath>
        <m:sSub>
          <m:e>
            <m:r>
              <m:t>N</m:t>
            </m:r>
          </m:e>
          <m:sub>
            <m:r>
              <m:t>p</m:t>
            </m:r>
            <m:r>
              <m:t>a</m:t>
            </m:r>
            <m:r>
              <m:t>r</m:t>
            </m:r>
            <m:r>
              <m:t>t</m:t>
            </m:r>
            <m:r>
              <m:t>i</m:t>
            </m:r>
            <m:r>
              <m:t>c</m:t>
            </m:r>
            <m:r>
              <m:t>i</m:t>
            </m:r>
            <m:r>
              <m:t>p</m:t>
            </m:r>
            <m:r>
              <m:t>a</m:t>
            </m:r>
            <m:r>
              <m:t>n</m:t>
            </m:r>
            <m:r>
              <m:t>t</m:t>
            </m:r>
            <m:r>
              <m:t>s</m:t>
            </m:r>
          </m:sub>
        </m:sSub>
        <m:r>
          <m:rPr>
            <m:sty m:val="p"/>
          </m:rPr>
          <m:t>=</m:t>
        </m:r>
        <m:r>
          <m:t>93</m:t>
        </m:r>
      </m:oMath>
      <w:r>
        <w:br/>
      </w:r>
      <w:r>
        <w:t xml:space="preserve">Base Model Empathy</w:t>
      </w:r>
      <w:r>
        <w:t xml:space="preserve"> </w:t>
      </w:r>
      <w:r>
        <w:t xml:space="preserve">Baseline + (1|Participant)</w:t>
      </w:r>
      <w:r>
        <w:br/>
      </w:r>
      <w:r>
        <w:t xml:space="preserve">Full Model Empathy</w:t>
      </w:r>
      <w:r>
        <w:t xml:space="preserve"> </w:t>
      </w:r>
      <w:r>
        <w:t xml:space="preserve">Baseline + Attendance * Stimulus * Time + (1|Participant)</w:t>
      </w:r>
      <w:r>
        <w:br/>
      </w:r>
      <w:r>
        <w:t xml:space="preserve">LRT Test</w:t>
      </w:r>
      <w:r>
        <w:t xml:space="preserve"> </w:t>
      </w:r>
      <m:oMath>
        <m:sSup>
          <m:e>
            <m:r>
              <m:t>χ</m:t>
            </m:r>
          </m:e>
          <m:sup>
            <m:r>
              <m:t>2</m:t>
            </m:r>
          </m:sup>
        </m:sSup>
        <m:d>
          <m:dPr>
            <m:begChr m:val="("/>
            <m:sepChr m:val=""/>
            <m:endChr m:val=")"/>
            <m:grow/>
          </m:dPr>
          <m:e>
            <m:r>
              <m:t>7</m:t>
            </m:r>
          </m:e>
        </m:d>
        <m:r>
          <m:rPr>
            <m:sty m:val="p"/>
          </m:rPr>
          <m:t>=</m:t>
        </m:r>
        <m:r>
          <m:t>42.53</m:t>
        </m:r>
      </m:oMath>
      <w:r>
        <w:t xml:space="preserve">,</w:t>
      </w:r>
      <w:r>
        <w:t xml:space="preserve"> </w:t>
      </w:r>
      <m:oMath>
        <m:r>
          <m:t>p</m:t>
        </m:r>
        <m:r>
          <m:rPr>
            <m:sty m:val="p"/>
          </m:rPr>
          <m:t>&lt;</m:t>
        </m:r>
        <m:r>
          <m:t>.001</m:t>
        </m:r>
      </m:oMath>
    </w:p>
    <w:p>
      <w:pPr>
        <w:pStyle w:val="BodyText"/>
      </w:pPr>
      <w:r>
        <w:t xml:space="preserve">Awareness</w:t>
      </w:r>
      <m:oMath>
        <m:sSup>
          <m:e>
            <m:r>
              <m:t>​</m:t>
            </m:r>
          </m:e>
          <m:sup>
            <m:r>
              <m:t>b</m:t>
            </m:r>
          </m:sup>
        </m:sSup>
      </m:oMath>
      <w:r>
        <w:t xml:space="preserve"> </w:t>
      </w:r>
      <m:oMath>
        <m:sSub>
          <m:e>
            <m:r>
              <m:t>N</m:t>
            </m:r>
          </m:e>
          <m:sub>
            <m:r>
              <m:t>o</m:t>
            </m:r>
            <m:r>
              <m:t>b</m:t>
            </m:r>
            <m:r>
              <m:t>s</m:t>
            </m:r>
            <m:r>
              <m:t>e</m:t>
            </m:r>
            <m:r>
              <m:t>r</m:t>
            </m:r>
            <m:r>
              <m:t>v</m:t>
            </m:r>
            <m:r>
              <m:t>a</m:t>
            </m:r>
            <m:r>
              <m:t>t</m:t>
            </m:r>
            <m:r>
              <m:t>i</m:t>
            </m:r>
            <m:r>
              <m:t>o</m:t>
            </m:r>
            <m:r>
              <m:t>n</m:t>
            </m:r>
            <m:r>
              <m:t>s</m:t>
            </m:r>
          </m:sub>
        </m:sSub>
        <m:r>
          <m:rPr>
            <m:sty m:val="p"/>
          </m:rPr>
          <m:t>=</m:t>
        </m:r>
        <m:r>
          <m:t>172</m:t>
        </m:r>
      </m:oMath>
      <w:r>
        <w:t xml:space="preserve">;</w:t>
      </w:r>
      <w:r>
        <w:t xml:space="preserve"> </w:t>
      </w:r>
      <m:oMath>
        <m:sSub>
          <m:e>
            <m:r>
              <m:t>N</m:t>
            </m:r>
          </m:e>
          <m:sub>
            <m:r>
              <m:t>p</m:t>
            </m:r>
            <m:r>
              <m:t>a</m:t>
            </m:r>
            <m:r>
              <m:t>r</m:t>
            </m:r>
            <m:r>
              <m:t>t</m:t>
            </m:r>
            <m:r>
              <m:t>i</m:t>
            </m:r>
            <m:r>
              <m:t>c</m:t>
            </m:r>
            <m:r>
              <m:t>i</m:t>
            </m:r>
            <m:r>
              <m:t>p</m:t>
            </m:r>
            <m:r>
              <m:t>a</m:t>
            </m:r>
            <m:r>
              <m:t>n</m:t>
            </m:r>
            <m:r>
              <m:t>t</m:t>
            </m:r>
            <m:r>
              <m:t>s</m:t>
            </m:r>
          </m:sub>
        </m:sSub>
        <m:r>
          <m:rPr>
            <m:sty m:val="p"/>
          </m:rPr>
          <m:t>=</m:t>
        </m:r>
        <m:r>
          <m:t>92</m:t>
        </m:r>
      </m:oMath>
      <w:r>
        <w:br/>
      </w:r>
      <w:r>
        <w:t xml:space="preserve">Base Model Awareness</w:t>
      </w:r>
      <w:r>
        <w:t xml:space="preserve"> </w:t>
      </w:r>
      <w:r>
        <w:t xml:space="preserve">Openness + Politics + Baseline + (1|Participant)</w:t>
      </w:r>
      <w:r>
        <w:br/>
      </w:r>
      <w:r>
        <w:t xml:space="preserve">Full Model Awareness</w:t>
      </w:r>
      <w:r>
        <w:t xml:space="preserve"> </w:t>
      </w:r>
      <w:r>
        <w:t xml:space="preserve">Openness + Politics + Baseline + Attendance * Stimulus * Time + (1|Participant)</w:t>
      </w:r>
      <w:r>
        <w:br/>
      </w:r>
      <w:r>
        <w:t xml:space="preserve">LRT Test</w:t>
      </w:r>
      <w:r>
        <w:t xml:space="preserve"> </w:t>
      </w:r>
      <m:oMath>
        <m:sSup>
          <m:e>
            <m:r>
              <m:t>χ</m:t>
            </m:r>
          </m:e>
          <m:sup>
            <m:r>
              <m:t>2</m:t>
            </m:r>
          </m:sup>
        </m:sSup>
        <m:d>
          <m:dPr>
            <m:begChr m:val="("/>
            <m:sepChr m:val=""/>
            <m:endChr m:val=")"/>
            <m:grow/>
          </m:dPr>
          <m:e>
            <m:r>
              <m:t>7</m:t>
            </m:r>
          </m:e>
        </m:d>
        <m:r>
          <m:rPr>
            <m:sty m:val="p"/>
          </m:rPr>
          <m:t>=</m:t>
        </m:r>
        <m:r>
          <m:t>14.67</m:t>
        </m:r>
      </m:oMath>
      <w:r>
        <w:t xml:space="preserve">,</w:t>
      </w:r>
      <w:r>
        <w:t xml:space="preserve"> </w:t>
      </w:r>
      <m:oMath>
        <m:r>
          <m:t>p</m:t>
        </m:r>
        <m:r>
          <m:rPr>
            <m:sty m:val="p"/>
          </m:rPr>
          <m:t>=</m:t>
        </m:r>
        <m:r>
          <m:t>0.04</m:t>
        </m:r>
      </m:oMath>
    </w:p>
    <w:p>
      <w:pPr>
        <w:pStyle w:val="BodyText"/>
      </w:pPr>
      <w:r>
        <w:t xml:space="preserve">Intention</w:t>
      </w:r>
      <m:oMath>
        <m:sSup>
          <m:e>
            <m:r>
              <m:t>​</m:t>
            </m:r>
          </m:e>
          <m:sup>
            <m:r>
              <m:t>b</m:t>
            </m:r>
          </m:sup>
        </m:sSup>
      </m:oMath>
      <w:r>
        <w:t xml:space="preserve"> </w:t>
      </w:r>
      <m:oMath>
        <m:sSub>
          <m:e>
            <m:r>
              <m:t>N</m:t>
            </m:r>
          </m:e>
          <m:sub>
            <m:r>
              <m:t>o</m:t>
            </m:r>
            <m:r>
              <m:t>b</m:t>
            </m:r>
            <m:r>
              <m:t>s</m:t>
            </m:r>
            <m:r>
              <m:t>e</m:t>
            </m:r>
            <m:r>
              <m:t>r</m:t>
            </m:r>
            <m:r>
              <m:t>v</m:t>
            </m:r>
            <m:r>
              <m:t>a</m:t>
            </m:r>
            <m:r>
              <m:t>t</m:t>
            </m:r>
            <m:r>
              <m:t>i</m:t>
            </m:r>
            <m:r>
              <m:t>o</m:t>
            </m:r>
            <m:r>
              <m:t>n</m:t>
            </m:r>
            <m:r>
              <m:t>s</m:t>
            </m:r>
          </m:sub>
        </m:sSub>
        <m:r>
          <m:rPr>
            <m:sty m:val="p"/>
          </m:rPr>
          <m:t>=</m:t>
        </m:r>
        <m:r>
          <m:t>164</m:t>
        </m:r>
      </m:oMath>
      <w:r>
        <w:t xml:space="preserve">;</w:t>
      </w:r>
      <w:r>
        <w:t xml:space="preserve"> </w:t>
      </w:r>
      <m:oMath>
        <m:sSub>
          <m:e>
            <m:r>
              <m:t>N</m:t>
            </m:r>
          </m:e>
          <m:sub>
            <m:r>
              <m:t>p</m:t>
            </m:r>
            <m:r>
              <m:t>a</m:t>
            </m:r>
            <m:r>
              <m:t>r</m:t>
            </m:r>
            <m:r>
              <m:t>t</m:t>
            </m:r>
            <m:r>
              <m:t>i</m:t>
            </m:r>
            <m:r>
              <m:t>c</m:t>
            </m:r>
            <m:r>
              <m:t>i</m:t>
            </m:r>
            <m:r>
              <m:t>p</m:t>
            </m:r>
            <m:r>
              <m:t>a</m:t>
            </m:r>
            <m:r>
              <m:t>n</m:t>
            </m:r>
            <m:r>
              <m:t>t</m:t>
            </m:r>
            <m:r>
              <m:t>s</m:t>
            </m:r>
          </m:sub>
        </m:sSub>
        <m:r>
          <m:rPr>
            <m:sty m:val="p"/>
          </m:rPr>
          <m:t>=</m:t>
        </m:r>
        <m:r>
          <m:t>87</m:t>
        </m:r>
      </m:oMath>
      <w:r>
        <w:br/>
      </w:r>
      <w:r>
        <w:t xml:space="preserve">Base Model Intention</w:t>
      </w:r>
      <w:r>
        <w:t xml:space="preserve"> </w:t>
      </w:r>
      <w:r>
        <w:t xml:space="preserve">SocialJusticeMotivation + TraitEmpathicConcern + Baseline + (1|Participant)</w:t>
      </w:r>
      <w:r>
        <w:br/>
      </w:r>
      <w:r>
        <w:t xml:space="preserve">Full Model Intention</w:t>
      </w:r>
      <w:r>
        <w:t xml:space="preserve"> </w:t>
      </w:r>
      <w:r>
        <w:t xml:space="preserve">SocialJusticeMotivation + TraitEmpathicConcern + Baseline + Attendance * Stimulus * Time + (1|Participant)</w:t>
      </w:r>
      <w:r>
        <w:t xml:space="preserve"> </w:t>
      </w:r>
      <w:r>
        <w:t xml:space="preserve">LRT Test</w:t>
      </w:r>
      <w:r>
        <w:t xml:space="preserve"> </w:t>
      </w:r>
      <m:oMath>
        <m:sSup>
          <m:e>
            <m:r>
              <m:t>χ</m:t>
            </m:r>
          </m:e>
          <m:sup>
            <m:r>
              <m:t>2</m:t>
            </m:r>
          </m:sup>
        </m:sSup>
        <m:d>
          <m:dPr>
            <m:begChr m:val="("/>
            <m:sepChr m:val=""/>
            <m:endChr m:val=")"/>
            <m:grow/>
          </m:dPr>
          <m:e>
            <m:r>
              <m:t>7</m:t>
            </m:r>
          </m:e>
        </m:d>
        <m:r>
          <m:rPr>
            <m:sty m:val="p"/>
          </m:rPr>
          <m:t>=</m:t>
        </m:r>
        <m:r>
          <m:t>15.52</m:t>
        </m:r>
      </m:oMath>
      <w:r>
        <w:t xml:space="preserve">,</w:t>
      </w:r>
      <w:r>
        <w:t xml:space="preserve"> </w:t>
      </w:r>
      <m:oMath>
        <m:r>
          <m:t>p</m:t>
        </m:r>
        <m:r>
          <m:rPr>
            <m:sty m:val="p"/>
          </m:rPr>
          <m:t>=</m:t>
        </m:r>
        <m:r>
          <m:t>0.03</m:t>
        </m:r>
      </m:oMath>
    </w:p>
    <w:p>
      <w:pPr>
        <w:pStyle w:val="FigureNote"/>
      </w:pPr>
      <w:r>
        <w:rPr>
          <w:i/>
          <w:iCs/>
        </w:rPr>
        <w:t xml:space="preserve">Note</w:t>
      </w:r>
      <w:r>
        <w:t xml:space="preserve">. Base Model - Baseline covariate Model. LRT Test - Likelihood Ratio Test.</w:t>
      </w:r>
      <w:r>
        <w:t xml:space="preserve"> </w:t>
      </w:r>
      <m:oMath>
        <m:sSup>
          <m:e>
            <m:r>
              <m:t>​</m:t>
            </m:r>
          </m:e>
          <m:sup>
            <m:r>
              <m:t>a</m:t>
            </m:r>
          </m:sup>
        </m:sSup>
      </m:oMath>
      <w:r>
        <w:t xml:space="preserve">The model violated the assumption of normally distributed random intercepts, but neither log-transformation nor exclusions could restore normality.</w:t>
      </w:r>
      <w:r>
        <w:t xml:space="preserve"> </w:t>
      </w:r>
      <m:oMath>
        <m:sSup>
          <m:e>
            <m:r>
              <m:t>​</m:t>
            </m:r>
          </m:e>
          <m:sup>
            <m:r>
              <m:t>b</m:t>
            </m:r>
          </m:sup>
        </m:sSup>
      </m:oMath>
      <w:r>
        <w:t xml:space="preserve">Two observations with extreme residuals were excluded to preserve the assumptions of normally distributed residuals and/or random intercepts.</w:t>
      </w:r>
    </w:p>
    <w:sectPr>
      <w:lnNumType w:countBy="1" w:restart="continuous"/>
    </w:sectPr>
    <w:bookmarkEnd w:id="300"/>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91" Target="media/rId291.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88" Target="media/rId88.png" /><Relationship Type="http://schemas.openxmlformats.org/officeDocument/2006/relationships/image" Id="rId57" Target="media/rId57.png" /><Relationship Type="http://schemas.openxmlformats.org/officeDocument/2006/relationships/image" Id="rId83" Target="media/rId83.png" /><Relationship Type="http://schemas.openxmlformats.org/officeDocument/2006/relationships/image" Id="rId295" Target="media/rId295.png" /><Relationship Type="http://schemas.openxmlformats.org/officeDocument/2006/relationships/image" Id="rId68" Target="media/rId68.png" /><Relationship Type="http://schemas.openxmlformats.org/officeDocument/2006/relationships/image" Id="rId21" Target="media/rId21.svg" /><Relationship Type="http://schemas.openxmlformats.org/officeDocument/2006/relationships/hyperlink" Id="rId171" Target="https://CRAN.R-project.org/package=Hmisc" TargetMode="External" /><Relationship Type="http://schemas.openxmlformats.org/officeDocument/2006/relationships/hyperlink" Id="rId181" Target="https://CRAN.R-project.org/package=ggpubr" TargetMode="External" /><Relationship Type="http://schemas.openxmlformats.org/officeDocument/2006/relationships/hyperlink" Id="rId280" Target="https://CRAN.R-project.org/package=ggridges" TargetMode="External" /><Relationship Type="http://schemas.openxmlformats.org/officeDocument/2006/relationships/hyperlink" Id="rId269" Target="https://CRAN.R-project.org/package=png" TargetMode="External" /><Relationship Type="http://schemas.openxmlformats.org/officeDocument/2006/relationships/hyperlink" Id="rId30" Target="https://credit.niso.org" TargetMode="External" /><Relationship Type="http://schemas.openxmlformats.org/officeDocument/2006/relationships/hyperlink" Id="rId98" Target="https://davidgohel.github.io/flextable/" TargetMode="External" /><Relationship Type="http://schemas.openxmlformats.org/officeDocument/2006/relationships/hyperlink" Id="rId240" Target="https://doi.org/10.1002/1099-0984(200007/08)14:4&lt;325::AID-PER380&gt;3.0.CO;2-I" TargetMode="External" /><Relationship Type="http://schemas.openxmlformats.org/officeDocument/2006/relationships/hyperlink" Id="rId255" Target="https://doi.org/10.1002/9781444307948.ch2" TargetMode="External" /><Relationship Type="http://schemas.openxmlformats.org/officeDocument/2006/relationships/hyperlink" Id="rId247" Target="https://doi.org/10.1002/casp.906" TargetMode="External" /><Relationship Type="http://schemas.openxmlformats.org/officeDocument/2006/relationships/hyperlink" Id="rId263" Target="https://doi.org/10.1007/s10464-011-9478-2" TargetMode="External" /><Relationship Type="http://schemas.openxmlformats.org/officeDocument/2006/relationships/hyperlink" Id="rId105" Target="https://doi.org/10.1016/0749-5978(91)90020-T" TargetMode="External" /><Relationship Type="http://schemas.openxmlformats.org/officeDocument/2006/relationships/hyperlink" Id="rId249" Target="https://doi.org/10.1016/S0022-1031(75)80004-7" TargetMode="External" /><Relationship Type="http://schemas.openxmlformats.org/officeDocument/2006/relationships/hyperlink" Id="rId175" Target="https://doi.org/10.1016/j.gloenvcha.2010.09.004" TargetMode="External" /><Relationship Type="http://schemas.openxmlformats.org/officeDocument/2006/relationships/hyperlink" Id="rId183" Target="https://doi.org/10.1016/j.gloenvcha.2013.05.014" TargetMode="External" /><Relationship Type="http://schemas.openxmlformats.org/officeDocument/2006/relationships/hyperlink" Id="rId165" Target="https://doi.org/10.1016/j.jesp.2008.08.003" TargetMode="External" /><Relationship Type="http://schemas.openxmlformats.org/officeDocument/2006/relationships/hyperlink" Id="rId204" Target="https://doi.org/10.1016/j.jesp.2017.03.009" TargetMode="External" /><Relationship Type="http://schemas.openxmlformats.org/officeDocument/2006/relationships/hyperlink" Id="rId221" Target="https://doi.org/10.1016/j.jesp.2021.104138" TargetMode="External" /><Relationship Type="http://schemas.openxmlformats.org/officeDocument/2006/relationships/hyperlink" Id="rId202" Target="https://doi.org/10.1016/j.jml.2020.104092" TargetMode="External" /><Relationship Type="http://schemas.openxmlformats.org/officeDocument/2006/relationships/hyperlink" Id="rId142" Target="https://doi.org/10.1016/j.plrev.2015.09.001" TargetMode="External" /><Relationship Type="http://schemas.openxmlformats.org/officeDocument/2006/relationships/hyperlink" Id="rId217" Target="https://doi.org/10.1016/j.plrev.2022.12.019" TargetMode="External" /><Relationship Type="http://schemas.openxmlformats.org/officeDocument/2006/relationships/hyperlink" Id="rId195" Target="https://doi.org/10.1017/S0140525X21000406" TargetMode="External" /><Relationship Type="http://schemas.openxmlformats.org/officeDocument/2006/relationships/hyperlink" Id="rId109" Target="https://doi.org/10.1017/S0140525X22002874" TargetMode="External" /><Relationship Type="http://schemas.openxmlformats.org/officeDocument/2006/relationships/hyperlink" Id="rId120" Target="https://doi.org/10.1037/0022-3514.40.2.290" TargetMode="External" /><Relationship Type="http://schemas.openxmlformats.org/officeDocument/2006/relationships/hyperlink" Id="rId113" Target="https://doi.org/10.1037/0022-3514.63.4.596" TargetMode="External" /><Relationship Type="http://schemas.openxmlformats.org/officeDocument/2006/relationships/hyperlink" Id="rId122" Target="https://doi.org/10.1037/0022-3514.68.2.300" TargetMode="External" /><Relationship Type="http://schemas.openxmlformats.org/officeDocument/2006/relationships/hyperlink" Id="rId138" Target="https://doi.org/10.1037/0022-3514.73.3.481" TargetMode="External" /><Relationship Type="http://schemas.openxmlformats.org/officeDocument/2006/relationships/hyperlink" Id="rId144" Target="https://doi.org/10.1037/0033-2909.112.1.155" TargetMode="External" /><Relationship Type="http://schemas.openxmlformats.org/officeDocument/2006/relationships/hyperlink" Id="rId111" Target="https://doi.org/10.1037/aca0000607" TargetMode="External" /><Relationship Type="http://schemas.openxmlformats.org/officeDocument/2006/relationships/hyperlink" Id="rId213" Target="https://doi.org/10.1037/aca0000670" TargetMode="External" /><Relationship Type="http://schemas.openxmlformats.org/officeDocument/2006/relationships/hyperlink" Id="rId251" Target="https://doi.org/10.1037/pspp0000096" TargetMode="External" /><Relationship Type="http://schemas.openxmlformats.org/officeDocument/2006/relationships/hyperlink" Id="rId276" Target="https://doi.org/10.1037/xge0000014" TargetMode="External" /><Relationship Type="http://schemas.openxmlformats.org/officeDocument/2006/relationships/hyperlink" Id="rId206" Target="https://doi.org/10.1038/s41562-018-0522-1" TargetMode="External" /><Relationship Type="http://schemas.openxmlformats.org/officeDocument/2006/relationships/hyperlink" Id="rId234" Target="https://doi.org/10.1038/s41598-023-32831-x" TargetMode="External" /><Relationship Type="http://schemas.openxmlformats.org/officeDocument/2006/relationships/hyperlink" Id="rId158" Target="https://doi.org/10.1038/s41598-024-71399-y" TargetMode="External" /><Relationship Type="http://schemas.openxmlformats.org/officeDocument/2006/relationships/hyperlink" Id="rId160" Target="https://doi.org/10.1057/s41599-021-00858-y" TargetMode="External" /><Relationship Type="http://schemas.openxmlformats.org/officeDocument/2006/relationships/hyperlink" Id="rId223" Target="https://doi.org/10.1073/pnas.2322819121" TargetMode="External" /><Relationship Type="http://schemas.openxmlformats.org/officeDocument/2006/relationships/hyperlink" Id="rId150" Target="https://doi.org/10.1080/00224545.2019.1623161" TargetMode="External" /><Relationship Type="http://schemas.openxmlformats.org/officeDocument/2006/relationships/hyperlink" Id="rId107" Target="https://doi.org/10.1080/08870446.2011.613995" TargetMode="External" /><Relationship Type="http://schemas.openxmlformats.org/officeDocument/2006/relationships/hyperlink" Id="rId245" Target="https://doi.org/10.1080/14792772143000003" TargetMode="External" /><Relationship Type="http://schemas.openxmlformats.org/officeDocument/2006/relationships/hyperlink" Id="rId225" Target="https://doi.org/10.1080/2153599X.2013.764545" TargetMode="External" /><Relationship Type="http://schemas.openxmlformats.org/officeDocument/2006/relationships/hyperlink" Id="rId118" Target="https://doi.org/10.1093/acprof:oso/9780195341065.001.0001" TargetMode="External" /><Relationship Type="http://schemas.openxmlformats.org/officeDocument/2006/relationships/hyperlink" Id="rId169" Target="https://doi.org/10.1093/acprof:oso/9780198529361.003.0001" TargetMode="External" /><Relationship Type="http://schemas.openxmlformats.org/officeDocument/2006/relationships/hyperlink" Id="rId136" Target="https://doi.org/10.1093/scan/nsaa093" TargetMode="External" /><Relationship Type="http://schemas.openxmlformats.org/officeDocument/2006/relationships/hyperlink" Id="rId167" Target="https://doi.org/10.1093/screen/hju026" TargetMode="External" /><Relationship Type="http://schemas.openxmlformats.org/officeDocument/2006/relationships/hyperlink" Id="rId227" Target="https://doi.org/10.1111/bjso.12165" TargetMode="External" /><Relationship Type="http://schemas.openxmlformats.org/officeDocument/2006/relationships/hyperlink" Id="rId140" Target="https://doi.org/10.1111/infa.12140" TargetMode="External" /><Relationship Type="http://schemas.openxmlformats.org/officeDocument/2006/relationships/hyperlink" Id="rId238" Target="https://doi.org/10.1145/3706598.3713910" TargetMode="External" /><Relationship Type="http://schemas.openxmlformats.org/officeDocument/2006/relationships/hyperlink" Id="rId131" Target="https://doi.org/10.1177/0146167203258838" TargetMode="External" /><Relationship Type="http://schemas.openxmlformats.org/officeDocument/2006/relationships/hyperlink" Id="rId163" Target="https://doi.org/10.1177/0146167209341648" TargetMode="External" /><Relationship Type="http://schemas.openxmlformats.org/officeDocument/2006/relationships/hyperlink" Id="rId127" Target="https://doi.org/10.1177/0146167211407521" TargetMode="External" /><Relationship Type="http://schemas.openxmlformats.org/officeDocument/2006/relationships/hyperlink" Id="rId115" Target="https://doi.org/10.1177/02762374251320816" TargetMode="External" /><Relationship Type="http://schemas.openxmlformats.org/officeDocument/2006/relationships/hyperlink" Id="rId219" Target="https://doi.org/10.1177/0305735612440609" TargetMode="External" /><Relationship Type="http://schemas.openxmlformats.org/officeDocument/2006/relationships/hyperlink" Id="rId197" Target="https://doi.org/10.1177/0305735612440615" TargetMode="External" /><Relationship Type="http://schemas.openxmlformats.org/officeDocument/2006/relationships/hyperlink" Id="rId125" Target="https://doi.org/10.1177/0899764010380927" TargetMode="External" /><Relationship Type="http://schemas.openxmlformats.org/officeDocument/2006/relationships/hyperlink" Id="rId231" Target="https://doi.org/10.1177/0963662514537028" TargetMode="External" /><Relationship Type="http://schemas.openxmlformats.org/officeDocument/2006/relationships/hyperlink" Id="rId156" Target="https://doi.org/10.1177/1029864911399497" TargetMode="External" /><Relationship Type="http://schemas.openxmlformats.org/officeDocument/2006/relationships/hyperlink" Id="rId199" Target="https://doi.org/10.1177/1368430209102842" TargetMode="External" /><Relationship Type="http://schemas.openxmlformats.org/officeDocument/2006/relationships/hyperlink" Id="rId229" Target="https://doi.org/10.1177/1368430209102845" TargetMode="External" /><Relationship Type="http://schemas.openxmlformats.org/officeDocument/2006/relationships/hyperlink" Id="rId261" Target="https://doi.org/10.1177/20592043231207595" TargetMode="External" /><Relationship Type="http://schemas.openxmlformats.org/officeDocument/2006/relationships/hyperlink" Id="rId257" Target="https://doi.org/10.1177/20592043241263461" TargetMode="External" /><Relationship Type="http://schemas.openxmlformats.org/officeDocument/2006/relationships/hyperlink" Id="rId185" Target="https://doi.org/10.1177/20592043251333995" TargetMode="External" /><Relationship Type="http://schemas.openxmlformats.org/officeDocument/2006/relationships/hyperlink" Id="rId208" Target="https://doi.org/10.117710013916509357696" TargetMode="External" /><Relationship Type="http://schemas.openxmlformats.org/officeDocument/2006/relationships/hyperlink" Id="rId253" Target="https://doi.org/10.1348/014466609X477745" TargetMode="External" /><Relationship Type="http://schemas.openxmlformats.org/officeDocument/2006/relationships/hyperlink" Id="rId191" Target="https://doi.org/10.1371/journal.pone.0130834" TargetMode="External" /><Relationship Type="http://schemas.openxmlformats.org/officeDocument/2006/relationships/hyperlink" Id="rId242" Target="https://doi.org/10.1371/journal.pone.0178899" TargetMode="External" /><Relationship Type="http://schemas.openxmlformats.org/officeDocument/2006/relationships/hyperlink" Id="rId179" Target="https://doi.org/10.1371/journal.pone.0223259" TargetMode="External" /><Relationship Type="http://schemas.openxmlformats.org/officeDocument/2006/relationships/hyperlink" Id="rId148" Target="https://doi.org/10.1515/psych-2018-0018" TargetMode="External" /><Relationship Type="http://schemas.openxmlformats.org/officeDocument/2006/relationships/hyperlink" Id="rId282" Target="https://doi.org/10.1525/mp.2019.36.5.457" TargetMode="External" /><Relationship Type="http://schemas.openxmlformats.org/officeDocument/2006/relationships/hyperlink" Id="rId187" Target="https://doi.org/10.18637/jss.v082.i13" TargetMode="External" /><Relationship Type="http://schemas.openxmlformats.org/officeDocument/2006/relationships/hyperlink" Id="rId193" Target="https://doi.org/10.21105/joss.05351" TargetMode="External" /><Relationship Type="http://schemas.openxmlformats.org/officeDocument/2006/relationships/hyperlink" Id="rId177" Target="https://doi.org/10.2139/ssrn.5394180" TargetMode="External" /><Relationship Type="http://schemas.openxmlformats.org/officeDocument/2006/relationships/hyperlink" Id="rId146" Target="https://doi.org/10.31234/osf.io/7awm6" TargetMode="External" /><Relationship Type="http://schemas.openxmlformats.org/officeDocument/2006/relationships/hyperlink" Id="rId153" Target="https://doi.org/10.3200/SOCP.149.4.425-449" TargetMode="External" /><Relationship Type="http://schemas.openxmlformats.org/officeDocument/2006/relationships/hyperlink" Id="rId265" Target="https://doi.org/10.3389/fcogn.2025.1705976" TargetMode="External" /><Relationship Type="http://schemas.openxmlformats.org/officeDocument/2006/relationships/hyperlink" Id="rId274" Target="https://doi.org/10.3389/fpsyg.2021.638783" TargetMode="External" /><Relationship Type="http://schemas.openxmlformats.org/officeDocument/2006/relationships/hyperlink" Id="rId211" Target="https://doi.org/10.3389/fpsyg.2021.647929" TargetMode="External" /><Relationship Type="http://schemas.openxmlformats.org/officeDocument/2006/relationships/hyperlink" Id="rId259" Target="https://doi.org/10.3389/fpsyg.2021.648448" TargetMode="External" /><Relationship Type="http://schemas.openxmlformats.org/officeDocument/2006/relationships/hyperlink" Id="rId267" Target="https://doi.org/10.3389/fpsyg.2025.1467767" TargetMode="External" /><Relationship Type="http://schemas.openxmlformats.org/officeDocument/2006/relationships/hyperlink" Id="rId173" Target="https://doi.org/10.3390/bs13090739" TargetMode="External" /><Relationship Type="http://schemas.openxmlformats.org/officeDocument/2006/relationships/hyperlink" Id="rId236" Target="https://doi.org/10.3758/s13428-023-02190-6" TargetMode="External" /><Relationship Type="http://schemas.openxmlformats.org/officeDocument/2006/relationships/hyperlink" Id="rId44" Target="https://doi.org/10.5281/zenodo.15282949" TargetMode="External" /><Relationship Type="http://schemas.openxmlformats.org/officeDocument/2006/relationships/hyperlink" Id="rId133" Target="https://doi.org/10.5281/zenodo.2543762" TargetMode="External" /><Relationship Type="http://schemas.openxmlformats.org/officeDocument/2006/relationships/hyperlink" Id="rId129" Target="https://doi.org/10.5334/joc.10" TargetMode="External" /><Relationship Type="http://schemas.openxmlformats.org/officeDocument/2006/relationships/hyperlink" Id="rId278" Target="https://ggplot2.tidyverse.org" TargetMode="External" /><Relationship Type="http://schemas.openxmlformats.org/officeDocument/2006/relationships/hyperlink" Id="rId43" Target="https://livelab.mcmaster.ca/" TargetMode="External" /><Relationship Type="http://schemas.openxmlformats.org/officeDocument/2006/relationships/hyperlink" Id="rId36" Target="https://naacpsfnm.org/jazz-and-civil-rights/" TargetMode="External" /><Relationship Type="http://schemas.openxmlformats.org/officeDocument/2006/relationships/hyperlink" Id="rId29" Target="https://orcid.org/0000-0001-6699-750X" TargetMode="External" /><Relationship Type="http://schemas.openxmlformats.org/officeDocument/2006/relationships/hyperlink" Id="rId25" Target="https://orcid.org/0000-0001-8239-5197" TargetMode="External" /><Relationship Type="http://schemas.openxmlformats.org/officeDocument/2006/relationships/hyperlink" Id="rId76" Target="https://osf.io/suyef/" TargetMode="External" /><Relationship Type="http://schemas.openxmlformats.org/officeDocument/2006/relationships/hyperlink" Id="rId35" Target="https://west-eastern-divan.org/" TargetMode="External" /><Relationship Type="http://schemas.openxmlformats.org/officeDocument/2006/relationships/hyperlink" Id="rId215" Target="https://www.R-project.org/" TargetMode="External" /><Relationship Type="http://schemas.openxmlformats.org/officeDocument/2006/relationships/hyperlink" Id="rId271" Target="https://www.stats.ox.ac.uk/pub/MASS4/" TargetMode="External" /><Relationship Type="http://schemas.openxmlformats.org/officeDocument/2006/relationships/hyperlink" Id="rId37" Target="https://www.the-innocents.com/" TargetMode="External" /><Relationship Type="http://schemas.openxmlformats.org/officeDocument/2006/relationships/hyperlink" Id="rId47" Target="https://www.youtube.com/watch?v=PyYSohg-FpI&amp;ab_channel=WojciechLorenc" TargetMode="External" /><Relationship Type="http://schemas.openxmlformats.org/officeDocument/2006/relationships/hyperlink" Id="rId46" Target="https://www.youtube.com/watch?v=sQW0a3NlQUo&amp;ab_channel=BEATLab" TargetMode="External" /></Relationships>
</file>

<file path=word/_rels/footnotes.xml.rels><?xml version="1.0" encoding="UTF-8"?><Relationships xmlns="http://schemas.openxmlformats.org/package/2006/relationships"><Relationship Type="http://schemas.openxmlformats.org/officeDocument/2006/relationships/hyperlink" Id="rId171" Target="https://CRAN.R-project.org/package=Hmisc" TargetMode="External" /><Relationship Type="http://schemas.openxmlformats.org/officeDocument/2006/relationships/hyperlink" Id="rId181" Target="https://CRAN.R-project.org/package=ggpubr" TargetMode="External" /><Relationship Type="http://schemas.openxmlformats.org/officeDocument/2006/relationships/hyperlink" Id="rId280" Target="https://CRAN.R-project.org/package=ggridges" TargetMode="External" /><Relationship Type="http://schemas.openxmlformats.org/officeDocument/2006/relationships/hyperlink" Id="rId269" Target="https://CRAN.R-project.org/package=png" TargetMode="External" /><Relationship Type="http://schemas.openxmlformats.org/officeDocument/2006/relationships/hyperlink" Id="rId30" Target="https://credit.niso.org" TargetMode="External" /><Relationship Type="http://schemas.openxmlformats.org/officeDocument/2006/relationships/hyperlink" Id="rId98" Target="https://davidgohel.github.io/flextable/" TargetMode="External" /><Relationship Type="http://schemas.openxmlformats.org/officeDocument/2006/relationships/hyperlink" Id="rId240" Target="https://doi.org/10.1002/1099-0984(200007/08)14:4&lt;325::AID-PER380&gt;3.0.CO;2-I" TargetMode="External" /><Relationship Type="http://schemas.openxmlformats.org/officeDocument/2006/relationships/hyperlink" Id="rId255" Target="https://doi.org/10.1002/9781444307948.ch2" TargetMode="External" /><Relationship Type="http://schemas.openxmlformats.org/officeDocument/2006/relationships/hyperlink" Id="rId247" Target="https://doi.org/10.1002/casp.906" TargetMode="External" /><Relationship Type="http://schemas.openxmlformats.org/officeDocument/2006/relationships/hyperlink" Id="rId263" Target="https://doi.org/10.1007/s10464-011-9478-2" TargetMode="External" /><Relationship Type="http://schemas.openxmlformats.org/officeDocument/2006/relationships/hyperlink" Id="rId105" Target="https://doi.org/10.1016/0749-5978(91)90020-T" TargetMode="External" /><Relationship Type="http://schemas.openxmlformats.org/officeDocument/2006/relationships/hyperlink" Id="rId249" Target="https://doi.org/10.1016/S0022-1031(75)80004-7" TargetMode="External" /><Relationship Type="http://schemas.openxmlformats.org/officeDocument/2006/relationships/hyperlink" Id="rId175" Target="https://doi.org/10.1016/j.gloenvcha.2010.09.004" TargetMode="External" /><Relationship Type="http://schemas.openxmlformats.org/officeDocument/2006/relationships/hyperlink" Id="rId183" Target="https://doi.org/10.1016/j.gloenvcha.2013.05.014" TargetMode="External" /><Relationship Type="http://schemas.openxmlformats.org/officeDocument/2006/relationships/hyperlink" Id="rId165" Target="https://doi.org/10.1016/j.jesp.2008.08.003" TargetMode="External" /><Relationship Type="http://schemas.openxmlformats.org/officeDocument/2006/relationships/hyperlink" Id="rId204" Target="https://doi.org/10.1016/j.jesp.2017.03.009" TargetMode="External" /><Relationship Type="http://schemas.openxmlformats.org/officeDocument/2006/relationships/hyperlink" Id="rId221" Target="https://doi.org/10.1016/j.jesp.2021.104138" TargetMode="External" /><Relationship Type="http://schemas.openxmlformats.org/officeDocument/2006/relationships/hyperlink" Id="rId202" Target="https://doi.org/10.1016/j.jml.2020.104092" TargetMode="External" /><Relationship Type="http://schemas.openxmlformats.org/officeDocument/2006/relationships/hyperlink" Id="rId142" Target="https://doi.org/10.1016/j.plrev.2015.09.001" TargetMode="External" /><Relationship Type="http://schemas.openxmlformats.org/officeDocument/2006/relationships/hyperlink" Id="rId217" Target="https://doi.org/10.1016/j.plrev.2022.12.019" TargetMode="External" /><Relationship Type="http://schemas.openxmlformats.org/officeDocument/2006/relationships/hyperlink" Id="rId195" Target="https://doi.org/10.1017/S0140525X21000406" TargetMode="External" /><Relationship Type="http://schemas.openxmlformats.org/officeDocument/2006/relationships/hyperlink" Id="rId109" Target="https://doi.org/10.1017/S0140525X22002874" TargetMode="External" /><Relationship Type="http://schemas.openxmlformats.org/officeDocument/2006/relationships/hyperlink" Id="rId120" Target="https://doi.org/10.1037/0022-3514.40.2.290" TargetMode="External" /><Relationship Type="http://schemas.openxmlformats.org/officeDocument/2006/relationships/hyperlink" Id="rId113" Target="https://doi.org/10.1037/0022-3514.63.4.596" TargetMode="External" /><Relationship Type="http://schemas.openxmlformats.org/officeDocument/2006/relationships/hyperlink" Id="rId122" Target="https://doi.org/10.1037/0022-3514.68.2.300" TargetMode="External" /><Relationship Type="http://schemas.openxmlformats.org/officeDocument/2006/relationships/hyperlink" Id="rId138" Target="https://doi.org/10.1037/0022-3514.73.3.481" TargetMode="External" /><Relationship Type="http://schemas.openxmlformats.org/officeDocument/2006/relationships/hyperlink" Id="rId144" Target="https://doi.org/10.1037/0033-2909.112.1.155" TargetMode="External" /><Relationship Type="http://schemas.openxmlformats.org/officeDocument/2006/relationships/hyperlink" Id="rId111" Target="https://doi.org/10.1037/aca0000607" TargetMode="External" /><Relationship Type="http://schemas.openxmlformats.org/officeDocument/2006/relationships/hyperlink" Id="rId213" Target="https://doi.org/10.1037/aca0000670" TargetMode="External" /><Relationship Type="http://schemas.openxmlformats.org/officeDocument/2006/relationships/hyperlink" Id="rId251" Target="https://doi.org/10.1037/pspp0000096" TargetMode="External" /><Relationship Type="http://schemas.openxmlformats.org/officeDocument/2006/relationships/hyperlink" Id="rId276" Target="https://doi.org/10.1037/xge0000014" TargetMode="External" /><Relationship Type="http://schemas.openxmlformats.org/officeDocument/2006/relationships/hyperlink" Id="rId206" Target="https://doi.org/10.1038/s41562-018-0522-1" TargetMode="External" /><Relationship Type="http://schemas.openxmlformats.org/officeDocument/2006/relationships/hyperlink" Id="rId234" Target="https://doi.org/10.1038/s41598-023-32831-x" TargetMode="External" /><Relationship Type="http://schemas.openxmlformats.org/officeDocument/2006/relationships/hyperlink" Id="rId158" Target="https://doi.org/10.1038/s41598-024-71399-y" TargetMode="External" /><Relationship Type="http://schemas.openxmlformats.org/officeDocument/2006/relationships/hyperlink" Id="rId160" Target="https://doi.org/10.1057/s41599-021-00858-y" TargetMode="External" /><Relationship Type="http://schemas.openxmlformats.org/officeDocument/2006/relationships/hyperlink" Id="rId223" Target="https://doi.org/10.1073/pnas.2322819121" TargetMode="External" /><Relationship Type="http://schemas.openxmlformats.org/officeDocument/2006/relationships/hyperlink" Id="rId150" Target="https://doi.org/10.1080/00224545.2019.1623161" TargetMode="External" /><Relationship Type="http://schemas.openxmlformats.org/officeDocument/2006/relationships/hyperlink" Id="rId107" Target="https://doi.org/10.1080/08870446.2011.613995" TargetMode="External" /><Relationship Type="http://schemas.openxmlformats.org/officeDocument/2006/relationships/hyperlink" Id="rId245" Target="https://doi.org/10.1080/14792772143000003" TargetMode="External" /><Relationship Type="http://schemas.openxmlformats.org/officeDocument/2006/relationships/hyperlink" Id="rId225" Target="https://doi.org/10.1080/2153599X.2013.764545" TargetMode="External" /><Relationship Type="http://schemas.openxmlformats.org/officeDocument/2006/relationships/hyperlink" Id="rId118" Target="https://doi.org/10.1093/acprof:oso/9780195341065.001.0001" TargetMode="External" /><Relationship Type="http://schemas.openxmlformats.org/officeDocument/2006/relationships/hyperlink" Id="rId169" Target="https://doi.org/10.1093/acprof:oso/9780198529361.003.0001" TargetMode="External" /><Relationship Type="http://schemas.openxmlformats.org/officeDocument/2006/relationships/hyperlink" Id="rId136" Target="https://doi.org/10.1093/scan/nsaa093" TargetMode="External" /><Relationship Type="http://schemas.openxmlformats.org/officeDocument/2006/relationships/hyperlink" Id="rId167" Target="https://doi.org/10.1093/screen/hju026" TargetMode="External" /><Relationship Type="http://schemas.openxmlformats.org/officeDocument/2006/relationships/hyperlink" Id="rId227" Target="https://doi.org/10.1111/bjso.12165" TargetMode="External" /><Relationship Type="http://schemas.openxmlformats.org/officeDocument/2006/relationships/hyperlink" Id="rId140" Target="https://doi.org/10.1111/infa.12140" TargetMode="External" /><Relationship Type="http://schemas.openxmlformats.org/officeDocument/2006/relationships/hyperlink" Id="rId238" Target="https://doi.org/10.1145/3706598.3713910" TargetMode="External" /><Relationship Type="http://schemas.openxmlformats.org/officeDocument/2006/relationships/hyperlink" Id="rId131" Target="https://doi.org/10.1177/0146167203258838" TargetMode="External" /><Relationship Type="http://schemas.openxmlformats.org/officeDocument/2006/relationships/hyperlink" Id="rId163" Target="https://doi.org/10.1177/0146167209341648" TargetMode="External" /><Relationship Type="http://schemas.openxmlformats.org/officeDocument/2006/relationships/hyperlink" Id="rId127" Target="https://doi.org/10.1177/0146167211407521" TargetMode="External" /><Relationship Type="http://schemas.openxmlformats.org/officeDocument/2006/relationships/hyperlink" Id="rId115" Target="https://doi.org/10.1177/02762374251320816" TargetMode="External" /><Relationship Type="http://schemas.openxmlformats.org/officeDocument/2006/relationships/hyperlink" Id="rId219" Target="https://doi.org/10.1177/0305735612440609" TargetMode="External" /><Relationship Type="http://schemas.openxmlformats.org/officeDocument/2006/relationships/hyperlink" Id="rId197" Target="https://doi.org/10.1177/0305735612440615" TargetMode="External" /><Relationship Type="http://schemas.openxmlformats.org/officeDocument/2006/relationships/hyperlink" Id="rId125" Target="https://doi.org/10.1177/0899764010380927" TargetMode="External" /><Relationship Type="http://schemas.openxmlformats.org/officeDocument/2006/relationships/hyperlink" Id="rId231" Target="https://doi.org/10.1177/0963662514537028" TargetMode="External" /><Relationship Type="http://schemas.openxmlformats.org/officeDocument/2006/relationships/hyperlink" Id="rId156" Target="https://doi.org/10.1177/1029864911399497" TargetMode="External" /><Relationship Type="http://schemas.openxmlformats.org/officeDocument/2006/relationships/hyperlink" Id="rId199" Target="https://doi.org/10.1177/1368430209102842" TargetMode="External" /><Relationship Type="http://schemas.openxmlformats.org/officeDocument/2006/relationships/hyperlink" Id="rId229" Target="https://doi.org/10.1177/1368430209102845" TargetMode="External" /><Relationship Type="http://schemas.openxmlformats.org/officeDocument/2006/relationships/hyperlink" Id="rId261" Target="https://doi.org/10.1177/20592043231207595" TargetMode="External" /><Relationship Type="http://schemas.openxmlformats.org/officeDocument/2006/relationships/hyperlink" Id="rId257" Target="https://doi.org/10.1177/20592043241263461" TargetMode="External" /><Relationship Type="http://schemas.openxmlformats.org/officeDocument/2006/relationships/hyperlink" Id="rId185" Target="https://doi.org/10.1177/20592043251333995" TargetMode="External" /><Relationship Type="http://schemas.openxmlformats.org/officeDocument/2006/relationships/hyperlink" Id="rId208" Target="https://doi.org/10.117710013916509357696" TargetMode="External" /><Relationship Type="http://schemas.openxmlformats.org/officeDocument/2006/relationships/hyperlink" Id="rId253" Target="https://doi.org/10.1348/014466609X477745" TargetMode="External" /><Relationship Type="http://schemas.openxmlformats.org/officeDocument/2006/relationships/hyperlink" Id="rId191" Target="https://doi.org/10.1371/journal.pone.0130834" TargetMode="External" /><Relationship Type="http://schemas.openxmlformats.org/officeDocument/2006/relationships/hyperlink" Id="rId242" Target="https://doi.org/10.1371/journal.pone.0178899" TargetMode="External" /><Relationship Type="http://schemas.openxmlformats.org/officeDocument/2006/relationships/hyperlink" Id="rId179" Target="https://doi.org/10.1371/journal.pone.0223259" TargetMode="External" /><Relationship Type="http://schemas.openxmlformats.org/officeDocument/2006/relationships/hyperlink" Id="rId148" Target="https://doi.org/10.1515/psych-2018-0018" TargetMode="External" /><Relationship Type="http://schemas.openxmlformats.org/officeDocument/2006/relationships/hyperlink" Id="rId282" Target="https://doi.org/10.1525/mp.2019.36.5.457" TargetMode="External" /><Relationship Type="http://schemas.openxmlformats.org/officeDocument/2006/relationships/hyperlink" Id="rId187" Target="https://doi.org/10.18637/jss.v082.i13" TargetMode="External" /><Relationship Type="http://schemas.openxmlformats.org/officeDocument/2006/relationships/hyperlink" Id="rId193" Target="https://doi.org/10.21105/joss.05351" TargetMode="External" /><Relationship Type="http://schemas.openxmlformats.org/officeDocument/2006/relationships/hyperlink" Id="rId177" Target="https://doi.org/10.2139/ssrn.5394180" TargetMode="External" /><Relationship Type="http://schemas.openxmlformats.org/officeDocument/2006/relationships/hyperlink" Id="rId146" Target="https://doi.org/10.31234/osf.io/7awm6" TargetMode="External" /><Relationship Type="http://schemas.openxmlformats.org/officeDocument/2006/relationships/hyperlink" Id="rId153" Target="https://doi.org/10.3200/SOCP.149.4.425-449" TargetMode="External" /><Relationship Type="http://schemas.openxmlformats.org/officeDocument/2006/relationships/hyperlink" Id="rId265" Target="https://doi.org/10.3389/fcogn.2025.1705976" TargetMode="External" /><Relationship Type="http://schemas.openxmlformats.org/officeDocument/2006/relationships/hyperlink" Id="rId274" Target="https://doi.org/10.3389/fpsyg.2021.638783" TargetMode="External" /><Relationship Type="http://schemas.openxmlformats.org/officeDocument/2006/relationships/hyperlink" Id="rId211" Target="https://doi.org/10.3389/fpsyg.2021.647929" TargetMode="External" /><Relationship Type="http://schemas.openxmlformats.org/officeDocument/2006/relationships/hyperlink" Id="rId259" Target="https://doi.org/10.3389/fpsyg.2021.648448" TargetMode="External" /><Relationship Type="http://schemas.openxmlformats.org/officeDocument/2006/relationships/hyperlink" Id="rId267" Target="https://doi.org/10.3389/fpsyg.2025.1467767" TargetMode="External" /><Relationship Type="http://schemas.openxmlformats.org/officeDocument/2006/relationships/hyperlink" Id="rId173" Target="https://doi.org/10.3390/bs13090739" TargetMode="External" /><Relationship Type="http://schemas.openxmlformats.org/officeDocument/2006/relationships/hyperlink" Id="rId236" Target="https://doi.org/10.3758/s13428-023-02190-6" TargetMode="External" /><Relationship Type="http://schemas.openxmlformats.org/officeDocument/2006/relationships/hyperlink" Id="rId44" Target="https://doi.org/10.5281/zenodo.15282949" TargetMode="External" /><Relationship Type="http://schemas.openxmlformats.org/officeDocument/2006/relationships/hyperlink" Id="rId133" Target="https://doi.org/10.5281/zenodo.2543762" TargetMode="External" /><Relationship Type="http://schemas.openxmlformats.org/officeDocument/2006/relationships/hyperlink" Id="rId129" Target="https://doi.org/10.5334/joc.10" TargetMode="External" /><Relationship Type="http://schemas.openxmlformats.org/officeDocument/2006/relationships/hyperlink" Id="rId278" Target="https://ggplot2.tidyverse.org" TargetMode="External" /><Relationship Type="http://schemas.openxmlformats.org/officeDocument/2006/relationships/hyperlink" Id="rId43" Target="https://livelab.mcmaster.ca/" TargetMode="External" /><Relationship Type="http://schemas.openxmlformats.org/officeDocument/2006/relationships/hyperlink" Id="rId36" Target="https://naacpsfnm.org/jazz-and-civil-rights/" TargetMode="External" /><Relationship Type="http://schemas.openxmlformats.org/officeDocument/2006/relationships/hyperlink" Id="rId29" Target="https://orcid.org/0000-0001-6699-750X" TargetMode="External" /><Relationship Type="http://schemas.openxmlformats.org/officeDocument/2006/relationships/hyperlink" Id="rId25" Target="https://orcid.org/0000-0001-8239-5197" TargetMode="External" /><Relationship Type="http://schemas.openxmlformats.org/officeDocument/2006/relationships/hyperlink" Id="rId76" Target="https://osf.io/suyef/" TargetMode="External" /><Relationship Type="http://schemas.openxmlformats.org/officeDocument/2006/relationships/hyperlink" Id="rId35" Target="https://west-eastern-divan.org/" TargetMode="External" /><Relationship Type="http://schemas.openxmlformats.org/officeDocument/2006/relationships/hyperlink" Id="rId215" Target="https://www.R-project.org/" TargetMode="External" /><Relationship Type="http://schemas.openxmlformats.org/officeDocument/2006/relationships/hyperlink" Id="rId271" Target="https://www.stats.ox.ac.uk/pub/MASS4/" TargetMode="External" /><Relationship Type="http://schemas.openxmlformats.org/officeDocument/2006/relationships/hyperlink" Id="rId37" Target="https://www.the-innocents.com/" TargetMode="External" /><Relationship Type="http://schemas.openxmlformats.org/officeDocument/2006/relationships/hyperlink" Id="rId47" Target="https://www.youtube.com/watch?v=PyYSohg-FpI&amp;ab_channel=WojciechLorenc" TargetMode="External" /><Relationship Type="http://schemas.openxmlformats.org/officeDocument/2006/relationships/hyperlink" Id="rId46" Target="https://www.youtube.com/watch?v=sQW0a3NlQUo&amp;ab_channel=BEAT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MEDIA ADVOCACY AND AUDIENCE ENGAGEMENT</dc:description>
  <dc:language>en</dc:language>
  <cp:keywords>music, film, social justice, prosocial, empathy</cp:keywords>
  <dcterms:created xsi:type="dcterms:W3CDTF">2026-05-05T17:05:29Z</dcterms:created>
  <dcterms:modified xsi:type="dcterms:W3CDTF">2026-05-05T17:05:29Z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Fighting systemic social injustices, such as wrongful imprisonment, requires broad public support. A promising means to mobilize support may be artistic media, which have a wide reach. Some media advocacy has been empirically evaluated and has shown tangible effects on audiences’ attitudes and behaviour. However, previous studies differ vastly in the media, reception contexts, and psychological variables that are evaluated. This diversity requires experimental comparison to identify the necessary and facilitating ingredients for media to successfully mobilize support for social justice causes. Across two studies, we evaluated how a narrative documentary film and an abstract music performance advocate for wrongfully imprisoned persons. We assessed three self-reported affective and cognitive variables before and after seeing the film and the performance, as well as behaviour in support of a charity fighting wrongful imprisonment, among audience members in the theatre (Study 1: N = 62) and at home viewing a stream (Study 1: N = 32; Study 2: N = 200). Audiences reported the largest increases in relationship closeness with a wrongfully imprisoned person, followed by empathic concern, with the smallest increases in problem awareness. The film had larger effects on closeness and empathy than the music performance, corroborating previous research highlighting the relevance of narration for media advocacy. Empathic concern predicted intentions to support a related charity, and thus seems crucial to mobilizing support for social justice causes. Self-reports were comparable between in-person and stream audiences, but in-person audiences performed more charitable behaviours, thus leaving questions regarding the generalizability of media’s mobilizing effects across spatial and temporal contexts.</vt:lpwstr>
  </property>
  <property fmtid="{D5CDD505-2E9C-101B-9397-08002B2CF9AE}" pid="5" name="apaauthor">
    <vt:lpwstr/>
  </property>
  <property fmtid="{D5CDD505-2E9C-101B-9397-08002B2CF9AE}" pid="6" name="apatitle">
    <vt:lpwstr>Media advocacy promotes in-person and online audiences’ social justice engagement through empathy</vt:lpwstr>
  </property>
  <property fmtid="{D5CDD505-2E9C-101B-9397-08002B2CF9AE}" pid="7" name="apatitledisplay">
    <vt:lpwstr>Media advocacy promotes in-person and online audiences’ social justice engagement through empathy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author-note">
    <vt:lpwstr>2</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draft-date">
    <vt:lpwstr>False</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mpact-statement">
    <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mask">
    <vt:lpwstr>False</vt:lpwstr>
  </property>
  <property fmtid="{D5CDD505-2E9C-101B-9397-08002B2CF9AE}" pid="30" name="masked-citations">
    <vt:lpwstr/>
  </property>
  <property fmtid="{D5CDD505-2E9C-101B-9397-08002B2CF9AE}" pid="31" name="no-ampersand-parenthetical">
    <vt:lpwstr>False</vt:lpwstr>
  </property>
  <property fmtid="{D5CDD505-2E9C-101B-9397-08002B2CF9AE}" pid="32" name="number-depth">
    <vt:lpwstr>3</vt:lpwstr>
  </property>
  <property fmtid="{D5CDD505-2E9C-101B-9397-08002B2CF9AE}" pid="33" name="numbered-lines">
    <vt:lpwstr>True</vt:lpwstr>
  </property>
  <property fmtid="{D5CDD505-2E9C-101B-9397-08002B2CF9AE}" pid="34" name="numbersections">
    <vt:lpwstr>False</vt:lpwstr>
  </property>
  <property fmtid="{D5CDD505-2E9C-101B-9397-08002B2CF9AE}" pid="35" name="oneaffiliation">
    <vt:lpwstr>True</vt:lpwstr>
  </property>
  <property fmtid="{D5CDD505-2E9C-101B-9397-08002B2CF9AE}" pid="36" name="oneauthor">
    <vt:lpwstr>False</vt:lpwstr>
  </property>
  <property fmtid="{D5CDD505-2E9C-101B-9397-08002B2CF9AE}" pid="37" name="references">
    <vt:lpwstr/>
  </property>
  <property fmtid="{D5CDD505-2E9C-101B-9397-08002B2CF9AE}" pid="38" name="revealjs-plugins">
    <vt:lpwstr/>
  </property>
  <property fmtid="{D5CDD505-2E9C-101B-9397-08002B2CF9AE}" pid="39" name="shorttitle">
    <vt:lpwstr>MEDIA ADVOCACY AND AUDIENCE ENGAGEMENT</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impact-statement">
    <vt:lpwstr>False</vt:lpwstr>
  </property>
  <property fmtid="{D5CDD505-2E9C-101B-9397-08002B2CF9AE}" pid="56" name="suppress-keywords">
    <vt:lpwstr>False</vt:lpwstr>
  </property>
  <property fmtid="{D5CDD505-2E9C-101B-9397-08002B2CF9AE}" pid="57" name="suppress-orcid">
    <vt:lpwstr>False</vt:lpwstr>
  </property>
  <property fmtid="{D5CDD505-2E9C-101B-9397-08002B2CF9AE}" pid="58" name="suppress-short-title">
    <vt:lpwstr>False</vt:lpwstr>
  </property>
  <property fmtid="{D5CDD505-2E9C-101B-9397-08002B2CF9AE}" pid="59" name="suppress-status-change-paragraph">
    <vt:lpwstr>False</vt:lpwstr>
  </property>
  <property fmtid="{D5CDD505-2E9C-101B-9397-08002B2CF9AE}" pid="60" name="suppress-title">
    <vt:lpwstr>False</vt:lpwstr>
  </property>
  <property fmtid="{D5CDD505-2E9C-101B-9397-08002B2CF9AE}" pid="61" name="suppress-title-introduction">
    <vt:lpwstr>False</vt:lpwstr>
  </property>
  <property fmtid="{D5CDD505-2E9C-101B-9397-08002B2CF9AE}" pid="62" name="suppress-title-page">
    <vt:lpwstr>False</vt:lpwstr>
  </property>
  <property fmtid="{D5CDD505-2E9C-101B-9397-08002B2CF9AE}" pid="63" name="suppress-title-page-number">
    <vt:lpwstr>False</vt:lpwstr>
  </property>
  <property fmtid="{D5CDD505-2E9C-101B-9397-08002B2CF9AE}" pid="64" name="tbl-cap-location">
    <vt:lpwstr>top</vt:lpwstr>
  </property>
  <property fmtid="{D5CDD505-2E9C-101B-9397-08002B2CF9AE}" pid="65" name="toc-title">
    <vt:lpwstr>Table of contents</vt:lpwstr>
  </property>
  <property fmtid="{D5CDD505-2E9C-101B-9397-08002B2CF9AE}" pid="66" name="wordn">
    <vt:lpwstr>11444</vt:lpwstr>
  </property>
  <property fmtid="{D5CDD505-2E9C-101B-9397-08002B2CF9AE}" pid="67" name="zerocitations">
    <vt:lpwstr>False</vt:lpwstr>
  </property>
</Properties>
</file>