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21.svg" ContentType="image/svg+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prosociality through empathy for in-person and livestream audiences</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TODO</w:t>
      </w:r>
    </w:p>
    <w:p>
      <w:pPr>
        <w:pStyle w:val="BodyText"/>
      </w:pPr>
      <w:r>
        <w:rPr>
          <w:i/>
          <w:iCs/>
        </w:rPr>
        <w:t xml:space="preserve">Keywords</w:t>
      </w:r>
      <w:r>
        <w:t xml:space="preserve">: music, film, media, social justice, prosocial, bonding, empathy, norm activation</w:t>
      </w:r>
    </w:p>
    <w:p>
      <w:r>
        <w:br w:type="page"/>
      </w:r>
    </w:p>
    <w:bookmarkEnd w:id="32"/>
    <w:bookmarkStart w:id="56" w:name="firstheader"/>
    <w:p>
      <w:pPr>
        <w:pStyle w:val="Heading1"/>
      </w:pPr>
      <w:r>
        <w:t xml:space="preserve">Media advocacy promotes prosociality through empathy for in-person and livestream audiences</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“Introduction”</w:t>
      </w:r>
      <w:r>
        <w:t xml:space="preserve">). The title acts as your Level 1 heading for the introduction.</w:t>
      </w:r>
    </w:p>
    <w:p>
      <w:pPr>
        <w:pStyle w:val="BodyText"/>
      </w:pPr>
      <w:r>
        <w:t xml:space="preserve">Details about writing headings with markdown in APA style are</w:t>
      </w:r>
      <w:r>
        <w:t xml:space="preserve"> </w:t>
      </w:r>
      <w:hyperlink r:id="rId33">
        <w:r>
          <w:rPr>
            <w:rStyle w:val="Hyperlink"/>
          </w:rPr>
          <w:t xml:space="preserve">here</w:t>
        </w:r>
      </w:hyperlink>
      <w:r>
        <w:t xml:space="preserve">. In general, level 1 headings should be reserved for the Method, Results, Discussion, References, and Appendices sections.</w:t>
      </w:r>
    </w:p>
    <w:bookmarkStart w:id="36" w:name="citations"/>
    <w:p>
      <w:pPr>
        <w:pStyle w:val="Heading2"/>
      </w:pPr>
      <w:r>
        <w:t xml:space="preserve">Citations</w:t>
      </w:r>
    </w:p>
    <w:p>
      <w:pPr>
        <w:pStyle w:val="FirstParagraph"/>
      </w:pPr>
      <w:r>
        <w:t xml:space="preserve">See</w:t>
      </w:r>
      <w:r>
        <w:t xml:space="preserve"> </w:t>
      </w:r>
      <w:hyperlink r:id="rId34">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35">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36"/>
    <w:bookmarkStart w:id="38"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37">
        <w:r>
          <w:rPr>
            <w:rStyle w:val="Hyperlink"/>
          </w:rPr>
          <w:t xml:space="preserve">here</w:t>
        </w:r>
      </w:hyperlink>
      <w:r>
        <w:t xml:space="preserve"> </w:t>
      </w:r>
      <w:r>
        <w:t xml:space="preserve">for more information.</w:t>
      </w:r>
    </w:p>
    <w:bookmarkEnd w:id="38"/>
    <w:bookmarkStart w:id="39"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bookmarkEnd w:id="39"/>
    <w:bookmarkStart w:id="42"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p>
      <w:pPr>
        <w:pStyle w:val="BodyText"/>
      </w:pPr>
      <w:bookmarkStart w:id="40"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40"/>
    </w:p>
    <w:p>
      <w:pPr>
        <w:pStyle w:val="FirstParagraph"/>
      </w:pPr>
      <w:r>
        <w:t xml:space="preserve">A more practical example is the z-score equation seen in</w:t>
      </w:r>
      <w:r>
        <w:t xml:space="preserve"> </w:t>
      </w:r>
      <w:hyperlink w:anchor="eq-zscore">
        <w:r>
          <w:rPr>
            <w:rStyle w:val="Hyperlink"/>
          </w:rPr>
          <w:t xml:space="preserve">Equation 2</w:t>
        </w:r>
      </w:hyperlink>
      <w:r>
        <w:t xml:space="preserve">.</w:t>
      </w:r>
    </w:p>
    <w:p>
      <w:pPr>
        <w:pStyle w:val="BodyText"/>
      </w:pPr>
      <w:bookmarkStart w:id="41" w:name="eq-zscore"/>
      <m:oMathPara>
        <m:oMathParaPr>
          <m:jc m:val="center"/>
        </m:oMathParaPr>
        <m:oMath>
          <m:r>
            <m:t>z</m:t>
          </m:r>
          <m:r>
            <m:rPr>
              <m:sty m:val="p"/>
            </m:rPr>
            <m:t>=</m:t>
          </m:r>
          <m:f>
            <m:fPr>
              <m:type m:val="bar"/>
            </m:fPr>
            <m:num>
              <m:r>
                <m:t>X</m:t>
              </m:r>
              <m:r>
                <m:rPr>
                  <m:sty m:val="p"/>
                </m:rPr>
                <m:t>−</m:t>
              </m:r>
              <m:r>
                <m:t>μ</m:t>
              </m:r>
            </m:num>
            <m:den>
              <m:r>
                <m:t>σ</m:t>
              </m:r>
            </m:den>
          </m:f>
          <m:r>
            <m:t>  </m:t>
          </m:r>
          <m:d>
            <m:dPr>
              <m:begChr m:val="("/>
              <m:endChr m:val=")"/>
              <m:sepChr m:val=""/>
              <m:grow/>
            </m:dPr>
            <m:e>
              <m:r>
                <m:t>2</m:t>
              </m:r>
            </m:e>
          </m:d>
        </m:oMath>
      </m:oMathPara>
      <w:bookmarkEnd w:id="41"/>
    </w:p>
    <w:p>
      <w:pPr>
        <w:pStyle w:val="FirstParagraph"/>
      </w:pPr>
      <w:r>
        <w:t xml:space="preserve">If no identifier label is given, a centered equation in display mode will have no identifying number:</w:t>
      </w:r>
    </w:p>
    <w:p>
      <w:pPr>
        <w:pStyle w:val="BodyText"/>
      </w:pPr>
      <m:oMathPara>
        <m:oMathParaPr>
          <m:jc m:val="center"/>
        </m:oMathParaPr>
        <m:oMath>
          <m:sSub>
            <m:e>
              <m:r>
                <m:t>σ</m:t>
              </m:r>
            </m:e>
            <m:sub>
              <m:r>
                <m:t>e</m:t>
              </m:r>
            </m:sub>
          </m:sSub>
          <m:r>
            <m:rPr>
              <m:sty m:val="p"/>
            </m:rPr>
            <m:t>=</m:t>
          </m:r>
          <m:sSub>
            <m:e>
              <m:r>
                <m:t>σ</m:t>
              </m:r>
            </m:e>
            <m:sub>
              <m:r>
                <m:t>y</m:t>
              </m:r>
            </m:sub>
          </m:sSub>
          <m:rad>
            <m:radPr>
              <m:degHide m:val="on"/>
            </m:radPr>
            <m:deg/>
            <m:e>
              <m:r>
                <m:t>1</m:t>
              </m:r>
              <m:r>
                <m:rPr>
                  <m:sty m:val="p"/>
                </m:rPr>
                <m:t>−</m:t>
              </m:r>
              <m:sSubSup>
                <m:e>
                  <m:r>
                    <m:t>r</m:t>
                  </m:r>
                </m:e>
                <m:sub>
                  <m:r>
                    <m:t>x</m:t>
                  </m:r>
                  <m:r>
                    <m:t>y</m:t>
                  </m:r>
                </m:sub>
                <m:sup>
                  <m:r>
                    <m:t>2</m:t>
                  </m:r>
                </m:sup>
              </m:sSubSup>
            </m:e>
          </m:rad>
        </m:oMath>
      </m:oMathPara>
    </w:p>
    <w:bookmarkEnd w:id="42"/>
    <w:bookmarkStart w:id="48"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43">
        <w:r>
          <w:rPr>
            <w:rStyle w:val="Hyperlink"/>
          </w:rPr>
          <w:t xml:space="preserve">title case</w:t>
        </w:r>
      </w:hyperlink>
      <w:r>
        <w:t xml:space="preserve">.</w:t>
      </w:r>
    </w:p>
    <w:bookmarkStart w:id="47"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45" name="Picture"/>
            <a:graphic>
              <a:graphicData uri="http://schemas.openxmlformats.org/drawingml/2006/picture">
                <pic:pic>
                  <pic:nvPicPr>
                    <pic:cNvPr descr="Innocents_Prosociality_Manuscript_files/figure-docx/fig-myplot-1.png" id="46" name="Picture"/>
                    <pic:cNvPicPr>
                      <a:picLocks noChangeArrowheads="1" noChangeAspect="1"/>
                    </pic:cNvPicPr>
                  </pic:nvPicPr>
                  <pic:blipFill>
                    <a:blip r:embed="rId44"/>
                    <a:stretch>
                      <a:fillRect/>
                    </a:stretch>
                  </pic:blipFill>
                  <pic:spPr bwMode="auto">
                    <a:xfrm>
                      <a:off x="0" y="0"/>
                      <a:ext cx="2772075" cy="1848050"/>
                    </a:xfrm>
                    <a:prstGeom prst="rect">
                      <a:avLst/>
                    </a:prstGeom>
                    <a:noFill/>
                    <a:ln w="9525">
                      <a:noFill/>
                      <a:headEnd/>
                      <a:tailEnd/>
                    </a:ln>
                  </pic:spPr>
                </pic:pic>
              </a:graphicData>
            </a:graphic>
          </wp:inline>
        </w:drawing>
      </w:r>
    </w:p>
    <w:bookmarkEnd w:id="47"/>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8"/>
    <w:bookmarkStart w:id="51"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49">
        <w:r>
          <w:rPr>
            <w:rStyle w:val="Hyperlink"/>
          </w:rPr>
          <w:t xml:space="preserve">flextable</w:t>
        </w:r>
      </w:hyperlink>
      <w:r>
        <w:t xml:space="preserve"> </w:t>
      </w:r>
      <w:r>
        <w:t xml:space="preserve">to be the best option when I need something more complex.</w:t>
      </w:r>
    </w:p>
    <w:bookmarkStart w:id="50"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0"/>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51"/>
    <w:bookmarkStart w:id="54"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52"/>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53"/>
      </w:r>
    </w:p>
    <w:p>
      <w:pPr>
        <w:pStyle w:val="BodyText"/>
      </w:pPr>
      <w:r>
        <w:t xml:space="preserve">A regular paragraph without any indentation is not part of the footnote and will be part of the main body of the document.</w:t>
      </w:r>
    </w:p>
    <w:bookmarkEnd w:id="54"/>
    <w:bookmarkStart w:id="55"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55"/>
    <w:bookmarkEnd w:id="56"/>
    <w:bookmarkStart w:id="63"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57">
        <w:r>
          <w:rPr>
            <w:rStyle w:val="Hyperlink"/>
          </w:rPr>
          <w:t xml:space="preserve">Journal Article Reporting Standards</w:t>
        </w:r>
      </w:hyperlink>
      <w:r>
        <w:t xml:space="preserve"> </w:t>
      </w:r>
      <w:r>
        <w:t xml:space="preserve">for what is needed for your type of article.</w:t>
      </w:r>
    </w:p>
    <w:bookmarkStart w:id="58"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58"/>
    <w:bookmarkStart w:id="61"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59" w:name="measure-a"/>
    <w:p>
      <w:pPr>
        <w:pStyle w:val="Heading3"/>
      </w:pPr>
      <w:r>
        <w:t xml:space="preserve">Measure A</w:t>
      </w:r>
    </w:p>
    <w:p>
      <w:pPr>
        <w:pStyle w:val="FirstParagraph"/>
      </w:pPr>
      <w:r>
        <w:t xml:space="preserve">Describe Measure A.</w:t>
      </w:r>
    </w:p>
    <w:bookmarkEnd w:id="59"/>
    <w:bookmarkStart w:id="60"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60"/>
    <w:bookmarkEnd w:id="61"/>
    <w:bookmarkStart w:id="62" w:name="procedure"/>
    <w:p>
      <w:pPr>
        <w:pStyle w:val="Heading2"/>
      </w:pPr>
      <w:r>
        <w:t xml:space="preserve">Procedure</w:t>
      </w:r>
    </w:p>
    <w:p>
      <w:pPr>
        <w:pStyle w:val="FirstParagraph"/>
      </w:pPr>
      <w:r>
        <w:t xml:space="preserve">What did participants do? How are the data going to be analyzed?</w:t>
      </w:r>
    </w:p>
    <w:bookmarkEnd w:id="62"/>
    <w:bookmarkEnd w:id="63"/>
    <w:bookmarkStart w:id="67" w:name="results"/>
    <w:p>
      <w:pPr>
        <w:pStyle w:val="Heading1"/>
      </w:pPr>
      <w:r>
        <w:t xml:space="preserve">Results</w:t>
      </w:r>
    </w:p>
    <w:bookmarkStart w:id="66"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p>
      <w:pPr>
        <w:pStyle w:val="BodyText"/>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65" w:name="tbl-mymarkdowntable2"/>
    <w:p>
      <w:pPr>
        <w:pStyle w:val="FigureTitle"/>
      </w:pPr>
      <w:r>
        <w:t xml:space="preserve">Table 2</w:t>
      </w:r>
    </w:p>
    <w:p>
      <w:pPr>
        <w:pStyle w:val="Caption"/>
      </w:pPr>
      <w:r>
        <w:t xml:space="preserve">My Caption.</w:t>
      </w:r>
    </w:p>
    <w:bookmarkStart w:id="64"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64"/>
    <w:bookmarkEnd w:id="65"/>
    <w:p>
      <w:pPr>
        <w:pStyle w:val="FigureNote"/>
      </w:pPr>
      <w:r>
        <w:rPr>
          <w:i/>
          <w:iCs/>
        </w:rPr>
        <w:t xml:space="preserve">Note</w:t>
      </w:r>
      <w:r>
        <w:t xml:space="preserve">. My note</w:t>
      </w:r>
    </w:p>
    <w:bookmarkEnd w:id="66"/>
    <w:bookmarkEnd w:id="67"/>
    <w:bookmarkStart w:id="70" w:name="discussion"/>
    <w:p>
      <w:pPr>
        <w:pStyle w:val="Heading1"/>
      </w:pPr>
      <w:r>
        <w:t xml:space="preserve">Discussion</w:t>
      </w:r>
    </w:p>
    <w:p>
      <w:pPr>
        <w:pStyle w:val="FirstParagraph"/>
      </w:pPr>
      <w:r>
        <w:t xml:space="preserve">Describe results in non-statistical terms.</w:t>
      </w:r>
      <w:r>
        <w:t xml:space="preserve"> </w:t>
      </w:r>
    </w:p>
    <w:bookmarkStart w:id="6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8"/>
    <w:bookmarkStart w:id="69" w:name="conclusion"/>
    <w:p>
      <w:pPr>
        <w:pStyle w:val="Heading2"/>
      </w:pPr>
      <w:r>
        <w:t xml:space="preserve">Conclusion</w:t>
      </w:r>
    </w:p>
    <w:p>
      <w:pPr>
        <w:pStyle w:val="FirstParagraph"/>
      </w:pPr>
      <w:r>
        <w:t xml:space="preserve">Describe the main point of the paper.</w:t>
      </w:r>
    </w:p>
    <w:bookmarkEnd w:id="69"/>
    <w:bookmarkEnd w:id="70"/>
    <w:bookmarkStart w:id="77" w:name="references"/>
    <w:p>
      <w:pPr>
        <w:pStyle w:val="Heading1"/>
      </w:pPr>
      <w:r>
        <w:t xml:space="preserve">References</w:t>
      </w:r>
    </w:p>
    <w:bookmarkStart w:id="76" w:name="refs"/>
    <w:bookmarkStart w:id="71"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71"/>
    <w:bookmarkStart w:id="73"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72">
        <w:r>
          <w:rPr>
            <w:rStyle w:val="Hyperlink"/>
          </w:rPr>
          <w:t xml:space="preserve">https://doi.org/10.1017/CBO9781139013567</w:t>
        </w:r>
      </w:hyperlink>
    </w:p>
    <w:bookmarkEnd w:id="73"/>
    <w:bookmarkStart w:id="75"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74">
        <w:r>
          <w:rPr>
            <w:rStyle w:val="Hyperlink"/>
          </w:rPr>
          <w:t xml:space="preserve">https://psycnet.apa.org/record/2012-09043-004</w:t>
        </w:r>
      </w:hyperlink>
    </w:p>
    <w:bookmarkEnd w:id="75"/>
    <w:bookmarkEnd w:id="76"/>
    <w:p>
      <w:r>
        <w:br w:type="page"/>
      </w:r>
    </w:p>
    <w:bookmarkEnd w:id="77"/>
    <w:p>
      <w:pPr>
        <w:pStyle w:val="Heading1"/>
      </w:pPr>
      <w:r>
        <w:t xml:space="preserve">Appendix A</w:t>
      </w:r>
    </w:p>
    <w:bookmarkStart w:id="80" w:name="apx-a"/>
    <w:p>
      <w:pPr>
        <w:pStyle w:val="Heading1"/>
      </w:pPr>
      <w:r>
        <w:t xml:space="preserve">My Appendix Title</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 For example, see</w:t>
      </w:r>
      <w:r>
        <w:t xml:space="preserve"> </w:t>
      </w:r>
      <w:hyperlink w:anchor="apx-a">
        <w:r>
          <w:rPr>
            <w:rStyle w:val="Hyperlink"/>
          </w:rPr>
          <w:t xml:space="preserve">Appendix A</w:t>
        </w:r>
      </w:hyperlink>
      <w:r>
        <w:t xml:space="preserve"> </w:t>
      </w:r>
      <w:r>
        <w:t xml:space="preserve">and</w:t>
      </w:r>
      <w:r>
        <w:t xml:space="preserve"> </w:t>
      </w:r>
      <w:hyperlink w:anchor="apx-b">
        <w:r>
          <w:rPr>
            <w:rStyle w:val="Hyperlink"/>
          </w:rPr>
          <w:t xml:space="preserve">Appendix B</w:t>
        </w:r>
      </w:hyperlink>
      <w:r>
        <w:t xml:space="preserve">.</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79" w:name="tbl-letters"/>
    <w:p>
      <w:pPr>
        <w:pStyle w:val="FigureTitle"/>
      </w:pPr>
      <w:r>
        <w:t xml:space="preserve">Table A1</w:t>
      </w:r>
    </w:p>
    <w:p>
      <w:pPr>
        <w:pStyle w:val="Caption"/>
      </w:pPr>
      <w:r>
        <w:t xml:space="preserve">My Caption</w:t>
      </w:r>
    </w:p>
    <w:bookmarkStart w:id="78"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 1</w:t>
            </w:r>
          </w:p>
        </w:tc>
        <w:tc>
          <w:tcPr/>
          <w:p>
            <w:pPr>
              <w:pStyle w:val="Compact"/>
            </w:pPr>
            <w:r>
              <w:t xml:space="preserve">Col 2</w:t>
            </w:r>
          </w:p>
        </w:tc>
        <w:tc>
          <w:tcPr/>
          <w:p>
            <w:pPr>
              <w:pStyle w:val="Compact"/>
            </w:pPr>
            <w:r>
              <w:t xml:space="preserve">Col 3</w:t>
            </w:r>
          </w:p>
        </w:tc>
      </w:tr>
      <w:tr>
        <w:tc>
          <w:tcPr/>
          <w:p>
            <w:pPr>
              <w:pStyle w:val="Compact"/>
            </w:pPr>
            <w:r>
              <w:t xml:space="preserve">A</w:t>
            </w:r>
          </w:p>
        </w:tc>
        <w:tc>
          <w:tcPr/>
          <w:p>
            <w:pPr>
              <w:pStyle w:val="Compact"/>
            </w:pPr>
            <w:r>
              <w:t xml:space="preserve">B</w:t>
            </w:r>
          </w:p>
        </w:tc>
        <w:tc>
          <w:tcPr/>
          <w:p>
            <w:pPr>
              <w:pStyle w:val="Compact"/>
            </w:pPr>
            <w:r>
              <w:t xml:space="preserve">C</w:t>
            </w:r>
          </w:p>
        </w:tc>
      </w:tr>
      <w:tr>
        <w:tc>
          <w:tcPr/>
          <w:p>
            <w:pPr>
              <w:pStyle w:val="Compact"/>
            </w:pPr>
            <w:r>
              <w:t xml:space="preserve">E</w:t>
            </w:r>
          </w:p>
        </w:tc>
        <w:tc>
          <w:tcPr/>
          <w:p>
            <w:pPr>
              <w:pStyle w:val="Compact"/>
            </w:pPr>
            <w:r>
              <w:t xml:space="preserve">F</w:t>
            </w:r>
          </w:p>
        </w:tc>
        <w:tc>
          <w:tcPr/>
          <w:p>
            <w:pPr>
              <w:pStyle w:val="Compact"/>
            </w:pPr>
            <w:r>
              <w:t xml:space="preserve">G</w:t>
            </w:r>
          </w:p>
        </w:tc>
      </w:tr>
      <w:tr>
        <w:tc>
          <w:tcPr/>
          <w:p>
            <w:pPr>
              <w:pStyle w:val="Compact"/>
            </w:pPr>
            <w:r>
              <w:t xml:space="preserve">A</w:t>
            </w:r>
          </w:p>
        </w:tc>
        <w:tc>
          <w:tcPr/>
          <w:p>
            <w:pPr>
              <w:pStyle w:val="Compact"/>
            </w:pPr>
            <w:r>
              <w:t xml:space="preserve">G</w:t>
            </w:r>
          </w:p>
        </w:tc>
        <w:tc>
          <w:tcPr/>
          <w:p>
            <w:pPr>
              <w:pStyle w:val="Compact"/>
            </w:pPr>
            <w:r>
              <w:t xml:space="preserve">G</w:t>
            </w:r>
          </w:p>
        </w:tc>
      </w:tr>
    </w:tbl>
    <w:bookmarkEnd w:id="78"/>
    <w:bookmarkEnd w:id="79"/>
    <w:p>
      <w:pPr>
        <w:pStyle w:val="FigureNote"/>
      </w:pPr>
      <w:r>
        <w:rPr>
          <w:i/>
          <w:iCs/>
        </w:rPr>
        <w:t xml:space="preserve">Note</w:t>
      </w:r>
      <w:r>
        <w:t xml:space="preserve">. These are letters.</w:t>
      </w:r>
    </w:p>
    <w:p>
      <w:r>
        <w:br w:type="page"/>
      </w:r>
    </w:p>
    <w:bookmarkEnd w:id="80"/>
    <w:p>
      <w:pPr>
        <w:pStyle w:val="Heading1"/>
      </w:pPr>
      <w:r>
        <w:t xml:space="preserve">Appendix B</w:t>
      </w:r>
    </w:p>
    <w:bookmarkStart w:id="85" w:name="apx-b"/>
    <w:p>
      <w:pPr>
        <w:pStyle w:val="Heading1"/>
      </w:pPr>
      <w:r>
        <w:t xml:space="preserve">Another Appendix</w:t>
      </w:r>
    </w:p>
    <w:p>
      <w:pPr>
        <w:pStyle w:val="FirstParagraph"/>
      </w:pPr>
      <w:r>
        <w:t xml:space="preserve">See</w:t>
      </w:r>
      <w:r>
        <w:t xml:space="preserve"> </w:t>
      </w:r>
      <w:hyperlink w:anchor="fig-appendfig">
        <w:r>
          <w:rPr>
            <w:rStyle w:val="Hyperlink"/>
          </w:rPr>
          <w:t xml:space="preserve">Figure B1</w:t>
        </w:r>
      </w:hyperlink>
      <w:r>
        <w:t xml:space="preserve">, an example of an imported graphic using markdown syntax.</w:t>
      </w:r>
    </w:p>
    <w:bookmarkStart w:id="84" w:name="fig-appendfig"/>
    <w:p>
      <w:pPr>
        <w:pStyle w:val="FigureTitle"/>
      </w:pPr>
      <w:r>
        <w:t xml:space="preserve">Figure B1</w:t>
      </w:r>
    </w:p>
    <w:p>
      <w:pPr>
        <w:pStyle w:val="Caption"/>
      </w:pPr>
      <w:r>
        <w:t xml:space="preserve">Appendix Figure</w:t>
      </w:r>
    </w:p>
    <w:p>
      <w:pPr>
        <w:pStyle w:val="FigureWithNote"/>
      </w:pPr>
      <w:r>
        <w:drawing>
          <wp:inline>
            <wp:extent cx="5943600" cy="4245428"/>
            <wp:effectExtent b="0" l="0" r="0" t="0"/>
            <wp:docPr descr="" title="" id="82" name="Picture"/>
            <a:graphic>
              <a:graphicData uri="http://schemas.openxmlformats.org/drawingml/2006/picture">
                <pic:pic>
                  <pic:nvPicPr>
                    <pic:cNvPr descr="sampleimage.png" id="83" name="Picture"/>
                    <pic:cNvPicPr>
                      <a:picLocks noChangeArrowheads="1" noChangeAspect="1"/>
                    </pic:cNvPicPr>
                  </pic:nvPicPr>
                  <pic:blipFill>
                    <a:blip r:embed="rId81"/>
                    <a:stretch>
                      <a:fillRect/>
                    </a:stretch>
                  </pic:blipFill>
                  <pic:spPr bwMode="auto">
                    <a:xfrm>
                      <a:off x="0" y="0"/>
                      <a:ext cx="5943600" cy="4245428"/>
                    </a:xfrm>
                    <a:prstGeom prst="rect">
                      <a:avLst/>
                    </a:prstGeom>
                    <a:noFill/>
                    <a:ln w="9525">
                      <a:noFill/>
                      <a:headEnd/>
                      <a:tailEnd/>
                    </a:ln>
                  </pic:spPr>
                </pic:pic>
              </a:graphicData>
            </a:graphic>
          </wp:inline>
        </w:drawing>
      </w:r>
    </w:p>
    <w:bookmarkEnd w:id="84"/>
    <w:p>
      <w:pPr>
        <w:pStyle w:val="FigureNote"/>
      </w:pPr>
      <w:r>
        <w:rPr>
          <w:i/>
          <w:iCs/>
        </w:rPr>
        <w:t xml:space="preserve">Note</w:t>
      </w:r>
      <w:r>
        <w:t xml:space="preserve">. A</w:t>
      </w:r>
      <w:r>
        <w:t xml:space="preserve"> </w:t>
      </w:r>
      <w:r>
        <w:rPr>
          <w:i/>
          <w:iCs/>
        </w:rPr>
        <w:t xml:space="preserve">note</w:t>
      </w:r>
      <w:r>
        <w:t xml:space="preserve"> </w:t>
      </w:r>
      <w:r>
        <w:t xml:space="preserve">below the figure</w:t>
      </w:r>
    </w:p>
    <w:sectPr>
      <w:lnNumType w:countBy="1" w:restart="continuous"/>
    </w:sectPr>
    <w:bookmarkEnd w:id="8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Here is my short footnote!</w:t>
      </w:r>
    </w:p>
  </w:footnote>
  <w:footnote w:id="53">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21" Target="media/rId21.svg" /><Relationship Type="http://schemas.openxmlformats.org/officeDocument/2006/relationships/image" Id="rId81" Target="media/rId81.png" /><Relationship Type="http://schemas.openxmlformats.org/officeDocument/2006/relationships/hyperlink" Id="rId57" Target="https://apastyle.apa.org/jars" TargetMode="External" /><Relationship Type="http://schemas.openxmlformats.org/officeDocument/2006/relationships/hyperlink" Id="rId43"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49" Target="https://davidgohel.github.io/flextable/" TargetMode="External" /><Relationship Type="http://schemas.openxmlformats.org/officeDocument/2006/relationships/hyperlink" Id="rId72" Target="https://doi.org/10.1017/CBO9781139013567"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4" Target="https://psycnet.apa.org/record/2012-09043-004" TargetMode="External" /><Relationship Type="http://schemas.openxmlformats.org/officeDocument/2006/relationships/hyperlink" Id="rId34" Target="https://quarto.org/docs/authoring/footnotes-and-citations.html" TargetMode="External" /><Relationship Type="http://schemas.openxmlformats.org/officeDocument/2006/relationships/hyperlink" Id="rId33" Target="https://wjschne.github.io/apaquarto/writing.html#headings-in-apa-style" TargetMode="External" /><Relationship Type="http://schemas.openxmlformats.org/officeDocument/2006/relationships/hyperlink" Id="rId37" Target="https://wjschne.github.io/apaquarto/writing.html#masked-citations-for-anonymous-peer-review" TargetMode="External" /><Relationship Type="http://schemas.openxmlformats.org/officeDocument/2006/relationships/hyperlink" Id="rId35"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57" Target="https://apastyle.apa.org/jars" TargetMode="External" /><Relationship Type="http://schemas.openxmlformats.org/officeDocument/2006/relationships/hyperlink" Id="rId43"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49" Target="https://davidgohel.github.io/flextable/" TargetMode="External" /><Relationship Type="http://schemas.openxmlformats.org/officeDocument/2006/relationships/hyperlink" Id="rId72" Target="https://doi.org/10.1017/CBO9781139013567"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4" Target="https://psycnet.apa.org/record/2012-09043-004" TargetMode="External" /><Relationship Type="http://schemas.openxmlformats.org/officeDocument/2006/relationships/hyperlink" Id="rId34" Target="https://quarto.org/docs/authoring/footnotes-and-citations.html" TargetMode="External" /><Relationship Type="http://schemas.openxmlformats.org/officeDocument/2006/relationships/hyperlink" Id="rId33" Target="https://wjschne.github.io/apaquarto/writing.html#headings-in-apa-style" TargetMode="External" /><Relationship Type="http://schemas.openxmlformats.org/officeDocument/2006/relationships/hyperlink" Id="rId37" Target="https://wjschne.github.io/apaquarto/writing.html#masked-citations-for-anonymous-peer-review" TargetMode="External" /><Relationship Type="http://schemas.openxmlformats.org/officeDocument/2006/relationships/hyperlink" Id="rId35"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PROSOCIALITY</dc:description>
  <dc:language>en</dc:language>
  <cp:keywords>music, film, media, social justice, prosocial, bonding, empathy, norm activation</cp:keywords>
  <dcterms:created xsi:type="dcterms:W3CDTF">2025-05-16T16:46:04Z</dcterms:created>
  <dcterms:modified xsi:type="dcterms:W3CDTF">2025-05-16T16:46:04Z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TODO</vt:lpwstr>
  </property>
  <property fmtid="{D5CDD505-2E9C-101B-9397-08002B2CF9AE}" pid="5" name="apaauthor">
    <vt:lpwstr/>
  </property>
  <property fmtid="{D5CDD505-2E9C-101B-9397-08002B2CF9AE}" pid="6" name="apatitle">
    <vt:lpwstr>Media advocacy promotes prosociality through empathy for in-person and livestream audiences</vt:lpwstr>
  </property>
  <property fmtid="{D5CDD505-2E9C-101B-9397-08002B2CF9AE}" pid="7" name="apatitledisplay">
    <vt:lpwstr>Media advocacy promotes prosociality through empathy for in-person and livestream audiences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True</vt:lpwstr>
  </property>
  <property fmtid="{D5CDD505-2E9C-101B-9397-08002B2CF9AE}" pid="33" name="oneaffiliation">
    <vt:lpwstr>True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MEDIA ADVOCACY AND AUDIENCE PROSOCIALITY</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