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rId21.svg" ContentType="image/svg+xml"/>
  <Override PartName="/word/media/rId9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Media advocacy promotes in-person and livestream audiences’ engagement with social justice cause through empathy</w:t>
      </w:r>
    </w:p>
    <w:p>
      <w:pPr>
        <w:pStyle w:val="Author"/>
      </w:pPr>
      <w:r>
        <w:t xml:space="preserve"> </w:t>
      </w:r>
    </w:p>
    <w:p>
      <w:pPr>
        <w:pStyle w:val="Author"/>
      </w:pPr>
      <w:r>
        <w:t xml:space="preserve">Joshua L. Schlichting and Lauren K. Fink</w:t>
      </w:r>
    </w:p>
    <w:p>
      <w:pPr>
        <w:pStyle w:val="Author"/>
      </w:pPr>
      <w:r>
        <w:t xml:space="preserve">Department of Psychology, Neuroscience &amp; Behaviour, McMaster University</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Joshua L. Schlichting</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https://orcid.org/0000-0001-8239-5197</w:t>
        </w:r>
      </w:hyperlink>
    </w:p>
    <w:p>
      <w:pPr>
        <w:pStyle w:val="BodyText"/>
      </w:pPr>
      <w:r>
        <w:t xml:space="preserve">Lauren K. Fink</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https://orcid.org/0000-0001-6699-750X</w:t>
        </w:r>
      </w:hyperlink>
    </w:p>
    <w:p>
      <w:pPr>
        <w:pStyle w:val="BodyText"/>
      </w:pPr>
      <w:r>
        <w:t xml:space="preserve">The design, hypotheses, and analysis plan for study 2 were preregistered; see TODO. Data and code from this manuscript can be accessed at TODO. This article is based on the thesis completed by Schlichting (2025). The authors have no conflicts of interest to disclose. JLS was supported by a scholarship of the German Academic Exchange Service (DAAD). The authors would like to thank Allen Otte, John Lane, and Wojciech Lorenc for their artistic contribution, Innocence Canada for the provision of insights and materials, the LIVELab and BEAT Lab team for their crucial support in facilitating the live event, and Laurel Trainor and John Iversen for thoughtful comments on the project.</w:t>
      </w:r>
    </w:p>
    <w:p>
      <w:pPr>
        <w:pStyle w:val="BodyText"/>
      </w:pPr>
      <w:r>
        <w:t xml:space="preserve">Author roles were classified using the Contributor Role Taxonomy (CRediT;</w:t>
      </w:r>
      <w:r>
        <w:t xml:space="preserve"> </w:t>
      </w:r>
      <w:hyperlink r:id="rId30">
        <w:r>
          <w:rPr>
            <w:rStyle w:val="Hyperlink"/>
          </w:rPr>
          <w:t xml:space="preserve">credit.niso.org</w:t>
        </w:r>
      </w:hyperlink>
      <w:r>
        <w:t xml:space="preserve">) as follows: </w:t>
      </w:r>
      <w:r>
        <w:rPr>
          <w:i/>
          <w:iCs/>
        </w:rPr>
        <w:t xml:space="preserve">Joshua L. Schlichting</w:t>
      </w:r>
      <w:r>
        <w:rPr>
          <w:b/>
          <w:bCs/>
        </w:rPr>
        <w:t xml:space="preserve">: </w:t>
      </w:r>
      <w:r>
        <w:t xml:space="preserve">conceptualization, methodology, investigation, software, visualization, data curation, formal analysis, validation, and writing – original draft. </w:t>
      </w:r>
      <w:r>
        <w:rPr>
          <w:i/>
          <w:iCs/>
        </w:rPr>
        <w:t xml:space="preserve">Lauren K. Fink</w:t>
      </w:r>
      <w:r>
        <w:rPr>
          <w:b/>
          <w:bCs/>
        </w:rPr>
        <w:t xml:space="preserve">: </w:t>
      </w:r>
      <w:r>
        <w:t xml:space="preserve">conceptualization, methodology, investigation, funding acquisition, project administration, resources, supervision, and writing – review &amp; editing</w:t>
      </w:r>
    </w:p>
    <w:p>
      <w:pPr>
        <w:pStyle w:val="BodyText"/>
      </w:pPr>
      <w:r>
        <w:t xml:space="preserve">Correspondence concerning this article should be addressed to Lauren K. Fink, Department of Psychology, Neuroscience &amp; Behaviour, McMaster University, 1280 Main Street West, Hamilton, ON L8S 4K1, Canada</w:t>
      </w:r>
    </w:p>
    <w:p>
      <w:r>
        <w:br w:type="page"/>
      </w:r>
    </w:p>
    <w:bookmarkEnd w:id="31"/>
    <w:bookmarkStart w:id="32" w:name="abstract"/>
    <w:p>
      <w:pPr>
        <w:pStyle w:val="Heading1"/>
      </w:pPr>
      <w:r>
        <w:t xml:space="preserve">Abstract</w:t>
      </w:r>
    </w:p>
    <w:p>
      <w:pPr>
        <w:pStyle w:val="AbstractFirstParagraph"/>
      </w:pPr>
      <w:r>
        <w:t xml:space="preserve">TODO</w:t>
      </w:r>
    </w:p>
    <w:p>
      <w:pPr>
        <w:pStyle w:val="BodyText"/>
      </w:pPr>
      <w:r>
        <w:rPr>
          <w:i/>
          <w:iCs/>
        </w:rPr>
        <w:t xml:space="preserve">Keywords</w:t>
      </w:r>
      <w:r>
        <w:t xml:space="preserve">: music, film, media, social justice, prosocial, bonding, empathy, norm activation</w:t>
      </w:r>
    </w:p>
    <w:p>
      <w:r>
        <w:br w:type="page"/>
      </w:r>
    </w:p>
    <w:bookmarkEnd w:id="32"/>
    <w:bookmarkStart w:id="37" w:name="firstheader"/>
    <w:p>
      <w:pPr>
        <w:pStyle w:val="Heading1"/>
      </w:pPr>
      <w:r>
        <w:t xml:space="preserve">Media advocacy promotes in-person and livestream audiences’ engagement with social justice cause through empathy</w:t>
      </w:r>
    </w:p>
    <w:p>
      <w:pPr>
        <w:pStyle w:val="FirstParagraph"/>
      </w:pPr>
      <w:r>
        <w:t xml:space="preserve">hook regarding social injustices or PGHS</w:t>
      </w:r>
    </w:p>
    <w:bookmarkStart w:id="33" w:name="social-justice-advocacy"/>
    <w:p>
      <w:pPr>
        <w:pStyle w:val="Heading2"/>
      </w:pPr>
      <w:r>
        <w:t xml:space="preserve">Social justice advocacy</w:t>
      </w:r>
    </w:p>
    <w:p>
      <w:pPr>
        <w:pStyle w:val="FirstParagraph"/>
      </w:pPr>
      <w:r>
        <w:t xml:space="preserve">Psychological models: what does advocacy try to achieve? How? Introduce potential mediators</w:t>
      </w:r>
    </w:p>
    <w:p>
      <w:pPr>
        <w:pStyle w:val="BodyText"/>
      </w:pPr>
      <w:r>
        <w:t xml:space="preserve">increase empathy: motivation, rather than skill, to emphasize (Weisz &amp; Zaki, 2017)</w:t>
      </w:r>
    </w:p>
    <w:bookmarkEnd w:id="33"/>
    <w:bookmarkStart w:id="34" w:name="artistic-responses"/>
    <w:p>
      <w:pPr>
        <w:pStyle w:val="Heading2"/>
      </w:pPr>
      <w:r>
        <w:t xml:space="preserve">Artistic responses</w:t>
      </w:r>
    </w:p>
    <w:p>
      <w:pPr>
        <w:pStyle w:val="FirstParagraph"/>
      </w:pPr>
      <w:r>
        <w:t xml:space="preserve">film vs. music: explanatory portrayal vs. experiential immersion approach to advocate for social justice issues –&gt; film could increase reasoned awareness, music could increase perspective-taking/empathy</w:t>
      </w:r>
    </w:p>
    <w:p>
      <w:pPr>
        <w:pStyle w:val="BodyText"/>
      </w:pPr>
      <w:r>
        <w:t xml:space="preserve">music has been related to closeness</w:t>
      </w:r>
    </w:p>
    <w:bookmarkEnd w:id="34"/>
    <w:bookmarkStart w:id="35" w:name="collective-aspects"/>
    <w:p>
      <w:pPr>
        <w:pStyle w:val="Heading2"/>
      </w:pPr>
      <w:r>
        <w:t xml:space="preserve">Collective aspects</w:t>
      </w:r>
    </w:p>
    <w:p>
      <w:pPr>
        <w:pStyle w:val="FirstParagraph"/>
      </w:pPr>
      <w:r>
        <w:t xml:space="preserve">in-person event: social contagion/collective action with performers (music only) or audience members (film and music) could enhance effects</w:t>
      </w:r>
    </w:p>
    <w:bookmarkEnd w:id="35"/>
    <w:bookmarkStart w:id="36" w:name="the-present-studies"/>
    <w:p>
      <w:pPr>
        <w:pStyle w:val="Heading2"/>
      </w:pPr>
      <w:r>
        <w:t xml:space="preserve">The present studies</w:t>
      </w:r>
    </w:p>
    <w:p>
      <w:pPr>
        <w:pStyle w:val="FirstParagraph"/>
      </w:pPr>
      <w:r>
        <w:t xml:space="preserve">Hypotheses</w:t>
      </w:r>
    </w:p>
    <w:p>
      <w:pPr>
        <w:pStyle w:val="BodyText"/>
      </w:pPr>
      <w:r>
        <w:t xml:space="preserve">Study 1</w:t>
      </w:r>
    </w:p>
    <w:p>
      <w:pPr>
        <w:pStyle w:val="BodyText"/>
      </w:pPr>
      <w:r>
        <w:t xml:space="preserve">Study 2</w:t>
      </w:r>
    </w:p>
    <w:bookmarkEnd w:id="36"/>
    <w:bookmarkEnd w:id="37"/>
    <w:bookmarkStart w:id="41" w:name="study-1"/>
    <w:p>
      <w:pPr>
        <w:pStyle w:val="Heading1"/>
      </w:pPr>
      <w:r>
        <w:t xml:space="preserve">Study 1</w:t>
      </w:r>
    </w:p>
    <w:p>
      <w:pPr>
        <w:pStyle w:val="FirstParagraph"/>
      </w:pPr>
      <w:r>
        <w:t xml:space="preserve">1 introductory paragraph</w:t>
      </w:r>
    </w:p>
    <w:bookmarkStart w:id="38" w:name="method"/>
    <w:p>
      <w:pPr>
        <w:pStyle w:val="Heading2"/>
      </w:pPr>
      <w:r>
        <w:t xml:space="preserve">Method</w:t>
      </w:r>
    </w:p>
    <w:bookmarkEnd w:id="38"/>
    <w:bookmarkStart w:id="39" w:name="results"/>
    <w:p>
      <w:pPr>
        <w:pStyle w:val="Heading2"/>
      </w:pPr>
      <w:r>
        <w:t xml:space="preserve">Results</w:t>
      </w:r>
    </w:p>
    <w:bookmarkEnd w:id="39"/>
    <w:bookmarkStart w:id="40" w:name="discussion"/>
    <w:p>
      <w:pPr>
        <w:pStyle w:val="Heading2"/>
      </w:pPr>
      <w:r>
        <w:t xml:space="preserve">Discussion</w:t>
      </w:r>
    </w:p>
    <w:p>
      <w:pPr>
        <w:pStyle w:val="FirstParagraph"/>
      </w:pPr>
      <w:r>
        <w:t xml:space="preserve">2 paragraphs</w:t>
      </w:r>
    </w:p>
    <w:bookmarkEnd w:id="40"/>
    <w:bookmarkEnd w:id="41"/>
    <w:bookmarkStart w:id="45" w:name="study-2"/>
    <w:p>
      <w:pPr>
        <w:pStyle w:val="Heading1"/>
      </w:pPr>
      <w:r>
        <w:t xml:space="preserve">Study 2</w:t>
      </w:r>
    </w:p>
    <w:p>
      <w:pPr>
        <w:pStyle w:val="FirstParagraph"/>
      </w:pPr>
      <w:r>
        <w:t xml:space="preserve">1 introductory paragraph: explain relation to hypotheses, gap of study 1, and how study 2 fills the gap (procedure)</w:t>
      </w:r>
    </w:p>
    <w:bookmarkStart w:id="42" w:name="method-1"/>
    <w:p>
      <w:pPr>
        <w:pStyle w:val="Heading2"/>
      </w:pPr>
      <w:r>
        <w:t xml:space="preserve">Method</w:t>
      </w:r>
    </w:p>
    <w:bookmarkEnd w:id="42"/>
    <w:bookmarkStart w:id="43" w:name="results-1"/>
    <w:p>
      <w:pPr>
        <w:pStyle w:val="Heading2"/>
      </w:pPr>
      <w:r>
        <w:t xml:space="preserve">Results</w:t>
      </w:r>
    </w:p>
    <w:bookmarkEnd w:id="43"/>
    <w:bookmarkStart w:id="44" w:name="discussion-1"/>
    <w:p>
      <w:pPr>
        <w:pStyle w:val="Heading2"/>
      </w:pPr>
      <w:r>
        <w:t xml:space="preserve">Discussion</w:t>
      </w:r>
    </w:p>
    <w:bookmarkEnd w:id="44"/>
    <w:bookmarkEnd w:id="45"/>
    <w:bookmarkStart w:id="68" w:name="general-discussion"/>
    <w:p>
      <w:pPr>
        <w:pStyle w:val="Heading1"/>
      </w:pPr>
      <w:r>
        <w:t xml:space="preserve">General Discussion</w:t>
      </w:r>
    </w:p>
    <w:bookmarkStart w:id="48" w:name="citations"/>
    <w:p>
      <w:pPr>
        <w:pStyle w:val="Heading2"/>
      </w:pPr>
      <w:r>
        <w:t xml:space="preserve">Citations</w:t>
      </w:r>
    </w:p>
    <w:p>
      <w:pPr>
        <w:pStyle w:val="FirstParagraph"/>
      </w:pPr>
      <w:r>
        <w:t xml:space="preserve">See</w:t>
      </w:r>
      <w:r>
        <w:t xml:space="preserve"> </w:t>
      </w:r>
      <w:hyperlink r:id="rId46">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w:t>
      </w:r>
      <w:hyperlink w:anchor="ref-CameronTrivedi2013">
        <w:r>
          <w:rPr>
            <w:rStyle w:val="Hyperlink"/>
          </w:rPr>
          <w:t xml:space="preserve">Cameron &amp; Trivedi, 2013</w:t>
        </w:r>
      </w:hyperlink>
      <w:r>
        <w:t xml:space="preserve">)</w:t>
      </w:r>
      <w:r>
        <w:t xml:space="preserve">. This reference was in my bibliography file. An in-text citation is done like so:</w:t>
      </w:r>
    </w:p>
    <w:p>
      <w:pPr>
        <w:pStyle w:val="BodyText"/>
      </w:pPr>
      <w:r>
        <w:t xml:space="preserve">Cameron and Trivedi (</w:t>
      </w:r>
      <w:hyperlink w:anchor="ref-CameronTrivedi2013">
        <w:r>
          <w:rPr>
            <w:rStyle w:val="Hyperlink"/>
          </w:rPr>
          <w:t xml:space="preserve">2013</w:t>
        </w:r>
      </w:hyperlink>
      <w:r>
        <w:t xml:space="preserve">)</w:t>
      </w:r>
      <w:r>
        <w:t xml:space="preserve"> </w:t>
      </w:r>
      <w:r>
        <w:t xml:space="preserve">make some important points …</w:t>
      </w:r>
    </w:p>
    <w:p>
      <w:pPr>
        <w:pStyle w:val="BodyText"/>
      </w:pPr>
      <w:r>
        <w:t xml:space="preserve">See</w:t>
      </w:r>
      <w:r>
        <w:t xml:space="preserve"> </w:t>
      </w:r>
      <w:hyperlink r:id="rId47">
        <w:r>
          <w:rPr>
            <w:rStyle w:val="Hyperlink"/>
          </w:rPr>
          <w:t xml:space="preserve">here</w:t>
        </w:r>
      </w:hyperlink>
      <w:r>
        <w:t xml:space="preserve"> </w:t>
      </w:r>
      <w:r>
        <w:t xml:space="preserve">for explanations, examples, and citation features exclusive to apaquarto. For example, apaquarto can automatically handle possessive citations:</w:t>
      </w:r>
    </w:p>
    <w:p>
      <w:pPr>
        <w:pStyle w:val="BodyText"/>
      </w:pPr>
      <w:r>
        <w:t xml:space="preserve">Schneider and McGrew’s (</w:t>
      </w:r>
      <w:hyperlink w:anchor="ref-schneider2012cattell">
        <w:r>
          <w:rPr>
            <w:rStyle w:val="Hyperlink"/>
          </w:rPr>
          <w:t xml:space="preserve">2012</w:t>
        </w:r>
      </w:hyperlink>
      <w:r>
        <w:t xml:space="preserve">)</w:t>
      </w:r>
      <w:r>
        <w:t xml:space="preserve"> </w:t>
      </w:r>
      <w:r>
        <w:t xml:space="preserve">position was …</w:t>
      </w:r>
    </w:p>
    <w:bookmarkEnd w:id="48"/>
    <w:bookmarkStart w:id="50"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49">
        <w:r>
          <w:rPr>
            <w:rStyle w:val="Hyperlink"/>
          </w:rPr>
          <w:t xml:space="preserve">here</w:t>
        </w:r>
      </w:hyperlink>
      <w:r>
        <w:t xml:space="preserve"> </w:t>
      </w:r>
      <w:r>
        <w:t xml:space="preserve">for more information.</w:t>
      </w:r>
    </w:p>
    <w:bookmarkEnd w:id="50"/>
    <w:bookmarkStart w:id="51" w:name="block-quotes"/>
    <w:p>
      <w:pPr>
        <w:pStyle w:val="Heading2"/>
      </w:pPr>
      <w:r>
        <w:t xml:space="preserve">Block Quotes</w:t>
      </w:r>
    </w:p>
    <w:p>
      <w:pPr>
        <w:pStyle w:val="FirstParagraph"/>
      </w:pPr>
      <w:r>
        <w:t xml:space="preserve">Sometimes you want to give a longer quote that needs to go in its own paragraph. Block quotes are on their own line starting with the &gt; character. For example,</w:t>
      </w:r>
      <w:r>
        <w:t xml:space="preserve"> </w:t>
      </w:r>
      <w:r>
        <w:t xml:space="preserve">Austen’s (</w:t>
      </w:r>
      <w:hyperlink w:anchor="ref-austenMansfieldPark1990">
        <w:r>
          <w:rPr>
            <w:rStyle w:val="Hyperlink"/>
          </w:rPr>
          <w:t xml:space="preserve">1814/1990</w:t>
        </w:r>
      </w:hyperlink>
      <w:r>
        <w:t xml:space="preserve">)</w:t>
      </w:r>
      <w:r>
        <w:t xml:space="preserve"> </w:t>
      </w:r>
      <w:r>
        <w:rPr>
          <w:i/>
          <w:iCs/>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bookmarkEnd w:id="51"/>
    <w:bookmarkStart w:id="54" w:name="math-and-equations"/>
    <w:p>
      <w:pPr>
        <w:pStyle w:val="Heading2"/>
      </w:pPr>
      <w:r>
        <w:t xml:space="preserve">Math and Equations</w:t>
      </w:r>
    </w:p>
    <w:p>
      <w:pPr>
        <w:pStyle w:val="FirstParagraph"/>
      </w:pPr>
      <w:r>
        <w:t xml:space="preserve">Inline math uses LaTeX syntax with single dollar signs. For example, the reliability coefficient of my measure is</w:t>
      </w:r>
      <w:r>
        <w:t xml:space="preserve"> </w:t>
      </w:r>
      <m:oMath>
        <m:sSub>
          <m:e>
            <m:r>
              <m:t>r</m:t>
            </m:r>
          </m:e>
          <m:sub>
            <m:r>
              <m:t>X</m:t>
            </m:r>
            <m:r>
              <m:t>X</m:t>
            </m:r>
          </m:sub>
        </m:sSub>
        <m:r>
          <m:rPr>
            <m:sty m:val="p"/>
          </m:rPr>
          <m:t>=</m:t>
        </m:r>
        <m:r>
          <m:t>.95</m:t>
        </m:r>
      </m:oMath>
      <w:r>
        <w:t xml:space="preserve">.</w:t>
      </w:r>
    </w:p>
    <w:p>
      <w:pPr>
        <w:pStyle w:val="BodyText"/>
      </w:pPr>
      <w:r>
        <w:t xml:space="preserve">If you want to display and refer to a specific formula, enclose the formula in two dollar signs. After the second pair of dollar signs, place the label in curly braces. The label should have an</w:t>
      </w:r>
      <w:r>
        <w:t xml:space="preserve"> </w:t>
      </w:r>
      <w:r>
        <w:rPr>
          <w:rStyle w:val="VerbatimChar"/>
        </w:rPr>
        <w:t xml:space="preserve">#eq-</w:t>
      </w:r>
      <w:r>
        <w:t xml:space="preserve"> </w:t>
      </w:r>
      <w:r>
        <w:t xml:space="preserve">prefix. To refer to the formula, use the same label but with the</w:t>
      </w:r>
      <w:r>
        <w:t xml:space="preserve"> </w:t>
      </w:r>
      <w:r>
        <w:rPr>
          <w:rStyle w:val="VerbatimChar"/>
        </w:rPr>
        <w:t xml:space="preserve">@</w:t>
      </w:r>
      <w:r>
        <w:t xml:space="preserve"> </w:t>
      </w:r>
      <w:r>
        <w:t xml:space="preserve">symbol. For example,</w:t>
      </w:r>
      <w:r>
        <w:t xml:space="preserve"> </w:t>
      </w:r>
      <w:hyperlink w:anchor="eq-euler">
        <w:r>
          <w:rPr>
            <w:rStyle w:val="Hyperlink"/>
          </w:rPr>
          <w:t xml:space="preserve">Equation 1</w:t>
        </w:r>
      </w:hyperlink>
      <w:r>
        <w:t xml:space="preserve"> </w:t>
      </w:r>
      <w:r>
        <w:t xml:space="preserve">is Euler’s Identity, which is much admired for its elegance.</w:t>
      </w:r>
    </w:p>
    <w:p>
      <w:pPr>
        <w:pStyle w:val="BodyText"/>
      </w:pPr>
      <w:bookmarkStart w:id="52" w:name="eq-euler"/>
      <m:oMathPara>
        <m:oMathParaPr>
          <m:jc m:val="center"/>
        </m:oMathParaPr>
        <m:oMath>
          <m:sSup>
            <m:e>
              <m:r>
                <m:t>e</m:t>
              </m:r>
            </m:e>
            <m:sup>
              <m:r>
                <m:t>i</m:t>
              </m:r>
              <m:r>
                <m:t>π</m:t>
              </m:r>
            </m:sup>
          </m:sSup>
          <m:r>
            <m:rPr>
              <m:sty m:val="p"/>
            </m:rPr>
            <m:t>+</m:t>
          </m:r>
          <m:r>
            <m:t>1</m:t>
          </m:r>
          <m:r>
            <m:rPr>
              <m:sty m:val="p"/>
            </m:rPr>
            <m:t>=</m:t>
          </m:r>
          <m:r>
            <m:t>0</m:t>
          </m:r>
          <m:r>
            <m:t>  </m:t>
          </m:r>
          <m:d>
            <m:dPr>
              <m:begChr m:val="("/>
              <m:endChr m:val=")"/>
              <m:sepChr m:val=""/>
              <m:grow/>
            </m:dPr>
            <m:e>
              <m:r>
                <m:t>1</m:t>
              </m:r>
            </m:e>
          </m:d>
        </m:oMath>
      </m:oMathPara>
      <w:bookmarkEnd w:id="52"/>
    </w:p>
    <w:p>
      <w:pPr>
        <w:pStyle w:val="FirstParagraph"/>
      </w:pPr>
      <w:r>
        <w:t xml:space="preserve">A more practical example is the z-score equation seen in</w:t>
      </w:r>
      <w:r>
        <w:t xml:space="preserve"> </w:t>
      </w:r>
      <w:hyperlink w:anchor="eq-zscore">
        <w:r>
          <w:rPr>
            <w:rStyle w:val="Hyperlink"/>
          </w:rPr>
          <w:t xml:space="preserve">Equation 2</w:t>
        </w:r>
      </w:hyperlink>
      <w:r>
        <w:t xml:space="preserve">.</w:t>
      </w:r>
    </w:p>
    <w:p>
      <w:pPr>
        <w:pStyle w:val="BodyText"/>
      </w:pPr>
      <w:bookmarkStart w:id="53" w:name="eq-zscore"/>
      <m:oMathPara>
        <m:oMathParaPr>
          <m:jc m:val="center"/>
        </m:oMathParaPr>
        <m:oMath>
          <m:r>
            <m:t>z</m:t>
          </m:r>
          <m:r>
            <m:rPr>
              <m:sty m:val="p"/>
            </m:rPr>
            <m:t>=</m:t>
          </m:r>
          <m:f>
            <m:fPr>
              <m:type m:val="bar"/>
            </m:fPr>
            <m:num>
              <m:r>
                <m:t>X</m:t>
              </m:r>
              <m:r>
                <m:rPr>
                  <m:sty m:val="p"/>
                </m:rPr>
                <m:t>−</m:t>
              </m:r>
              <m:r>
                <m:t>μ</m:t>
              </m:r>
            </m:num>
            <m:den>
              <m:r>
                <m:t>σ</m:t>
              </m:r>
            </m:den>
          </m:f>
          <m:r>
            <m:t>  </m:t>
          </m:r>
          <m:d>
            <m:dPr>
              <m:begChr m:val="("/>
              <m:endChr m:val=")"/>
              <m:sepChr m:val=""/>
              <m:grow/>
            </m:dPr>
            <m:e>
              <m:r>
                <m:t>2</m:t>
              </m:r>
            </m:e>
          </m:d>
        </m:oMath>
      </m:oMathPara>
      <w:bookmarkEnd w:id="53"/>
    </w:p>
    <w:p>
      <w:pPr>
        <w:pStyle w:val="FirstParagraph"/>
      </w:pPr>
      <w:r>
        <w:t xml:space="preserve">If no identifier label is given, a centered equation in display mode will have no identifying number:</w:t>
      </w:r>
    </w:p>
    <w:p>
      <w:pPr>
        <w:pStyle w:val="BodyText"/>
      </w:pPr>
      <m:oMathPara>
        <m:oMathParaPr>
          <m:jc m:val="center"/>
        </m:oMathParaPr>
        <m:oMath>
          <m:sSub>
            <m:e>
              <m:r>
                <m:t>σ</m:t>
              </m:r>
            </m:e>
            <m:sub>
              <m:r>
                <m:t>e</m:t>
              </m:r>
            </m:sub>
          </m:sSub>
          <m:r>
            <m:rPr>
              <m:sty m:val="p"/>
            </m:rPr>
            <m:t>=</m:t>
          </m:r>
          <m:sSub>
            <m:e>
              <m:r>
                <m:t>σ</m:t>
              </m:r>
            </m:e>
            <m:sub>
              <m:r>
                <m:t>y</m:t>
              </m:r>
            </m:sub>
          </m:sSub>
          <m:rad>
            <m:radPr>
              <m:degHide m:val="on"/>
            </m:radPr>
            <m:deg/>
            <m:e>
              <m:r>
                <m:t>1</m:t>
              </m:r>
              <m:r>
                <m:rPr>
                  <m:sty m:val="p"/>
                </m:rPr>
                <m:t>−</m:t>
              </m:r>
              <m:sSubSup>
                <m:e>
                  <m:r>
                    <m:t>r</m:t>
                  </m:r>
                </m:e>
                <m:sub>
                  <m:r>
                    <m:t>x</m:t>
                  </m:r>
                  <m:r>
                    <m:t>y</m:t>
                  </m:r>
                </m:sub>
                <m:sup>
                  <m:r>
                    <m:t>2</m:t>
                  </m:r>
                </m:sup>
              </m:sSubSup>
            </m:e>
          </m:rad>
        </m:oMath>
      </m:oMathPara>
    </w:p>
    <w:bookmarkEnd w:id="54"/>
    <w:bookmarkStart w:id="60" w:name="displaying-figures"/>
    <w:p>
      <w:pPr>
        <w:pStyle w:val="Heading2"/>
      </w:pPr>
      <w:r>
        <w:t xml:space="preserve">Displaying Figures</w:t>
      </w:r>
    </w:p>
    <w:p>
      <w:pPr>
        <w:pStyle w:val="FirstParagraph"/>
      </w:pPr>
      <w:r>
        <w:t xml:space="preserve">Do you want the tables and figures to be at the end of the document? You can set the</w:t>
      </w:r>
      <w:r>
        <w:t xml:space="preserve"> </w:t>
      </w:r>
      <w:r>
        <w:rPr>
          <w:rStyle w:val="VerbatimChar"/>
        </w:rPr>
        <w:t xml:space="preserve">floatsintext</w:t>
      </w:r>
      <w:r>
        <w:t xml:space="preserve"> </w:t>
      </w:r>
      <w:r>
        <w:t xml:space="preserve">option to false. The reference labels will work no matter where they are in the text.</w:t>
      </w:r>
    </w:p>
    <w:p>
      <w:pPr>
        <w:pStyle w:val="BodyText"/>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55">
        <w:r>
          <w:rPr>
            <w:rStyle w:val="Hyperlink"/>
          </w:rPr>
          <w:t xml:space="preserve">title case</w:t>
        </w:r>
      </w:hyperlink>
      <w:r>
        <w:t xml:space="preserve">.</w:t>
      </w:r>
    </w:p>
    <w:bookmarkStart w:id="59" w:name="fig-myplot"/>
    <w:p>
      <w:pPr>
        <w:pStyle w:val="FigureTitle"/>
      </w:pPr>
      <w:r>
        <w:t xml:space="preserve">Figure 1</w:t>
      </w:r>
    </w:p>
    <w:p>
      <w:pPr>
        <w:pStyle w:val="Caption"/>
      </w:pPr>
      <w:r>
        <w:t xml:space="preserve">The Figure Caption</w:t>
      </w:r>
    </w:p>
    <w:p>
      <w:pPr>
        <w:pStyle w:val="FigureWithNote"/>
      </w:pPr>
      <w:r>
        <w:drawing>
          <wp:inline>
            <wp:extent cx="2772075" cy="1848050"/>
            <wp:effectExtent b="0" l="0" r="0" t="0"/>
            <wp:docPr descr="" title="" id="57" name="Picture"/>
            <a:graphic>
              <a:graphicData uri="http://schemas.openxmlformats.org/drawingml/2006/picture">
                <pic:pic>
                  <pic:nvPicPr>
                    <pic:cNvPr descr="Innocents_Prosociality_Manuscript_files/figure-docx/fig-myplot-1.png" id="58" name="Picture"/>
                    <pic:cNvPicPr>
                      <a:picLocks noChangeArrowheads="1" noChangeAspect="1"/>
                    </pic:cNvPicPr>
                  </pic:nvPicPr>
                  <pic:blipFill>
                    <a:blip r:embed="rId56"/>
                    <a:stretch>
                      <a:fillRect/>
                    </a:stretch>
                  </pic:blipFill>
                  <pic:spPr bwMode="auto">
                    <a:xfrm>
                      <a:off x="0" y="0"/>
                      <a:ext cx="2772075" cy="1848050"/>
                    </a:xfrm>
                    <a:prstGeom prst="rect">
                      <a:avLst/>
                    </a:prstGeom>
                    <a:noFill/>
                    <a:ln w="9525">
                      <a:noFill/>
                      <a:headEnd/>
                      <a:tailEnd/>
                    </a:ln>
                  </pic:spPr>
                </pic:pic>
              </a:graphicData>
            </a:graphic>
          </wp:inline>
        </w:drawing>
      </w:r>
    </w:p>
    <w:bookmarkEnd w:id="59"/>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60"/>
    <w:bookmarkStart w:id="63"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61">
        <w:r>
          <w:rPr>
            <w:rStyle w:val="Hyperlink"/>
          </w:rPr>
          <w:t xml:space="preserve">flextable</w:t>
        </w:r>
      </w:hyperlink>
      <w:r>
        <w:t xml:space="preserve"> </w:t>
      </w:r>
      <w:r>
        <w:t xml:space="preserve">to be the best option when I need something more complex.</w:t>
      </w:r>
    </w:p>
    <w:bookmarkStart w:id="62"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62"/>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bookmarkEnd w:id="63"/>
    <w:bookmarkStart w:id="66" w:name="footnotes"/>
    <w:p>
      <w:pPr>
        <w:pStyle w:val="Heading2"/>
      </w:pPr>
      <w:r>
        <w:t xml:space="preserve">Footnotes</w:t>
      </w:r>
    </w:p>
    <w:p>
      <w:pPr>
        <w:pStyle w:val="FirstParagraph"/>
      </w:pPr>
      <w:r>
        <w:t xml:space="preserve">A footnote is usually displayed at the bottom of the page on which the footnote occurs. A short note can be specified with the</w:t>
      </w:r>
      <w:r>
        <w:t xml:space="preserve"> </w:t>
      </w:r>
      <w:r>
        <w:rPr>
          <w:rStyle w:val="VerbatimChar"/>
        </w:rPr>
        <w:t xml:space="preserve">^[My note here]</w:t>
      </w:r>
      <w:r>
        <w:t xml:space="preserve"> </w:t>
      </w:r>
      <w:r>
        <w:t xml:space="preserve">syntax.</w:t>
      </w:r>
      <w:r>
        <w:rPr>
          <w:rStyle w:val="FootnoteReference"/>
        </w:rPr>
        <w:footnoteReference w:id="64"/>
      </w:r>
      <w:r>
        <w:t xml:space="preserve"> </w:t>
      </w:r>
      <w:r>
        <w:t xml:space="preserve">A longer note can be specified with the</w:t>
      </w:r>
      <w:r>
        <w:t xml:space="preserve"> </w:t>
      </w:r>
      <w:r>
        <w:rPr>
          <w:rStyle w:val="VerbatimChar"/>
        </w:rPr>
        <w:t xml:space="preserve">[^id]</w:t>
      </w:r>
      <w:r>
        <w:t xml:space="preserve"> </w:t>
      </w:r>
      <w:r>
        <w:t xml:space="preserve">syntax with the text specified on a separate line like so</w:t>
      </w:r>
      <w:r>
        <w:t xml:space="preserve"> </w:t>
      </w:r>
      <w:r>
        <w:rPr>
          <w:rStyle w:val="VerbatimChar"/>
        </w:rPr>
        <w:t xml:space="preserve">[^id]: Text here</w:t>
      </w:r>
      <w:r>
        <w:t xml:space="preserve">.</w:t>
      </w:r>
      <w:r>
        <w:rPr>
          <w:rStyle w:val="FootnoteReference"/>
        </w:rPr>
        <w:footnoteReference w:id="65"/>
      </w:r>
    </w:p>
    <w:p>
      <w:pPr>
        <w:pStyle w:val="BodyText"/>
      </w:pPr>
      <w:r>
        <w:t xml:space="preserve">A regular paragraph without any indentation is not part of the footnote and will be part of the main body of the document.</w:t>
      </w:r>
    </w:p>
    <w:bookmarkEnd w:id="66"/>
    <w:bookmarkStart w:id="67"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67"/>
    <w:bookmarkEnd w:id="68"/>
    <w:bookmarkStart w:id="75" w:name="method-2"/>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69">
        <w:r>
          <w:rPr>
            <w:rStyle w:val="Hyperlink"/>
          </w:rPr>
          <w:t xml:space="preserve">Journal Article Reporting Standards</w:t>
        </w:r>
      </w:hyperlink>
      <w:r>
        <w:t xml:space="preserve"> </w:t>
      </w:r>
      <w:r>
        <w:t xml:space="preserve">for what is needed for your type of article.</w:t>
      </w:r>
    </w:p>
    <w:bookmarkStart w:id="70"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70"/>
    <w:bookmarkStart w:id="73" w:name="measures"/>
    <w:p>
      <w:pPr>
        <w:pStyle w:val="Heading2"/>
      </w:pPr>
      <w:r>
        <w:t xml:space="preserve">Measures</w:t>
      </w:r>
    </w:p>
    <w:p>
      <w:pPr>
        <w:pStyle w:val="FirstParagraph"/>
      </w:pPr>
      <w:r>
        <w:t xml:space="preserve">This section can also be titled</w:t>
      </w:r>
      <w:r>
        <w:t xml:space="preserve"> </w:t>
      </w:r>
      <w:r>
        <w:rPr>
          <w:b/>
          <w:bCs/>
        </w:rPr>
        <w:t xml:space="preserve">Materials</w:t>
      </w:r>
      <w:r>
        <w:t xml:space="preserve"> </w:t>
      </w:r>
      <w:r>
        <w:t xml:space="preserve">or</w:t>
      </w:r>
      <w:r>
        <w:t xml:space="preserve"> </w:t>
      </w:r>
      <w:r>
        <w:rPr>
          <w:b/>
          <w:bCs/>
        </w:rPr>
        <w:t xml:space="preserve">Apparatus</w:t>
      </w:r>
      <w:r>
        <w:t xml:space="preserve">. Whatever tools, equipment, or measurement devices used in the study should be described.</w:t>
      </w:r>
    </w:p>
    <w:bookmarkStart w:id="71" w:name="measure-a"/>
    <w:p>
      <w:pPr>
        <w:pStyle w:val="Heading3"/>
      </w:pPr>
      <w:r>
        <w:t xml:space="preserve">Measure A</w:t>
      </w:r>
    </w:p>
    <w:p>
      <w:pPr>
        <w:pStyle w:val="FirstParagraph"/>
      </w:pPr>
      <w:r>
        <w:t xml:space="preserve">Describe Measure A.</w:t>
      </w:r>
    </w:p>
    <w:bookmarkEnd w:id="71"/>
    <w:bookmarkStart w:id="72" w:name="measure-b"/>
    <w:p>
      <w:pPr>
        <w:pStyle w:val="Heading3"/>
      </w:pPr>
      <w:r>
        <w:t xml:space="preserve">Measure B</w:t>
      </w:r>
    </w:p>
    <w:p>
      <w:pPr>
        <w:pStyle w:val="FirstParagraph"/>
      </w:pPr>
      <w:r>
        <w:t xml:space="preserve">Describe Measure B.</w:t>
      </w:r>
    </w:p>
    <w:p>
      <w:pPr>
        <w:pStyle w:val="Heading4"/>
        <w:rPr>
          <w:vanish/>
          <w:specVanish/>
        </w:rPr>
      </w:pPr>
      <w:r>
        <w:t>Subscale B1.</w:t>
      </w:r>
      <w:r>
        <w:t xml:space="preserve"> </w:t>
      </w:r>
    </w:p>
    <w:p>
      <w:pPr>
        <w:pStyle w:val="BodyText"/>
      </w:pPr>
      <w:r>
        <w:t xml:space="preserve">A paragraph after a 4th-level header will appear on the same line as the header.</w:t>
      </w:r>
    </w:p>
    <w:p>
      <w:pPr>
        <w:pStyle w:val="Heading4"/>
        <w:rPr>
          <w:vanish/>
          <w:specVanish/>
        </w:rPr>
      </w:pPr>
      <w:r>
        <w:t>Subscale B2.</w:t>
      </w:r>
      <w:r>
        <w:t xml:space="preserve"> </w:t>
      </w:r>
    </w:p>
    <w:p>
      <w:pPr>
        <w:pStyle w:val="BodyText"/>
      </w:pPr>
      <w:r>
        <w:t xml:space="preserve">A paragraph after a 4th-level header will appear on the same line as the header.</w:t>
      </w:r>
    </w:p>
    <w:p>
      <w:pPr>
        <w:pStyle w:val="Heading5"/>
        <w:rPr>
          <w:vanish/>
          <w:specVanish/>
        </w:rPr>
      </w:pPr>
      <w:r>
        <w:t>Subscale B2a.</w:t>
      </w:r>
      <w:r>
        <w:t xml:space="preserve"> </w:t>
      </w:r>
    </w:p>
    <w:p>
      <w:pPr>
        <w:pStyle w:val="BodyText"/>
      </w:pPr>
      <w:r>
        <w:t xml:space="preserve">A paragraph after a 5th-level header will appear on the same line as the header.</w:t>
      </w:r>
    </w:p>
    <w:p>
      <w:pPr>
        <w:pStyle w:val="Heading5"/>
        <w:rPr>
          <w:vanish/>
          <w:specVanish/>
        </w:rPr>
      </w:pPr>
      <w:r>
        <w:t>Subscale B2b.</w:t>
      </w:r>
      <w:r>
        <w:t xml:space="preserve"> </w:t>
      </w:r>
    </w:p>
    <w:p>
      <w:pPr>
        <w:pStyle w:val="BodyText"/>
      </w:pPr>
      <w:r>
        <w:t xml:space="preserve">A paragraph after a 5th-level header will appear on the same line as the header.</w:t>
      </w:r>
    </w:p>
    <w:bookmarkEnd w:id="72"/>
    <w:bookmarkEnd w:id="73"/>
    <w:bookmarkStart w:id="74" w:name="procedure"/>
    <w:p>
      <w:pPr>
        <w:pStyle w:val="Heading2"/>
      </w:pPr>
      <w:r>
        <w:t xml:space="preserve">Procedure</w:t>
      </w:r>
    </w:p>
    <w:p>
      <w:pPr>
        <w:pStyle w:val="FirstParagraph"/>
      </w:pPr>
      <w:r>
        <w:t xml:space="preserve">What did participants do? How are the data going to be analyzed?</w:t>
      </w:r>
    </w:p>
    <w:bookmarkEnd w:id="74"/>
    <w:bookmarkEnd w:id="75"/>
    <w:bookmarkStart w:id="79" w:name="results-2"/>
    <w:p>
      <w:pPr>
        <w:pStyle w:val="Heading1"/>
      </w:pPr>
      <w:r>
        <w:t xml:space="preserve">Results</w:t>
      </w:r>
    </w:p>
    <w:bookmarkStart w:id="78" w:name="descriptive-statistics"/>
    <w:p>
      <w:pPr>
        <w:pStyle w:val="Heading2"/>
      </w:pPr>
      <w:r>
        <w:t xml:space="preserve">Descriptive Statistics</w:t>
      </w:r>
    </w:p>
    <w:p>
      <w:pPr>
        <w:pStyle w:val="FirstParagraph"/>
      </w:pPr>
      <w:r>
        <w:t xml:space="preserve">Describe the basic characteristics of the primary variables. My ideal is to describe the variables well enough that someone conducting a meta-analysis can include the study without needing to ask for additional information.</w:t>
      </w:r>
    </w:p>
    <w:p>
      <w:pPr>
        <w:pStyle w:val="BodyText"/>
      </w:pPr>
      <w:hyperlink w:anchor="tbl-mymarkdowntable2">
        <w:r>
          <w:rPr>
            <w:rStyle w:val="Hyperlink"/>
          </w:rPr>
          <w:t xml:space="preserve">Table 2</w:t>
        </w:r>
      </w:hyperlink>
      <w:r>
        <w:t xml:space="preserve"> </w:t>
      </w:r>
      <w:r>
        <w:t xml:space="preserve">is an example of a plain markdown table. Note the that the caption begins with a colon.</w:t>
      </w:r>
    </w:p>
    <w:bookmarkStart w:id="77" w:name="tbl-mymarkdowntable2"/>
    <w:p>
      <w:pPr>
        <w:pStyle w:val="FigureTitle"/>
      </w:pPr>
      <w:r>
        <w:t xml:space="preserve">Table 2</w:t>
      </w:r>
    </w:p>
    <w:p>
      <w:pPr>
        <w:pStyle w:val="Caption"/>
      </w:pPr>
      <w:r>
        <w:t xml:space="preserve">My Caption.</w:t>
      </w:r>
    </w:p>
    <w:bookmarkStart w:id="76" w:name="tbl-mymarkdowntable2"/>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Letters</w:t>
            </w:r>
          </w:p>
        </w:tc>
        <w:tc>
          <w:tcPr/>
          <w:p>
            <w:pPr>
              <w:pStyle w:val="Compact"/>
              <w:jc w:val="center"/>
            </w:pPr>
            <w:r>
              <w:t xml:space="preserve">Numbers</w:t>
            </w:r>
          </w:p>
        </w:tc>
      </w:tr>
      <w:tr>
        <w:tc>
          <w:tcPr/>
          <w:p>
            <w:pPr>
              <w:pStyle w:val="Compact"/>
              <w:jc w:val="center"/>
            </w:pPr>
            <w:r>
              <w:t xml:space="preserve">A</w:t>
            </w:r>
          </w:p>
        </w:tc>
        <w:tc>
          <w:tcPr/>
          <w:p>
            <w:pPr>
              <w:pStyle w:val="Compact"/>
              <w:jc w:val="center"/>
            </w:pPr>
            <w:r>
              <w:t xml:space="preserve">1</w:t>
            </w:r>
          </w:p>
        </w:tc>
      </w:tr>
      <w:tr>
        <w:tc>
          <w:tcPr/>
          <w:p>
            <w:pPr>
              <w:pStyle w:val="Compact"/>
              <w:jc w:val="center"/>
            </w:pPr>
            <w:r>
              <w:t xml:space="preserve">B</w:t>
            </w:r>
          </w:p>
        </w:tc>
        <w:tc>
          <w:tcPr/>
          <w:p>
            <w:pPr>
              <w:pStyle w:val="Compact"/>
              <w:jc w:val="center"/>
            </w:pPr>
            <w:r>
              <w:t xml:space="preserve">2</w:t>
            </w:r>
          </w:p>
        </w:tc>
      </w:tr>
      <w:tr>
        <w:tc>
          <w:tcPr/>
          <w:p>
            <w:pPr>
              <w:pStyle w:val="Compact"/>
              <w:jc w:val="center"/>
            </w:pPr>
            <w:r>
              <w:t xml:space="preserve">C</w:t>
            </w:r>
          </w:p>
        </w:tc>
        <w:tc>
          <w:tcPr/>
          <w:p>
            <w:pPr>
              <w:pStyle w:val="Compact"/>
              <w:jc w:val="center"/>
            </w:pPr>
            <w:r>
              <w:t xml:space="preserve">3</w:t>
            </w:r>
          </w:p>
        </w:tc>
      </w:tr>
    </w:tbl>
    <w:bookmarkEnd w:id="76"/>
    <w:bookmarkEnd w:id="77"/>
    <w:p>
      <w:pPr>
        <w:pStyle w:val="FigureNote"/>
      </w:pPr>
      <w:r>
        <w:rPr>
          <w:i/>
          <w:iCs/>
        </w:rPr>
        <w:t xml:space="preserve">Note</w:t>
      </w:r>
      <w:r>
        <w:t xml:space="preserve">. My note</w:t>
      </w:r>
    </w:p>
    <w:bookmarkEnd w:id="78"/>
    <w:bookmarkEnd w:id="79"/>
    <w:bookmarkStart w:id="82" w:name="discussion-2"/>
    <w:p>
      <w:pPr>
        <w:pStyle w:val="Heading1"/>
      </w:pPr>
      <w:r>
        <w:t xml:space="preserve">Discussion</w:t>
      </w:r>
    </w:p>
    <w:p>
      <w:pPr>
        <w:pStyle w:val="FirstParagraph"/>
      </w:pPr>
      <w:r>
        <w:t xml:space="preserve">Describe results in non-statistical terms.</w:t>
      </w:r>
      <w:r>
        <w:t xml:space="preserve"> </w:t>
      </w:r>
    </w:p>
    <w:bookmarkStart w:id="80"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80"/>
    <w:bookmarkStart w:id="81" w:name="conclusion"/>
    <w:p>
      <w:pPr>
        <w:pStyle w:val="Heading2"/>
      </w:pPr>
      <w:r>
        <w:t xml:space="preserve">Conclusion</w:t>
      </w:r>
    </w:p>
    <w:p>
      <w:pPr>
        <w:pStyle w:val="FirstParagraph"/>
      </w:pPr>
      <w:r>
        <w:t xml:space="preserve">Describe the main point of the paper.</w:t>
      </w:r>
    </w:p>
    <w:bookmarkEnd w:id="81"/>
    <w:bookmarkEnd w:id="82"/>
    <w:bookmarkStart w:id="89" w:name="references"/>
    <w:p>
      <w:pPr>
        <w:pStyle w:val="Heading1"/>
      </w:pPr>
      <w:r>
        <w:t xml:space="preserve">References</w:t>
      </w:r>
    </w:p>
    <w:bookmarkStart w:id="88" w:name="refs"/>
    <w:bookmarkStart w:id="83" w:name="ref-austenMansfieldPark1990"/>
    <w:p>
      <w:pPr>
        <w:pStyle w:val="Bibliography"/>
      </w:pPr>
      <w:r>
        <w:t xml:space="preserve">Austen, J. (1990).</w:t>
      </w:r>
      <w:r>
        <w:t xml:space="preserve"> </w:t>
      </w:r>
      <w:r>
        <w:rPr>
          <w:i/>
          <w:iCs/>
        </w:rPr>
        <w:t xml:space="preserve">Mansfield</w:t>
      </w:r>
      <w:r>
        <w:rPr>
          <w:i/>
          <w:iCs/>
        </w:rPr>
        <w:t xml:space="preserve"> </w:t>
      </w:r>
      <w:r>
        <w:rPr>
          <w:i/>
          <w:iCs/>
        </w:rPr>
        <w:t xml:space="preserve">P</w:t>
      </w:r>
      <w:r>
        <w:rPr>
          <w:i/>
          <w:iCs/>
        </w:rPr>
        <w:t xml:space="preserve">ark</w:t>
      </w:r>
      <w:r>
        <w:t xml:space="preserve">. Oxford University Press. (Original work published 1814)</w:t>
      </w:r>
    </w:p>
    <w:bookmarkEnd w:id="83"/>
    <w:bookmarkStart w:id="85" w:name="ref-CameronTrivedi2013"/>
    <w:p>
      <w:pPr>
        <w:pStyle w:val="Bibliography"/>
      </w:pPr>
      <w:r>
        <w:t xml:space="preserve">Cameron, A. C., &amp; Trivedi, P. K. (2013).</w:t>
      </w:r>
      <w:r>
        <w:t xml:space="preserve"> </w:t>
      </w:r>
      <w:r>
        <w:rPr>
          <w:i/>
          <w:iCs/>
        </w:rPr>
        <w:t xml:space="preserve">Regression analysis of count data</w:t>
      </w:r>
      <w:r>
        <w:t xml:space="preserve"> </w:t>
      </w:r>
      <w:r>
        <w:t xml:space="preserve">(2nd ed.). Cambridge University Press.</w:t>
      </w:r>
      <w:r>
        <w:t xml:space="preserve"> </w:t>
      </w:r>
      <w:hyperlink r:id="rId84">
        <w:r>
          <w:rPr>
            <w:rStyle w:val="Hyperlink"/>
          </w:rPr>
          <w:t xml:space="preserve">https://doi.org/10.1017/CBO9781139013567</w:t>
        </w:r>
      </w:hyperlink>
    </w:p>
    <w:bookmarkEnd w:id="85"/>
    <w:bookmarkStart w:id="87" w:name="ref-schneider2012cattell"/>
    <w:p>
      <w:pPr>
        <w:pStyle w:val="Bibliography"/>
      </w:pPr>
      <w:r>
        <w:t xml:space="preserve">Schneider, W. J., &amp; McGrew, K. S. (2012). The</w:t>
      </w:r>
      <w:r>
        <w:t xml:space="preserve"> </w:t>
      </w:r>
      <w:r>
        <w:t xml:space="preserve">Cattell-Horn-Carroll</w:t>
      </w:r>
      <w:r>
        <w:t xml:space="preserve"> </w:t>
      </w:r>
      <w:r>
        <w:t xml:space="preserve">model of intelligence. In D. P. Flanagan &amp; P. L. Harrison (Eds.),</w:t>
      </w:r>
      <w:r>
        <w:t xml:space="preserve"> </w:t>
      </w:r>
      <w:r>
        <w:rPr>
          <w:i/>
          <w:iCs/>
        </w:rPr>
        <w:t xml:space="preserve">Contemporary intellectual assessment:</w:t>
      </w:r>
      <w:r>
        <w:rPr>
          <w:i/>
          <w:iCs/>
        </w:rPr>
        <w:t xml:space="preserve"> </w:t>
      </w:r>
      <w:r>
        <w:rPr>
          <w:i/>
          <w:iCs/>
        </w:rPr>
        <w:t xml:space="preserve">Theories</w:t>
      </w:r>
      <w:r>
        <w:rPr>
          <w:i/>
          <w:iCs/>
        </w:rPr>
        <w:t xml:space="preserve">, tests, and issues</w:t>
      </w:r>
      <w:r>
        <w:t xml:space="preserve"> </w:t>
      </w:r>
      <w:r>
        <w:t xml:space="preserve">(3rd ed., pp. 99–144). Guilford Press.</w:t>
      </w:r>
      <w:r>
        <w:t xml:space="preserve"> </w:t>
      </w:r>
      <w:hyperlink r:id="rId86">
        <w:r>
          <w:rPr>
            <w:rStyle w:val="Hyperlink"/>
          </w:rPr>
          <w:t xml:space="preserve">https://psycnet.apa.org/record/2012-09043-004</w:t>
        </w:r>
      </w:hyperlink>
    </w:p>
    <w:bookmarkEnd w:id="87"/>
    <w:bookmarkEnd w:id="88"/>
    <w:p>
      <w:r>
        <w:br w:type="page"/>
      </w:r>
    </w:p>
    <w:bookmarkEnd w:id="89"/>
    <w:p>
      <w:pPr>
        <w:pStyle w:val="Heading1"/>
      </w:pPr>
      <w:r>
        <w:t xml:space="preserve">Appendix A</w:t>
      </w:r>
    </w:p>
    <w:bookmarkStart w:id="92" w:name="apx-a"/>
    <w:p>
      <w:pPr>
        <w:pStyle w:val="Heading1"/>
      </w:pPr>
      <w:r>
        <w:t xml:space="preserve">My Appendix Title</w:t>
      </w:r>
    </w:p>
    <w:p>
      <w:pPr>
        <w:pStyle w:val="FirstParagraph"/>
      </w:pPr>
      <w:r>
        <w:t xml:space="preserve">Appendices are created as level 1 headings with an identifier with an</w:t>
      </w:r>
      <w:r>
        <w:t xml:space="preserve"> </w:t>
      </w:r>
      <w:r>
        <w:rPr>
          <w:rStyle w:val="VerbatimChar"/>
        </w:rPr>
        <w:t xml:space="preserve">#apx-</w:t>
      </w:r>
      <w:r>
        <w:t xml:space="preserve"> </w:t>
      </w:r>
      <w:r>
        <w:t xml:space="preserve">prefix. Appendix titles should be in title case and should describe the content of the appendix.</w:t>
      </w:r>
    </w:p>
    <w:p>
      <w:pPr>
        <w:pStyle w:val="BodyText"/>
      </w:pPr>
      <w:r>
        <w:t xml:space="preserve">If there is only one appendix, the label automatically inserted above the the appendix title will be</w:t>
      </w:r>
      <w:r>
        <w:t xml:space="preserve"> </w:t>
      </w:r>
      <w:r>
        <w:rPr>
          <w:b/>
          <w:bCs/>
        </w:rPr>
        <w:t xml:space="preserve">Appendix</w:t>
      </w:r>
      <w:r>
        <w:t xml:space="preserve">. If there are multiple appendices, the labels</w:t>
      </w:r>
      <w:r>
        <w:t xml:space="preserve"> </w:t>
      </w:r>
      <w:r>
        <w:rPr>
          <w:b/>
          <w:bCs/>
        </w:rPr>
        <w:t xml:space="preserve">Appendix A</w:t>
      </w:r>
      <w:r>
        <w:t xml:space="preserve">,</w:t>
      </w:r>
      <w:r>
        <w:t xml:space="preserve"> </w:t>
      </w:r>
      <w:r>
        <w:rPr>
          <w:b/>
          <w:bCs/>
        </w:rPr>
        <w:t xml:space="preserve">Appendix B</w:t>
      </w:r>
      <w:r>
        <w:t xml:space="preserve">,</w:t>
      </w:r>
      <w:r>
        <w:t xml:space="preserve"> </w:t>
      </w:r>
      <w:r>
        <w:rPr>
          <w:b/>
          <w:bCs/>
        </w:rPr>
        <w:t xml:space="preserve">Appendix C</w:t>
      </w:r>
      <w:r>
        <w:t xml:space="preserve"> </w:t>
      </w:r>
      <w:r>
        <w:t xml:space="preserve">and so forth will be inserted above the titles.</w:t>
      </w:r>
    </w:p>
    <w:p>
      <w:pPr>
        <w:pStyle w:val="BodyText"/>
      </w:pPr>
      <w:r>
        <w:t xml:space="preserve">To cite an appendix as a whole, reference it with the</w:t>
      </w:r>
      <w:r>
        <w:t xml:space="preserve"> </w:t>
      </w:r>
      <w:r>
        <w:rPr>
          <w:rStyle w:val="VerbatimChar"/>
        </w:rPr>
        <w:t xml:space="preserve">@apx-</w:t>
      </w:r>
      <w:r>
        <w:t xml:space="preserve"> </w:t>
      </w:r>
      <w:r>
        <w:t xml:space="preserve">prefix. For example, see</w:t>
      </w:r>
      <w:r>
        <w:t xml:space="preserve"> </w:t>
      </w:r>
      <w:hyperlink w:anchor="apx-a">
        <w:r>
          <w:rPr>
            <w:rStyle w:val="Hyperlink"/>
          </w:rPr>
          <w:t xml:space="preserve">Appendix A</w:t>
        </w:r>
      </w:hyperlink>
      <w:r>
        <w:t xml:space="preserve"> </w:t>
      </w:r>
      <w:r>
        <w:t xml:space="preserve">and</w:t>
      </w:r>
      <w:r>
        <w:t xml:space="preserve"> </w:t>
      </w:r>
      <w:hyperlink w:anchor="apx-b">
        <w:r>
          <w:rPr>
            <w:rStyle w:val="Hyperlink"/>
          </w:rPr>
          <w:t xml:space="preserve">Appendix B</w:t>
        </w:r>
      </w:hyperlink>
      <w:r>
        <w:t xml:space="preserve">.</w:t>
      </w:r>
    </w:p>
    <w:p>
      <w:pPr>
        <w:pStyle w:val="BodyText"/>
      </w:pPr>
      <w:r>
        <w:t xml:space="preserve">This is an appendix with a table using markdown (see</w:t>
      </w:r>
      <w:r>
        <w:t xml:space="preserve"> </w:t>
      </w:r>
      <w:hyperlink w:anchor="tbl-letters">
        <w:r>
          <w:rPr>
            <w:rStyle w:val="Hyperlink"/>
          </w:rPr>
          <w:t xml:space="preserve">Table A1</w:t>
        </w:r>
      </w:hyperlink>
      <w:r>
        <w:t xml:space="preserve">).</w:t>
      </w:r>
    </w:p>
    <w:bookmarkStart w:id="91" w:name="tbl-letters"/>
    <w:p>
      <w:pPr>
        <w:pStyle w:val="FigureTitle"/>
      </w:pPr>
      <w:r>
        <w:t xml:space="preserve">Table A1</w:t>
      </w:r>
    </w:p>
    <w:p>
      <w:pPr>
        <w:pStyle w:val="Caption"/>
      </w:pPr>
      <w:r>
        <w:t xml:space="preserve">My Caption</w:t>
      </w:r>
    </w:p>
    <w:bookmarkStart w:id="90" w:name="tbl-letters"/>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Col 1</w:t>
            </w:r>
          </w:p>
        </w:tc>
        <w:tc>
          <w:tcPr/>
          <w:p>
            <w:pPr>
              <w:pStyle w:val="Compact"/>
            </w:pPr>
            <w:r>
              <w:t xml:space="preserve">Col 2</w:t>
            </w:r>
          </w:p>
        </w:tc>
        <w:tc>
          <w:tcPr/>
          <w:p>
            <w:pPr>
              <w:pStyle w:val="Compact"/>
            </w:pPr>
            <w:r>
              <w:t xml:space="preserve">Col 3</w:t>
            </w:r>
          </w:p>
        </w:tc>
      </w:tr>
      <w:tr>
        <w:tc>
          <w:tcPr/>
          <w:p>
            <w:pPr>
              <w:pStyle w:val="Compact"/>
            </w:pPr>
            <w:r>
              <w:t xml:space="preserve">A</w:t>
            </w:r>
          </w:p>
        </w:tc>
        <w:tc>
          <w:tcPr/>
          <w:p>
            <w:pPr>
              <w:pStyle w:val="Compact"/>
            </w:pPr>
            <w:r>
              <w:t xml:space="preserve">B</w:t>
            </w:r>
          </w:p>
        </w:tc>
        <w:tc>
          <w:tcPr/>
          <w:p>
            <w:pPr>
              <w:pStyle w:val="Compact"/>
            </w:pPr>
            <w:r>
              <w:t xml:space="preserve">C</w:t>
            </w:r>
          </w:p>
        </w:tc>
      </w:tr>
      <w:tr>
        <w:tc>
          <w:tcPr/>
          <w:p>
            <w:pPr>
              <w:pStyle w:val="Compact"/>
            </w:pPr>
            <w:r>
              <w:t xml:space="preserve">E</w:t>
            </w:r>
          </w:p>
        </w:tc>
        <w:tc>
          <w:tcPr/>
          <w:p>
            <w:pPr>
              <w:pStyle w:val="Compact"/>
            </w:pPr>
            <w:r>
              <w:t xml:space="preserve">F</w:t>
            </w:r>
          </w:p>
        </w:tc>
        <w:tc>
          <w:tcPr/>
          <w:p>
            <w:pPr>
              <w:pStyle w:val="Compact"/>
            </w:pPr>
            <w:r>
              <w:t xml:space="preserve">G</w:t>
            </w:r>
          </w:p>
        </w:tc>
      </w:tr>
      <w:tr>
        <w:tc>
          <w:tcPr/>
          <w:p>
            <w:pPr>
              <w:pStyle w:val="Compact"/>
            </w:pPr>
            <w:r>
              <w:t xml:space="preserve">A</w:t>
            </w:r>
          </w:p>
        </w:tc>
        <w:tc>
          <w:tcPr/>
          <w:p>
            <w:pPr>
              <w:pStyle w:val="Compact"/>
            </w:pPr>
            <w:r>
              <w:t xml:space="preserve">G</w:t>
            </w:r>
          </w:p>
        </w:tc>
        <w:tc>
          <w:tcPr/>
          <w:p>
            <w:pPr>
              <w:pStyle w:val="Compact"/>
            </w:pPr>
            <w:r>
              <w:t xml:space="preserve">G</w:t>
            </w:r>
          </w:p>
        </w:tc>
      </w:tr>
    </w:tbl>
    <w:bookmarkEnd w:id="90"/>
    <w:bookmarkEnd w:id="91"/>
    <w:p>
      <w:pPr>
        <w:pStyle w:val="FigureNote"/>
      </w:pPr>
      <w:r>
        <w:rPr>
          <w:i/>
          <w:iCs/>
        </w:rPr>
        <w:t xml:space="preserve">Note</w:t>
      </w:r>
      <w:r>
        <w:t xml:space="preserve">. These are letters.</w:t>
      </w:r>
    </w:p>
    <w:p>
      <w:r>
        <w:br w:type="page"/>
      </w:r>
    </w:p>
    <w:bookmarkEnd w:id="92"/>
    <w:p>
      <w:pPr>
        <w:pStyle w:val="Heading1"/>
      </w:pPr>
      <w:r>
        <w:t xml:space="preserve">Appendix B</w:t>
      </w:r>
    </w:p>
    <w:bookmarkStart w:id="97" w:name="apx-b"/>
    <w:p>
      <w:pPr>
        <w:pStyle w:val="Heading1"/>
      </w:pPr>
      <w:r>
        <w:t xml:space="preserve">Another Appendix</w:t>
      </w:r>
    </w:p>
    <w:p>
      <w:pPr>
        <w:pStyle w:val="FirstParagraph"/>
      </w:pPr>
      <w:r>
        <w:t xml:space="preserve">See</w:t>
      </w:r>
      <w:r>
        <w:t xml:space="preserve"> </w:t>
      </w:r>
      <w:hyperlink w:anchor="fig-appendfig">
        <w:r>
          <w:rPr>
            <w:rStyle w:val="Hyperlink"/>
          </w:rPr>
          <w:t xml:space="preserve">Figure B1</w:t>
        </w:r>
      </w:hyperlink>
      <w:r>
        <w:t xml:space="preserve">, an example of an imported graphic using markdown syntax.</w:t>
      </w:r>
    </w:p>
    <w:bookmarkStart w:id="96" w:name="fig-appendfig"/>
    <w:p>
      <w:pPr>
        <w:pStyle w:val="FigureTitle"/>
      </w:pPr>
      <w:r>
        <w:t xml:space="preserve">Figure B1</w:t>
      </w:r>
    </w:p>
    <w:p>
      <w:pPr>
        <w:pStyle w:val="Caption"/>
      </w:pPr>
      <w:r>
        <w:t xml:space="preserve">Appendix Figure</w:t>
      </w:r>
    </w:p>
    <w:p>
      <w:pPr>
        <w:pStyle w:val="FigureWithNote"/>
      </w:pPr>
      <w:r>
        <w:drawing>
          <wp:inline>
            <wp:extent cx="5943600" cy="4245428"/>
            <wp:effectExtent b="0" l="0" r="0" t="0"/>
            <wp:docPr descr="" title="" id="94" name="Picture"/>
            <a:graphic>
              <a:graphicData uri="http://schemas.openxmlformats.org/drawingml/2006/picture">
                <pic:pic>
                  <pic:nvPicPr>
                    <pic:cNvPr descr="sampleimage.png" id="95" name="Picture"/>
                    <pic:cNvPicPr>
                      <a:picLocks noChangeArrowheads="1" noChangeAspect="1"/>
                    </pic:cNvPicPr>
                  </pic:nvPicPr>
                  <pic:blipFill>
                    <a:blip r:embed="rId93"/>
                    <a:stretch>
                      <a:fillRect/>
                    </a:stretch>
                  </pic:blipFill>
                  <pic:spPr bwMode="auto">
                    <a:xfrm>
                      <a:off x="0" y="0"/>
                      <a:ext cx="5943600" cy="4245428"/>
                    </a:xfrm>
                    <a:prstGeom prst="rect">
                      <a:avLst/>
                    </a:prstGeom>
                    <a:noFill/>
                    <a:ln w="9525">
                      <a:noFill/>
                      <a:headEnd/>
                      <a:tailEnd/>
                    </a:ln>
                  </pic:spPr>
                </pic:pic>
              </a:graphicData>
            </a:graphic>
          </wp:inline>
        </w:drawing>
      </w:r>
    </w:p>
    <w:bookmarkEnd w:id="96"/>
    <w:p>
      <w:pPr>
        <w:pStyle w:val="FigureNote"/>
      </w:pPr>
      <w:r>
        <w:rPr>
          <w:i/>
          <w:iCs/>
        </w:rPr>
        <w:t xml:space="preserve">Note</w:t>
      </w:r>
      <w:r>
        <w:t xml:space="preserve">. A</w:t>
      </w:r>
      <w:r>
        <w:t xml:space="preserve"> </w:t>
      </w:r>
      <w:r>
        <w:rPr>
          <w:i/>
          <w:iCs/>
        </w:rPr>
        <w:t xml:space="preserve">note</w:t>
      </w:r>
      <w:r>
        <w:t xml:space="preserve"> </w:t>
      </w:r>
      <w:r>
        <w:t xml:space="preserve">below the figure</w:t>
      </w:r>
    </w:p>
    <w:sectPr>
      <w:lnNumType w:countBy="1" w:restart="continuous"/>
    </w:sectPr>
    <w:bookmarkEnd w:id="9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4">
    <w:p>
      <w:pPr>
        <w:pStyle w:val="FootnoteText"/>
      </w:pPr>
      <w:r>
        <w:rPr>
          <w:rStyle w:val="FootnoteReference"/>
        </w:rPr>
        <w:footnoteRef/>
      </w:r>
      <w:r>
        <w:t xml:space="preserve"> </w:t>
      </w:r>
      <w:r>
        <w:t xml:space="preserve">Here is my short footnote!</w:t>
      </w:r>
    </w:p>
  </w:footnote>
  <w:footnote w:id="65">
    <w:p>
      <w:pPr>
        <w:pStyle w:val="FootnoteText"/>
      </w:pPr>
      <w:r>
        <w:rPr>
          <w:rStyle w:val="FootnoteReference"/>
        </w:rPr>
        <w:footnoteRef/>
      </w:r>
      <w:r>
        <w:t xml:space="preserve"> </w:t>
      </w:r>
      <w:r>
        <w:t xml:space="preserve">This is a longer footnote. If it has multiple paragraphs, subsequent paragraphs need to be indented with two tabs.</w:t>
      </w:r>
    </w:p>
    <w:p>
      <w:pPr>
        <w:pStyle w:val="FootnoteText"/>
      </w:pPr>
      <w:r>
        <w:t xml:space="preserve">This paragraph is still part of the footnote because it is indented with two tabs.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6" Target="media/rId56.png" /><Relationship Type="http://schemas.openxmlformats.org/officeDocument/2006/relationships/image" Id="rId21" Target="media/rId21.svg" /><Relationship Type="http://schemas.openxmlformats.org/officeDocument/2006/relationships/image" Id="rId93" Target="media/rId93.png" /><Relationship Type="http://schemas.openxmlformats.org/officeDocument/2006/relationships/hyperlink" Id="rId69" Target="https://apastyle.apa.org/jars" TargetMode="External" /><Relationship Type="http://schemas.openxmlformats.org/officeDocument/2006/relationships/hyperlink" Id="rId55" Target="https://apastyle.apa.org/style-grammar-guidelines/capitalization/title-case" TargetMode="External" /><Relationship Type="http://schemas.openxmlformats.org/officeDocument/2006/relationships/hyperlink" Id="rId30" Target="https://credit.niso.org" TargetMode="External" /><Relationship Type="http://schemas.openxmlformats.org/officeDocument/2006/relationships/hyperlink" Id="rId61" Target="https://davidgohel.github.io/flextable/" TargetMode="External" /><Relationship Type="http://schemas.openxmlformats.org/officeDocument/2006/relationships/hyperlink" Id="rId84" Target="https://doi.org/10.1017/CBO9781139013567" TargetMode="External" /><Relationship Type="http://schemas.openxmlformats.org/officeDocument/2006/relationships/hyperlink" Id="rId29" Target="https://orcid.org/0000-0001-6699-750X" TargetMode="External" /><Relationship Type="http://schemas.openxmlformats.org/officeDocument/2006/relationships/hyperlink" Id="rId25" Target="https://orcid.org/0000-0001-8239-5197" TargetMode="External" /><Relationship Type="http://schemas.openxmlformats.org/officeDocument/2006/relationships/hyperlink" Id="rId86" Target="https://psycnet.apa.org/record/2012-09043-004" TargetMode="External" /><Relationship Type="http://schemas.openxmlformats.org/officeDocument/2006/relationships/hyperlink" Id="rId46" Target="https://quarto.org/docs/authoring/footnotes-and-citations.html" TargetMode="External" /><Relationship Type="http://schemas.openxmlformats.org/officeDocument/2006/relationships/hyperlink" Id="rId49" Target="https://wjschne.github.io/apaquarto/writing.html#masked-citations-for-anonymous-peer-review" TargetMode="External" /><Relationship Type="http://schemas.openxmlformats.org/officeDocument/2006/relationships/hyperlink" Id="rId47" Target="https://wjschne.github.io/apaquarto/writing.html#references" TargetMode="External" /></Relationships>
</file>

<file path=word/_rels/footnotes.xml.rels><?xml version="1.0" encoding="UTF-8"?><Relationships xmlns="http://schemas.openxmlformats.org/package/2006/relationships"><Relationship Type="http://schemas.openxmlformats.org/officeDocument/2006/relationships/hyperlink" Id="rId69" Target="https://apastyle.apa.org/jars" TargetMode="External" /><Relationship Type="http://schemas.openxmlformats.org/officeDocument/2006/relationships/hyperlink" Id="rId55" Target="https://apastyle.apa.org/style-grammar-guidelines/capitalization/title-case" TargetMode="External" /><Relationship Type="http://schemas.openxmlformats.org/officeDocument/2006/relationships/hyperlink" Id="rId30" Target="https://credit.niso.org" TargetMode="External" /><Relationship Type="http://schemas.openxmlformats.org/officeDocument/2006/relationships/hyperlink" Id="rId61" Target="https://davidgohel.github.io/flextable/" TargetMode="External" /><Relationship Type="http://schemas.openxmlformats.org/officeDocument/2006/relationships/hyperlink" Id="rId84" Target="https://doi.org/10.1017/CBO9781139013567" TargetMode="External" /><Relationship Type="http://schemas.openxmlformats.org/officeDocument/2006/relationships/hyperlink" Id="rId29" Target="https://orcid.org/0000-0001-6699-750X" TargetMode="External" /><Relationship Type="http://schemas.openxmlformats.org/officeDocument/2006/relationships/hyperlink" Id="rId25" Target="https://orcid.org/0000-0001-8239-5197" TargetMode="External" /><Relationship Type="http://schemas.openxmlformats.org/officeDocument/2006/relationships/hyperlink" Id="rId86" Target="https://psycnet.apa.org/record/2012-09043-004" TargetMode="External" /><Relationship Type="http://schemas.openxmlformats.org/officeDocument/2006/relationships/hyperlink" Id="rId46" Target="https://quarto.org/docs/authoring/footnotes-and-citations.html" TargetMode="External" /><Relationship Type="http://schemas.openxmlformats.org/officeDocument/2006/relationships/hyperlink" Id="rId49" Target="https://wjschne.github.io/apaquarto/writing.html#masked-citations-for-anonymous-peer-review" TargetMode="External" /><Relationship Type="http://schemas.openxmlformats.org/officeDocument/2006/relationships/hyperlink" Id="rId47" Target="https://wjschne.github.io/apaquarto/writing.html#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MEDIA ADVOCACY AND AUDIENCE ENGAGEMENT</dc:description>
  <dc:language>en</dc:language>
  <cp:keywords>music, film, media, social justice, prosocial, bonding, empathy, norm activation</cp:keywords>
  <dcterms:created xsi:type="dcterms:W3CDTF">2025-05-26T06:32:04Z</dcterms:created>
  <dcterms:modified xsi:type="dcterms:W3CDTF">2025-05-26T06:32:04Z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TODO</vt:lpwstr>
  </property>
  <property fmtid="{D5CDD505-2E9C-101B-9397-08002B2CF9AE}" pid="5" name="apaauthor">
    <vt:lpwstr/>
  </property>
  <property fmtid="{D5CDD505-2E9C-101B-9397-08002B2CF9AE}" pid="6" name="apatitle">
    <vt:lpwstr>Media advocacy promotes in-person and livestream audiences’ engagement with social justice cause through empathy</vt:lpwstr>
  </property>
  <property fmtid="{D5CDD505-2E9C-101B-9397-08002B2CF9AE}" pid="7" name="apatitledisplay">
    <vt:lpwstr>Media advocacy promotes in-person and livestream audiences’ engagement with social justice cause through empathy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raft-date">
    <vt:lpwstr>False</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mpact-statement">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mask">
    <vt:lpwstr>False</vt:lpwstr>
  </property>
  <property fmtid="{D5CDD505-2E9C-101B-9397-08002B2CF9AE}" pid="30" name="masked-citations">
    <vt:lpwstr/>
  </property>
  <property fmtid="{D5CDD505-2E9C-101B-9397-08002B2CF9AE}" pid="31" name="no-ampersand-parenthetical">
    <vt:lpwstr>False</vt:lpwstr>
  </property>
  <property fmtid="{D5CDD505-2E9C-101B-9397-08002B2CF9AE}" pid="32" name="numbered-lines">
    <vt:lpwstr>True</vt:lpwstr>
  </property>
  <property fmtid="{D5CDD505-2E9C-101B-9397-08002B2CF9AE}" pid="33" name="oneaffiliation">
    <vt:lpwstr>True</vt:lpwstr>
  </property>
  <property fmtid="{D5CDD505-2E9C-101B-9397-08002B2CF9AE}" pid="34" name="oneauthor">
    <vt:lpwstr>False</vt:lpwstr>
  </property>
  <property fmtid="{D5CDD505-2E9C-101B-9397-08002B2CF9AE}" pid="35" name="references">
    <vt:lpwstr/>
  </property>
  <property fmtid="{D5CDD505-2E9C-101B-9397-08002B2CF9AE}" pid="36" name="revealjs-plugins">
    <vt:lpwstr/>
  </property>
  <property fmtid="{D5CDD505-2E9C-101B-9397-08002B2CF9AE}" pid="37" name="shorttitle">
    <vt:lpwstr>MEDIA ADVOCACY AND AUDIENCE ENGAGEMENT</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impact-statement">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Table of contents</vt:lpwstr>
  </property>
  <property fmtid="{D5CDD505-2E9C-101B-9397-08002B2CF9AE}" pid="64" name="zerocitations">
    <vt:lpwstr>False</vt:lpwstr>
  </property>
</Properties>
</file>