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La Sig.ra Giulia ______________________, nata a ______________________ il ____/____/________, residente a ______________________, in via ______________________ n. ____, Codice Fiscale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(comproprietario/usufruttuario/comodatario/locatario/altro) dell’immobile (di seguito l’“Immobile”): sito in località Pedemonte, Comune di ______________________ (____), Via ______________________ n. ____, interno ____, piano ____; meglio individuato al NCEU del Comune di ______________________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5F7F60" w:rsidRDefault="00290CA9" w:rsidP="005F7F60">
      <w:pPr>
        <w:pStyle w:val="Paragrafoelenco"/>
        <w:numPr>
          <w:ilvl w:val="0"/>
          <w:numId w:val="12"/>
        </w:numPr>
        <w:tabs>
          <w:tab w:val="left" w:pos="1426"/>
        </w:tabs>
        <w:spacing w:before="124" w:line="362" w:lineRule="auto"/>
      </w:pPr>
      <w:r>
        <w:t xml:space="preserve">Le Parti intrattengono già un rapporto di collaborazione per la gestione dell’Immobile, che con il presente Contratto intendono disciplinare in modo aggiornato, anche a seguito dello svolgimento dell’attività del Property Manager in forma societaria;</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book fotografico e, ove fornita, dalla planimetria del Mandante, su diverse piattaforme online 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(distinti fra quota relativa alla locazione dell’Immobile e quota relativa ai servizi che il Property Manager fornisce direttamente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check-in attraverso l’accesso al gestionale completo e, comunque, provvedere alla riscossione dei canoni dovuti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o portale o da ogni annuncio creato su qualsivoglia canale,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riscossione dell’imposta di soggiorno con contestuale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che segnala al Property Manager eventuali danni, ammanchi o anomalie;</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che nel corso dell’anno solare il Property Manager non potrà superare il numero massimo di giornate di locazione previste per la gestione dell’Immobile in forma non imprenditoriale dalla normativa nazionale e locale applicabili.</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Per le locazioni a breve termine, i corrispettivi ricevuti dal Property Manager a titolo di canone di locazione saranno versati, senza maggiorazione di interessi, dal Property Manager al Mandante mensilmente, secondo quanto previsto dagli artt. 10 e 11, al netto delle eventuali ritenute di legge sull’ammontare dei canoni, ove previste dalla normativa.</w:t>
      </w:r>
      <w:bookmarkStart w:id="8" w:name="Per_le_locazioni_a_breve_termine,_inoltr"/>
      <w:bookmarkEnd w:id="8"/>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Ricevuta del Mandante all’Ospite per ogni prenotazione. L’importo di tale ricevuta è pari al canone incassato dal Mandante al lordo delle spese dallo stesso sostenute; </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gestisce ai sensi dell’art. 12;</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Il Mandante, per le locazioni di durata superiore a 30 giorni, dichiara</w:t>
      </w:r>
      <w:r>
        <w:rPr>
          <w:spacing w:val="-5"/>
        </w:rPr>
        <w:t xml:space="preserve"> di:</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OPTARE</w:t>
      </w:r>
    </w:p>
    <w:p w:rsidR="00D83012" w:rsidRDefault="00290CA9" w:rsidP="00AA3CF1">
      <w:pPr>
        <w:pStyle w:val="Paragrafoelenco"/>
        <w:numPr>
          <w:ilvl w:val="0"/>
          <w:numId w:val="18"/>
        </w:numPr>
        <w:tabs>
          <w:tab w:val="left" w:pos="781"/>
        </w:tabs>
        <w:spacing w:before="144"/>
      </w:pPr>
      <w:bookmarkStart w:id="18" w:name="□__NON_OPTARE"/>
      <w:bookmarkEnd w:id="18"/>
      <w:r>
        <w:lastRenderedPageBreak/>
        <w:t xml:space="preserve">NON </w:t>
      </w:r>
      <w:r>
        <w:rPr>
          <w:spacing w:val="-2"/>
        </w:rPr>
        <w:t>OPTARE</w:t>
      </w:r>
    </w:p>
    <w:p w:rsidR="00D83012" w:rsidRDefault="00AA3CF1" w:rsidP="005F7F60">
      <w:pPr>
        <w:pStyle w:val="Corpotesto"/>
        <w:spacing w:before="158"/>
        <w:jc w:val="both"/>
      </w:pPr>
      <w:bookmarkStart w:id="19" w:name="al_regime_di_tassazione_con_cedolare_sec"/>
      <w:bookmarkEnd w:id="19"/>
      <w:r>
        <w:t xml:space="preserve">Per il regime di tassazione con cedolare </w:t>
      </w:r>
      <w:r>
        <w:rPr>
          <w:spacing w:val="-2"/>
        </w:rPr>
        <w:t>secca.</w:t>
      </w:r>
    </w:p>
    <w:p w:rsidR="00D83012" w:rsidRDefault="00290CA9" w:rsidP="005F7F60">
      <w:pPr>
        <w:pStyle w:val="Corpotesto"/>
        <w:spacing w:before="130" w:line="362" w:lineRule="auto"/>
        <w:jc w:val="both"/>
      </w:pPr>
      <w:bookmarkStart w:id="20" w:name="In_caso_di_opzione_di_tassazione_con_ced"/>
      <w:bookmarkEnd w:id="20"/>
      <w:r>
        <w:t>In caso di opzione di tassazione con cedolare secca, il Mandante incarica il Property Manager di rispettare gli adempimenti relativi a tale scelta nella comunicazione al Conduttore ed all’Agenzia delle Entrate.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addetti alle pulizie, lavanderie, manutentori, consulenti), ognuno per quanto di competenza. Il Property Manager risponde dell’operato di tali soggetti come del fatto proprio. I relativi costi sono a carico del Property Manager, ad eccezione di quelli che il presente Contratto pone a carico del Mandante, ossia i servizi di pulizia, biancheria e lavanderia e le commissioni delle piattaforme di prenotazione (art. 11), le manutenzioni (art. 13) e gli Interventi in Loco nei casi previsti dall’art.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 xml:space="preserve">Il Property Manager verserà al Mandante le somme a lui spettanti per l’effettivo periodo di occupazione maturato nel mese solare precedente, determinate ai sensi del successivo art. 11, ossia il ricavo dei soggiorni dedotti il compenso del Property Manager, tutti i costi ordinari e straordinari a carico del Mandante e le eventuali ritenute di legge. Il versamento avviene di norma entro il giorno 5 del mese successivo a quello di maturazione; qualora le piattaforme di prenotazione accreditino le somme in ritardo, il versamento avverrà entro l’ultimo giorno di tale mese e, in ogni caso, solo dopo l’effettivo incasso delle relative somme da parte del Property Manager.</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a lui intestato al seguente </w:t>
      </w:r>
      <w:r>
        <w:rPr>
          <w:b/>
        </w:rPr>
        <w:t>IBAN:</w:t>
      </w:r>
      <w:r>
        <w:t>_______________________________</w:t>
      </w:r>
      <w:r>
        <w:tab/>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13BE0" w:rsidRDefault="00991C5B">
      <w:pPr>
        <w:pStyle w:val="Corpotesto"/>
        <w:spacing w:before="120" w:line="360" w:lineRule="auto"/>
        <w:jc w:val="both"/>
      </w:pPr>
      <w:r>
        <w:t xml:space="preserve">Per l’attività di gestione e per i servizi di cui all’art. 2, al Property Manager spetta un compenso pari al 20% (venti per cento) del Costo del Pernottamento di ciascuna prenotazione.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w:t>
      </w:r>
    </w:p>
    <w:p w:rsidR="00D13BE0" w:rsidRDefault="00991C5B">
      <w:pPr>
        <w:pStyle w:val="Corpotesto"/>
        <w:spacing w:before="120" w:line="360" w:lineRule="auto"/>
        <w:jc w:val="both"/>
      </w:pPr>
      <w:r>
        <w:t xml:space="preserve">Al Mandante spetta il ricavo complessivo dei soggiorni (esclusa l’imposta di soggiorno, che il Property Manager riversa al Comune), dedotti il compenso del Property Manager di cui al comma precedente e tutti i costi, ordinari e straordinari, relativi all’Immobile e alla sua gestione, tra cui, a titolo esemplificativo: le commissioni delle piattaforme di prenotazione e dei sistemi di pagamento; i servizi di pulizia, biancheria e lavanderia; i prodotti di cortesia e i materiali di consumo; le manutenzioni di cui all’art. 13; gli Interventi in Loco a carico del Mandante ai sensi dell’art. 14; le eventuali ritenute di legge. Tali importi sono versati mensilmente ai sensi dell’art. 10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 xml:space="preserve">Fatto salvo quanto previsto dal presente articolo e dagli artt. 13, 14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della riscossione e della gestione del deposito cauzionale o di idonee garanzie previste per le locazioni di media durata, nonché dello svolgimento delle attività di controllo previste nella fase di check-out. Il Property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roofErr w:type="spellStart"/>
      <w:proofErr w:type="spellEnd"/>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 xml:space="preserve">Il Mandante comunica per iscritto (anche a mezzo e-mail o messaggistica istantanea) l’approvazione o il rifiuto del preventivo. Solo dopo l’approvazione, l’intervento viene eseguito dai manutentori incaricati dal Property Manager, che ne fattura il relativo importo al Mandante secondo quanto indicato nel preventivo approvato. Tale importo potrà essere trattenuto dalle somme da versare al Mandante ai sensi dell’art. 10.</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 xml:space="preserve">Per “Intervento in Loco” si intende l’uscita presso l’Immobile del Property Manager o di personale da esso incaricato, al di fuori delle attività programmate (check-in, pulizie, check-out). In caso di problemi di accesso degli Ospiti all’Immobile, il Property Manager garantisce l’esecuzione dell’Intervento in Loco nel più breve tempo possibile, compatibilmente con i tempi tecnici necessari a raggiungere l’Immobile.</w:t>
      </w:r>
    </w:p>
    <w:p w:rsidR="00D13BE0" w:rsidRDefault="00991C5B">
      <w:pPr>
        <w:pStyle w:val="Corpotesto"/>
        <w:spacing w:before="120" w:line="360" w:lineRule="auto"/>
        <w:jc w:val="both"/>
      </w:pPr>
      <w:r>
        <w:t xml:space="preserve">Il Property Manager garantisce, senza costi aggiuntivi per il Mandante, 1 (un) Intervento in Loco al mese per il normale controllo dello stato dell’Immobile. Ogni ulteriore Intervento in Loco, ivi compresi quelli relativi all’allestimento e all’arredamento iniziale dell’Immobile, alla presenza durante lavori di ristrutturazione o manutenzione o a qualsiasi altro intervento legato all’Immobile, ha un costo di euro 50,00 (cinquanta/00) oltre IVA per uscita, oltre agli eventuali costi vivi strettamente necessari (a titolo esemplificativo: intervento del fabbro per l’apertura della porta, duplicazione delle chiavi), salvo quanto previsto dai commi seguenti per gli Interventi in Loco resi necessari da problemi di accesso degli Ospiti. La riparazione o sostituzione di serrature, cilindri o dispositivi di accesso è regolata dall’art. 13, salvo che si renda necessaria per fatto del Property Manager o del personale da esso incaricato, nel qual caso è a carico del Property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 xml:space="preserve">Gli importi a carico del Mandante ai sensi del presente articolo sono indicati nel rendiconto mensile di cui all’art. 4 e possono essere trattenuti dalle somme da versare al Mandante ai sensi dell’art.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versamento delle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compenso che sarebbe spettato al Property Manager ai sensi dell’art. 11 sul Costo del Pernottamento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Il Mandante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Interventi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Il Mandante</w:t>
      </w:r>
      <w:r>
        <w:tab/>
        <w:t>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