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line="250" w:lineRule="exact"/>
      </w:pPr>
      <w:r>
        <w:t xml:space="preserve">Cadastral floor plan;</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Declarations of conformity of the systems;</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the floor plan provided by the Principal,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in agreement with the Principal, the prices to be charged to Guests (distinguishing between the portion relating to the rental of the Property and the portion relating to the services provided by the Property Manager directly to the Guests), taking into account the duration, the season and/or the number of occupants, which prices shall be set out in the table referred to in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or in any event the collection of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by them to conclude the rental;</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12;</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16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 xml:space="preserve">a complete inventory of the furniture, furnishings and linen intended for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welcoming the Guests at the Property, explaining all functional aspects and handing over the keys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at the end of the stay, inspection of the Property and collection of the keys;</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shall send the Principal, on a monthly basis, in electronic form or on paper where requested, a report of the accommodation activity carried out, specifying the name and/or company name of the Guests who stayed at the Property, the start and end dates of each period of stay for each Guest, the rent paid by the Guest for each rental period, the fees accrued by the Property Manager, the expenses incurred and the commissions or fees paid to third parties (e.g. online platforms).</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Should the Principal need to use the Property during the term of the Agreement, the Principal shall notify the Property Manager in writing at least 90 days in advance, so as to allow it to block the dates on which the Principal will use the Property (hereinafter the “Excluded Dates”), also through the booking portal to which the Principal will be given access.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90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may rent the Property both for periods of less than one month and for longer periods, but in any case shorter than one calendar year (unless otherwise agreed between the Parties), and in any event shorter than the maximum duration established by the applicable national and local rental regulations in force.</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rental shall vary according to the season and/or the number of occupants, as well as the duration of the rental, it being expressly agreed that for medium-term rentals (i.e. exceeding 30 days) the rent is agreed on a weekly or monthly flat-rate basis, whereas for short-term rentals (i.e. less than 30 days) it is based on the daily rate applicable to the days of actual rental of the Property, all as detailed in the attached Table (“annex e” – hereinafter the “Table”), which, initialled by the Parties, forms an integral and essential part of this Agreement.</w:t>
      </w:r>
    </w:p>
    <w:p w:rsidR="00D83012" w:rsidRDefault="00290CA9" w:rsidP="00A41BA1">
      <w:pPr>
        <w:pStyle w:val="Corpotesto"/>
        <w:spacing w:line="360" w:lineRule="auto"/>
        <w:jc w:val="both"/>
      </w:pPr>
      <w:r>
        <w:t xml:space="preserve">The amounts and percentages set out in the Table, as regards the determination of the rent, are the minimum amounts to be charged to Guests (which may therefore only be increased at the Property Manager’s discretion) and may in any event be amended by the Parties in writing during the relationship.</w:t>
      </w:r>
      <w:bookmarkStart w:id="6" w:name="Le_somme_e_le_percentuali_di_cui_alla_Ta"/>
      <w:bookmarkEnd w:id="6"/>
    </w:p>
    <w:p w:rsidR="00D83012" w:rsidRDefault="00290CA9" w:rsidP="00A41BA1">
      <w:pPr>
        <w:pStyle w:val="Corpotesto"/>
        <w:spacing w:line="360" w:lineRule="auto"/>
        <w:jc w:val="both"/>
      </w:pPr>
      <w:r>
        <w:t xml:space="preserve">For short-term rentals, the rent indicated in the Table includes reimbursement of ordinary condominium charges, waste tax and utilities (electricity, gas, internet, etc.) of the Property, as well as any other cost / tax / duty not expressly indicated in this Agreement.</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9 and 10,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12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sub-delegate to third parties – each within its own competence – the technical, operational, tax and accounting activities covered by this agreement, with costs and liability borne by the Property Manager, except for the costs that this Agreement places on the Principal (including cleaning, linen and laundry services, booking platform commissions, maintenance and On-Site Interventions), which are governed by Articles 10, 12 and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By the 28th day of each calendar month, the Property Manager shall pay the Principal the amounts due for the actual period of occupancy accrued in the previous calendar month, determined in accordance with Article 10 below, i.e. the revenue from stays less the Property Manager’s fee, all ordinary and extraordinary costs borne by the Principal and any withholding taxes required by law.</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parties expressly agree that the Principal shall pay the Property Manager a fee for the initial administrative and advertising procedures amounting to EUR ______.</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15% (fifteen per cent) of the Overnight Stay Price of each booking. “Overnight Stay Price” means the price of the nights due from the Guest, as shown in the booking, gross of the booking platforms’ commissions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12; On-Site Interventions borne by the Principal under Article 13; any withholding taxes required by law. These amounts are paid monthly in accordance with Article 9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12, 13, 15 and 16,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9.</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made necessary by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cost of each On-Site Intervention is EUR ______ per visit, plus any out-of-pocket costs strictly necessary to allow access to the Property (by way of example: a locksmith to open the door, duplication of keys). The repair or replacement of locks, cylinders or access devices is governed by Article 12,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declares that it has taken out an insurance policy covering the risks connected with its activity, which is attached to this agreement (annex g).</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at any time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In order to allow the Property Manager to recover the investments made in the start-up phase of the Property (by way of example: photo shoot, creation and optimisation of listings, initial administrative procedures, fitting-out advice), the Parties agree on a guaranteed minimum term of the Agreement of 6 (six) months from the date of signature. Therefore, notice of withdrawal may not be given before 4 (four) months have elapsed from the date of signature; any notice received before that date shall be deemed received on the day following its expiry. In any event, the Agreement may not end by withdrawal before 6 (six) months have elapsed from its signature.</w:t>
      </w:r>
    </w:p>
    <w:p w:rsidR="00F04CC3" w:rsidRPr="00F04CC3" w:rsidRDefault="00F04CC3">
      <w:pPr>
        <w:pStyle w:val="Corpotesto"/>
        <w:spacing w:before="120" w:line="360" w:lineRule="auto"/>
        <w:jc w:val="both"/>
        <w:rPr/>
      </w:pPr>
      <w:r w:rsidRPr="00F04CC3">
        <w:rPr/>
        <w:t xml:space="preserve">In the event of early termination of the Agreement for reasons attributable to the Principal before the end of the minimum term, including revocation of the mandate in breach of this Article or termination of the Agreement for breach by the Principal, the Principal shall bear, in addition to the provisions of Article 16, the expenses incurred by the Property Manager in the start-up phase of the Property and in the Principal’s interest, provided they are documented and reasonably necessary or functional to the start-up and performance of the mandate.</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16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15,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10,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private agreement, give their consent to the use of their respective personal data in connection with the performance of this private agreement.</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1"/>
        </w:tabs>
        <w:spacing w:before="127"/>
        <w:ind w:left="0" w:hanging="257"/>
      </w:pPr>
      <w:r>
        <w:t xml:space="preserve">Cadastral floor plan;</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Declarations of conformity of the systems;</w:t>
      </w:r>
    </w:p>
    <w:p w:rsidR="00D83012" w:rsidRPr="00430EAB" w:rsidRDefault="00290CA9" w:rsidP="005F7F60">
      <w:pPr>
        <w:pStyle w:val="Paragrafoelenco"/>
        <w:numPr>
          <w:ilvl w:val="0"/>
          <w:numId w:val="2"/>
        </w:numPr>
        <w:tabs>
          <w:tab w:val="left" w:pos="675"/>
        </w:tabs>
        <w:spacing w:before="130"/>
        <w:ind w:left="0" w:hanging="251"/>
      </w:pPr>
      <w:r>
        <w:t xml:space="preserve">Table of fees and expenses;</w:t>
      </w:r>
    </w:p>
    <w:p w:rsidR="00D83012" w:rsidRPr="00430EAB" w:rsidRDefault="00290CA9" w:rsidP="005F7F60">
      <w:pPr>
        <w:pStyle w:val="Paragrafoelenco"/>
        <w:numPr>
          <w:ilvl w:val="0"/>
          <w:numId w:val="2"/>
        </w:numPr>
        <w:tabs>
          <w:tab w:val="left" w:pos="616"/>
        </w:tabs>
        <w:spacing w:before="131"/>
        <w:ind w:left="0" w:hanging="192"/>
      </w:pPr>
      <w:r>
        <w:t xml:space="preserve">Cash flow information table;</w:t>
      </w:r>
    </w:p>
    <w:p w:rsidR="00D83012" w:rsidRPr="00430EAB" w:rsidRDefault="00290CA9" w:rsidP="005F7F60">
      <w:pPr>
        <w:pStyle w:val="Paragrafoelenco"/>
        <w:numPr>
          <w:ilvl w:val="0"/>
          <w:numId w:val="2"/>
        </w:numPr>
        <w:tabs>
          <w:tab w:val="left" w:pos="682"/>
        </w:tabs>
        <w:spacing w:before="130"/>
        <w:ind w:left="0" w:hanging="258"/>
      </w:pPr>
      <w:r>
        <w:t xml:space="preserve">Property Manager’s insurance policy;</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Liability of the Property Manager and its limitations;</w:t>
      </w:r>
    </w:p>
    <w:p w:rsidR="00D83012" w:rsidRPr="00430EAB" w:rsidRDefault="00290CA9" w:rsidP="00B16EF4">
      <w:pPr>
        <w:pStyle w:val="Corpotesto"/>
        <w:spacing w:before="40"/>
        <w:ind w:left="360"/>
      </w:pPr>
      <w:r>
        <w:t xml:space="preserve">12) Maintenance of the Property;</w:t>
      </w:r>
    </w:p>
    <w:p w:rsidR="00D83012" w:rsidRPr="00430EAB" w:rsidRDefault="00290CA9" w:rsidP="00B16EF4">
      <w:pPr>
        <w:pStyle w:val="Corpotesto"/>
        <w:spacing w:before="40"/>
        <w:ind w:left="360"/>
      </w:pPr>
      <w:r>
        <w:t xml:space="preserve">13) On-site interventions and Guest access;</w:t>
      </w:r>
    </w:p>
    <w:p w:rsidR="00D83012" w:rsidRPr="00430EAB" w:rsidRDefault="00290CA9" w:rsidP="00B16EF4">
      <w:pPr>
        <w:pStyle w:val="Corpotesto"/>
        <w:spacing w:before="40"/>
        <w:ind w:left="360"/>
      </w:pPr>
      <w:r>
        <w:t xml:space="preserve">15) Term and withdrawal;</w:t>
      </w:r>
    </w:p>
    <w:p w:rsidR="00D83012" w:rsidRPr="00430EAB" w:rsidRDefault="00290CA9" w:rsidP="00B16EF4">
      <w:pPr>
        <w:pStyle w:val="Corpotesto"/>
        <w:spacing w:before="40"/>
        <w:ind w:left="360"/>
      </w:pPr>
      <w:r>
        <w:t xml:space="preserve">16) Bookings outstanding at the termination of the Agreement;</w:t>
      </w:r>
    </w:p>
    <w:p w:rsidR="00D83012" w:rsidRPr="00430EAB" w:rsidRDefault="00290CA9" w:rsidP="00B16EF4">
      <w:pPr>
        <w:pStyle w:val="Corpotesto"/>
        <w:spacing w:before="40"/>
        <w:ind w:left="360"/>
      </w:pPr>
      <w:r>
        <w:t xml:space="preserve">17) Express termination clause;</w:t>
      </w:r>
      <w:bookmarkStart w:id="29" w:name="_GoBack"/>
      <w:bookmarkEnd w:id="29"/>
    </w:p>
    <w:p w:rsidR="00D83012" w:rsidRPr="00430EAB" w:rsidRDefault="00290CA9" w:rsidP="00B16EF4">
      <w:pPr>
        <w:pStyle w:val="Corpotesto"/>
        <w:spacing w:before="40"/>
        <w:ind w:left="360"/>
      </w:pPr>
      <w:r>
        <w:t xml:space="preserve">20)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