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Il/la</w:t>
      </w:r>
      <w:r>
        <w:tab/>
      </w:r>
      <w:r>
        <w:rPr>
          <w:spacing w:val="-2"/>
        </w:rPr>
        <w:t>………………………..…………..,</w:t>
      </w:r>
      <w:r>
        <w:tab/>
      </w:r>
      <w:r>
        <w:rPr>
          <w:spacing w:val="-2"/>
        </w:rPr>
        <w:t>nato/a</w:t>
      </w:r>
      <w:r>
        <w:tab/>
      </w:r>
      <w:r>
        <w:rPr>
          <w:spacing w:val="-10"/>
        </w:rPr>
        <w:t>a</w:t>
      </w:r>
      <w:r>
        <w:tab/>
      </w:r>
      <w:r>
        <w:rPr>
          <w:spacing w:val="-10"/>
        </w:rPr>
        <w:t>,</w:t>
      </w:r>
    </w:p>
    <w:p w:rsidR="00D83012" w:rsidRDefault="00290CA9" w:rsidP="005F7F60">
      <w:pPr>
        <w:pStyle w:val="Corpotesto"/>
        <w:tabs>
          <w:tab w:val="left" w:pos="981"/>
          <w:tab w:val="left" w:pos="1264"/>
          <w:tab w:val="left" w:pos="3129"/>
          <w:tab w:val="left" w:pos="4492"/>
          <w:tab w:val="left" w:pos="5071"/>
          <w:tab w:val="left" w:pos="6131"/>
          <w:tab w:val="left" w:pos="6938"/>
          <w:tab w:val="left" w:pos="8121"/>
          <w:tab w:val="left" w:pos="9367"/>
          <w:tab w:val="left" w:pos="9895"/>
        </w:tabs>
        <w:spacing w:before="126" w:line="362" w:lineRule="auto"/>
      </w:pPr>
      <w:r>
        <w:rPr>
          <w:spacing w:val="-6"/>
        </w:rPr>
        <w:t>il</w:t>
      </w:r>
      <w:r>
        <w:tab/>
      </w:r>
      <w:r>
        <w:rPr>
          <w:spacing w:val="-2"/>
        </w:rPr>
        <w:t>……./……/……..,</w:t>
      </w:r>
      <w:r>
        <w:tab/>
      </w:r>
      <w:r>
        <w:rPr>
          <w:spacing w:val="-2"/>
        </w:rPr>
        <w:t>residente</w:t>
      </w:r>
      <w:r>
        <w:tab/>
      </w:r>
      <w:r>
        <w:rPr>
          <w:spacing w:val="-10"/>
        </w:rPr>
        <w:t>a</w:t>
      </w:r>
      <w:r>
        <w:tab/>
      </w:r>
      <w:r>
        <w:rPr>
          <w:spacing w:val="-2"/>
        </w:rPr>
        <w:t>…………………………………………………..,</w:t>
      </w:r>
      <w:r>
        <w:tab/>
      </w:r>
      <w:r>
        <w:rPr>
          <w:spacing w:val="-6"/>
        </w:rPr>
        <w:t xml:space="preserve">in </w:t>
      </w:r>
      <w:r>
        <w:rPr>
          <w:spacing w:val="-5"/>
        </w:rPr>
        <w:t>via</w:t>
      </w:r>
      <w:r>
        <w:tab/>
      </w:r>
      <w:r>
        <w:tab/>
      </w:r>
      <w:r>
        <w:rPr>
          <w:spacing w:val="-2"/>
        </w:rPr>
        <w:t>…………………………………………………..</w:t>
      </w:r>
      <w:r>
        <w:tab/>
      </w:r>
      <w:r>
        <w:rPr>
          <w:spacing w:val="-5"/>
        </w:rPr>
        <w:t>nr.</w:t>
      </w:r>
      <w:r>
        <w:tab/>
      </w:r>
      <w:r>
        <w:rPr>
          <w:spacing w:val="-2"/>
        </w:rPr>
        <w:t>……..,</w:t>
      </w:r>
      <w:r>
        <w:tab/>
      </w:r>
      <w:r>
        <w:rPr>
          <w:spacing w:val="-2"/>
        </w:rPr>
        <w:t>Codice</w:t>
      </w:r>
      <w:r>
        <w:tab/>
      </w:r>
      <w:r>
        <w:rPr>
          <w:spacing w:val="-2"/>
        </w:rPr>
        <w:t>Fiscale</w:t>
      </w:r>
    </w:p>
    <w:p w:rsidR="00D83012" w:rsidRDefault="00290CA9" w:rsidP="005F7F60">
      <w:pPr>
        <w:pStyle w:val="Corpotesto"/>
        <w:tabs>
          <w:tab w:val="left" w:leader="dot" w:pos="5035"/>
        </w:tabs>
        <w:spacing w:line="247" w:lineRule="exact"/>
      </w:pPr>
      <w:r>
        <w:rPr>
          <w:spacing w:val="-10"/>
        </w:rPr>
        <w:t>n</w:t>
      </w:r>
      <w:r>
        <w:tab/>
        <w:t xml:space="preserve">(nel seguito, per brevità, il </w:t>
      </w:r>
      <w:r>
        <w:rPr>
          <w:spacing w:val="-2"/>
        </w:rPr>
        <w:t>“</w:t>
      </w:r>
      <w:r>
        <w:rPr>
          <w:rFonts w:ascii="Arial" w:hAnsi="Arial"/>
          <w:b/>
          <w:spacing w:val="-2"/>
        </w:rPr>
        <w:t>Mandante</w:t>
      </w:r>
      <w:r>
        <w:rPr>
          <w:spacing w:val="-2"/>
        </w:rPr>
        <w:t>”)</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Il Mandante è proprietario (</w:t>
      </w:r>
      <w:r>
        <w:rPr>
          <w:rFonts w:ascii="Arial" w:hAnsi="Arial"/>
          <w:i/>
        </w:rPr>
        <w:t>comproprietario/usufruttuario/comodatario/locatario/altro</w:t>
      </w:r>
      <w:r>
        <w:t>) dell’immobile (di seguito l’“</w:t>
      </w:r>
      <w:r>
        <w:rPr>
          <w:rFonts w:ascii="Arial" w:hAnsi="Arial"/>
          <w:b/>
        </w:rPr>
        <w:t>Immobile</w:t>
      </w:r>
      <w:r>
        <w:t xml:space="preserve">”): sito in …………………….. (….), Via </w:t>
      </w:r>
      <w:r>
        <w:rPr>
          <w:u w:val="single"/>
        </w:rPr>
        <w:tab/>
      </w:r>
      <w:r>
        <w:t>n. , interno</w:t>
      </w:r>
      <w:r>
        <w:rPr>
          <w:u w:val="single"/>
        </w:rPr>
        <w:tab/>
      </w:r>
      <w:r>
        <w:rPr>
          <w:spacing w:val="-10"/>
        </w:rPr>
        <w:t xml:space="preserve">, </w:t>
      </w:r>
      <w:r>
        <w:rPr>
          <w:spacing w:val="-4"/>
        </w:rPr>
        <w:t>piano</w:t>
      </w:r>
      <w:r>
        <w:rPr>
          <w:u w:val="single"/>
        </w:rPr>
        <w:tab/>
      </w:r>
      <w:r>
        <w:t>; meglio individuato al NCEU del Comune di………………al Foglio …, Mapp….</w:t>
      </w:r>
      <w:r>
        <w:rPr>
          <w:spacing w:val="-2"/>
        </w:rPr>
        <w:t>, Sub. ….</w:t>
      </w:r>
      <w:r>
        <w:t>, Categoria Catastale …..</w:t>
      </w:r>
      <w:r>
        <w:rPr>
          <w:spacing w:val="-10"/>
        </w:rPr>
        <w:t>;</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che nel corso dell’anno solare il Property Manager non potrà superare il numero massimo di giornate di locazione previste per la gestione dell’Immobile in forma non imprenditoriale dalla normativa nazionale e locale applicabili.</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10 e 11, al netto delle eventuali ritenute di legge sull’ammontare dei canoni, ove previste dalla normativa. </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Ricevuta del Mandante all’Ospite per ogni prenotazione. L’importo di tale ricevuta è pari al canone incassato dal Mandante al lordo delle spese dallo stesso sostenute; </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Il Mandante, per le locazioni di durata superiore a 30 giorni, dichiara</w:t>
      </w:r>
      <w:r>
        <w:rPr>
          <w:spacing w:val="-5"/>
        </w:rPr>
        <w:t xml:space="preserve"> di:</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OPTARE</w:t>
      </w:r>
    </w:p>
    <w:p w:rsidR="00D83012" w:rsidRDefault="00290CA9" w:rsidP="00AA3CF1">
      <w:pPr>
        <w:pStyle w:val="Paragrafoelenco"/>
        <w:numPr>
          <w:ilvl w:val="0"/>
          <w:numId w:val="18"/>
        </w:numPr>
        <w:tabs>
          <w:tab w:val="left" w:pos="781"/>
        </w:tabs>
        <w:spacing w:before="144"/>
      </w:pPr>
      <w:bookmarkStart w:id="18" w:name="□__NON_OPTARE"/>
      <w:bookmarkEnd w:id="18"/>
      <w:r>
        <w:lastRenderedPageBreak/>
        <w:t xml:space="preserve">NON </w:t>
      </w:r>
      <w:r>
        <w:rPr>
          <w:spacing w:val="-2"/>
        </w:rPr>
        <w:t>OPTARE</w:t>
      </w:r>
    </w:p>
    <w:p w:rsidR="00D83012" w:rsidRDefault="00AA3CF1" w:rsidP="005F7F60">
      <w:pPr>
        <w:pStyle w:val="Corpotesto"/>
        <w:spacing w:before="158"/>
        <w:jc w:val="both"/>
      </w:pPr>
      <w:bookmarkStart w:id="19" w:name="al_regime_di_tassazione_con_cedolare_sec"/>
      <w:bookmarkEnd w:id="19"/>
      <w:r>
        <w:t xml:space="preserve">Per il regime di tassazione con cedolare </w:t>
      </w:r>
      <w:r>
        <w:rPr>
          <w:spacing w:val="-2"/>
        </w:rPr>
        <w:t>secca.</w:t>
      </w:r>
    </w:p>
    <w:p w:rsidR="00D83012" w:rsidRDefault="00290CA9" w:rsidP="005F7F60">
      <w:pPr>
        <w:pStyle w:val="Corpotesto"/>
        <w:spacing w:before="130" w:line="362" w:lineRule="auto"/>
        <w:jc w:val="both"/>
      </w:pPr>
      <w:bookmarkStart w:id="20" w:name="In_caso_di_opzione_di_tassazione_con_ced"/>
      <w:bookmarkEnd w:id="20"/>
      <w:r>
        <w:t>In caso di opzione di tassazione con cedolare secca, il Mandante incarica il Property Manager di rispettare gli adempimenti relativi a tale scelta nella comunicazione al Conduttore ed all’Agenzia delle Entrate.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a lui intestato al seguente </w:t>
      </w:r>
      <w:r>
        <w:rPr>
          <w:b/>
        </w:rPr>
        <w:t>IBAN:</w:t>
      </w:r>
      <w:r>
        <w:t>_______________________________</w:t>
      </w:r>
      <w:r>
        <w:tab/>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Il Mandante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Il Mandante</w:t>
      </w:r>
      <w:r>
        <w:tab/>
        <w:t>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