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Al fine di adempiere alle obbligazioni di cui all’art.1 che precede, il Property Manager</w:t>
      </w:r>
      <w:r>
        <w:rPr>
          <w:color w:val="000009"/>
          <w:spacing w:val="-2"/>
        </w:rPr>
        <w:t xml:space="preserve">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w:t>
      </w:r>
      <w:r>
        <w:rPr>
          <w:rFonts w:ascii="Arial" w:hAnsi="Arial"/>
          <w:i/>
          <w:color w:val="000009"/>
        </w:rPr>
        <w:t xml:space="preserve">book </w:t>
      </w:r>
      <w:r>
        <w:rPr>
          <w:color w:val="000009"/>
        </w:rPr>
        <w:t xml:space="preserve">fotografico e della planimetria fornita dal Mandante, su diverse piattaforme </w:t>
      </w:r>
      <w:r>
        <w:rPr>
          <w:rFonts w:ascii="Arial" w:hAnsi="Arial"/>
          <w:i/>
          <w:color w:val="000009"/>
        </w:rPr>
        <w:t xml:space="preserve">online </w:t>
      </w:r>
      <w:r>
        <w:rPr>
          <w:color w:val="000009"/>
        </w:rPr>
        <w:t>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w:t>
      </w:r>
      <w:r>
        <w:rPr>
          <w:rFonts w:ascii="Arial" w:hAnsi="Arial"/>
          <w:i/>
        </w:rPr>
        <w:t xml:space="preserve">check-in </w:t>
      </w:r>
      <w:r>
        <w:t>attraverso l’accesso al gestionale completo ovvero comunque alla riscossione dei canoni dovuto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richiedere agli Ospiti di rilascio di recensioni sulle piattaforme o siti utilizzati dagli stessi per il perfezionamento del rapporto locatizio;</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Nel dettaglio</w:t>
      </w:r>
      <w:r>
        <w:rPr>
          <w:b/>
          <w:color w:val="000009"/>
          <w:spacing w:val="-2"/>
        </w:rPr>
        <w:t>, i servizi che il Property Manager si impegna a fornire agli Ospiti</w:t>
      </w:r>
      <w:r>
        <w:rPr>
          <w:color w:val="000009"/>
          <w:spacing w:val="-2"/>
        </w:rPr>
        <w:t xml:space="preserve">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prendere contatto con gli Ospiti per accordi su orario di arrivo e partenza, inviando messaggi mail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Per tutta la durata del presente Contratto il Mandante si impegna a rendere disponibile l’Immobile al fine di consentire al Property Manager di adempiere alle proprie obbligazioni e dar corso alle locazioni.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inoltre, i corrispettivi ricevuti dal Property Manager a titolo di canone di locazione saranno versati, senza maggiorazione di interessi, dal Property Manager al Mandante mensilmente, secondo quanto previsto dagli artt. 10 e 11, al netto delle eventuali ritenute di legge, ove previste dalla normativa applicabile al Mandante.</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Fattura del Mandante all’Ospite per ogni prenotazione, emessa dal Property Manager in nome e per conto del Mandante secondo il regime IVA applicabile ai canoni, che il Mandante comunica per iscritto al Property Manager prima dell’avvio delle locazioni. L’importo di tale fattura è pari al canone di spettanza del Mandante al lordo delle spese dallo stesso sostenute;</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intestato al Mandante al seguente IBAN: _______________________________</w:t>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servizio fotografico, creazione e ottimizzazione degli annunci,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E’ altresì responsabile </w:t>
      </w:r>
      <w:r w:rsidRPr="00237DDC">
        <w:rPr/>
        <w:t xml:space="preserve">della richiesta, della riscossione e della gestione del deposito cauzionale o di idonee garanzie previste per le locazioni di media durata, nonché dello svolgimento delle attività di controllo previste nella fase di check-out. Il </w:t>
      </w:r>
      <w:proofErr w:type="spellStart"/>
      <w:r w:rsidRPr="00237DDC">
        <w:rPr/>
        <w:t>Property</w:t>
      </w:r>
      <w:proofErr w:type="spellEnd"/>
      <w:r w:rsidRPr="00237DDC">
        <w:rPr/>
        <w:t xml:space="preserve">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Ciascuna Parte potrà recedere dal Contratto in qualsiasi momento,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Può essere trattenuto dalle somme da versare 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la mancata richiesta del deposito cauzionale iniziale dovuto dall’Ospite secondo l’art. 2, lett. I) ove venga accertata l’es</w:t>
      </w:r>
      <w:r w:rsidR="009B1639">
        <w:t xml:space="preserve">istenza di danni all’Immobile, agli arredi </w:t>
      </w:r>
      <w:r w:rsidR="009B1639">
        <w:rPr/>
        <w:t xml:space="preserve">o alle dotazioni, </w:t>
      </w:r>
      <w:r w:rsidR="009B1639" w:rsidRPr="009B1639">
        <w:t xml:space="preserve">o </w:t>
      </w:r>
      <w:r w:rsidRPr="009B1639">
        <w:t>a</w:t>
      </w:r>
      <w:r>
        <w:t>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w:t>
      </w:r>
      <w:r>
        <w:t xml:space="preserve"/>
      </w:r>
      <w:r w:rsidR="00761B77" w:rsidRPr="00761B77">
        <w:rPr/>
        <w:t>GDPR</w:t>
      </w:r>
      <w:r w:rsidR="00761B77">
        <w:t xml:space="preserve"> </w:t>
      </w:r>
      <w:r>
        <w:t>e di prestare, con la sottoscrizione della presente Scrittura Privata, il proprio consenso all’utilizzo dei rispettivi dati personali in relazione all’esecuzione della presente Scrittura Privata.</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A questo fine, in particolare, le Parti si danno reciprocamente atto di regolare gli adempimenti di cui alla Normativa sulla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