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 diverse piattaforme online 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check-in attraverso l’accesso al gestionale completo e, comunque, provvedere alla riscossione dei canoni dovuti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 corrispettivi ricevuti dal Property Manager a titolo di canone di locazione saranno versati, senza maggiorazione di interessi, dal Property Manager al Mandante mensilmente, secondo quanto previsto dagli artt. 10 e 11,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della riscossione e della gestione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roofErr w:type="spellStart"/>
      <w:proofErr w:type="spellEnd"/>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Fermo quanto previsto dal successivo comma in merito alla durata minima, 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compenso che sarebbe spettato al Property Manager ai sensi dell’art. 11 sul Costo del Pernottamento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