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SO-83428,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dell’immobile (di seguito l’“Immobile”): sito in ______________________ (____), Via ______________________ n. ____, interno ____, piano ____; meglio individuato al NCEU del Comune di ______________________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ove previste dalla normativa applicabile al Mandante.</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Fattura del Mandante all’Ospite per ogni prenotazione, emessa dal Property Manager in nome e per conto del Mandante secondo il regime IVA applicabile ai canoni, che il Mandante comunica per iscritto al Property Manager prima dell’avvio delle locazioni. L’importo di tale fattura è pari al canone di spettanza del Mandante al lordo delle spese dallo stesso sostenute;</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e le commissioni delle piattaforme di prenotazione (art. 11), le manutenzioni (art. 13) e gli Interventi in Loco nei casi previsti dall’art.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intestato al Mandante al seguente IBAN: _______________________________</w:t>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 xml:space="preserve">Le attività di avviamento svolte dal Property Manager (a titolo esemplificativo: servizio fotografico, creazione e ottimizzazione degli annunci, pratiche amministrative iniziali, consulenza per l’allestimento) hanno un valore convenzionalmente determinato in euro 500,00 (cinquecento/00) oltre IVA. Tale importo non è dovuto dal Mandante, salvo il caso di cessazione anticipata del Contratto prima che sia decorso 1 (un) anno dalla sua sottoscrizione, secondo quanto previsto dall’art. 16.</w:t>
      </w:r>
    </w:p>
    <w:p w:rsidR="00D13BE0" w:rsidRDefault="00991C5B">
      <w:pPr>
        <w:pStyle w:val="Corpotesto"/>
        <w:spacing w:before="120" w:line="360" w:lineRule="auto"/>
        <w:jc w:val="both"/>
      </w:pPr>
      <w:r>
        <w:t xml:space="preserve">Per l’attività di gestione e per i servizi di cui all’art. 2, al Property Manager spetta un compenso pari al 10% (dieci per cento) del Costo del Pernottamento di ciascuna prenotazione.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16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potrà essere trattenuto dalle somme da versare al Mandante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possono essere trattenuti dalle somme da versare al Mandante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Fermo quanto previsto dal successivo comma in merito alla durata minima, 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Parti convengono una durata minima del Contratto di 6 (sei) mesi dalla data di sottoscrizione. Pertanto il recesso non può essere comunicato prima che siano decorsi 4 (quattro) mesi dalla sottoscrizione; l’eventuale comunicazione pervenuta prima di tale termine si intenderà ricevuta il giorno successivo alla sua scadenza. In ogni caso il Contratto non potrà cessare per recesso prima che siano decorsi 6 (sei) mesi dalla sua sottoscrizione. Qualora il Contratto cessi per recesso del Mandante, o per risoluzione dovuta a inadempimento del Mandante, prima che sia decorso 1 (un) anno dalla sottoscrizione, il Mandante corrisponderà al Property Manager il rimborso forfettario dei costi di avviamento pari a euro 500,00 (cinquecento/00) oltre IVA, di cui all’art. 11.</w:t>
      </w:r>
    </w:p>
    <w:p w:rsidR="00F04CC3" w:rsidRPr="00F04CC3" w:rsidRDefault="00F04CC3">
      <w:pPr>
        <w:pStyle w:val="Corpotesto"/>
        <w:spacing w:before="120" w:line="360" w:lineRule="auto"/>
        <w:jc w:val="both"/>
        <w:rPr/>
      </w:pPr>
      <w:r w:rsidRPr="00F04CC3">
        <w:rPr/>
        <w:t xml:space="preserve">Il rimborso forfettario di cui al comma precedente non è dovuto qualora il Contratto cessi per recesso del Property Manager o per risoluzione dovuta a inadempimento del Property Manager. Può essere trattenuto dalle somme da versare al Mandante ai sensi dell’art. 10.</w:t>
      </w:r>
      <w:proofErr w:type="spellStart"/>
      <w:proofErr w:type="spellEnd"/>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 (rimborso forfettario dei costi di avviamento);</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