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Il/la</w:t>
      </w:r>
      <w:r>
        <w:tab/>
      </w:r>
      <w:r>
        <w:rPr>
          <w:spacing w:val="-2"/>
        </w:rPr>
        <w:t>………………………..…………..,</w:t>
      </w:r>
      <w:r>
        <w:tab/>
      </w:r>
      <w:r>
        <w:rPr>
          <w:spacing w:val="-2"/>
        </w:rPr>
        <w:t>nato/a</w:t>
      </w:r>
      <w:r>
        <w:tab/>
      </w:r>
      <w:r>
        <w:rPr>
          <w:spacing w:val="-10"/>
        </w:rPr>
        <w:t>a</w:t>
      </w:r>
      <w:r>
        <w:tab/>
      </w:r>
      <w:r>
        <w:rPr>
          <w:spacing w:val="-10"/>
        </w:rPr>
        <w:t>,</w:t>
      </w:r>
    </w:p>
    <w:p w:rsidR="00D83012" w:rsidRDefault="00290CA9" w:rsidP="005F7F60">
      <w:pPr>
        <w:pStyle w:val="Corpotesto"/>
        <w:tabs>
          <w:tab w:val="left" w:pos="981"/>
          <w:tab w:val="left" w:pos="1264"/>
          <w:tab w:val="left" w:pos="3129"/>
          <w:tab w:val="left" w:pos="4492"/>
          <w:tab w:val="left" w:pos="5071"/>
          <w:tab w:val="left" w:pos="6131"/>
          <w:tab w:val="left" w:pos="6938"/>
          <w:tab w:val="left" w:pos="8121"/>
          <w:tab w:val="left" w:pos="9367"/>
          <w:tab w:val="left" w:pos="9895"/>
        </w:tabs>
        <w:spacing w:before="126" w:line="362" w:lineRule="auto"/>
      </w:pPr>
      <w:r>
        <w:rPr>
          <w:spacing w:val="-6"/>
        </w:rPr>
        <w:t>il</w:t>
      </w:r>
      <w:r>
        <w:tab/>
      </w:r>
      <w:r>
        <w:rPr>
          <w:spacing w:val="-2"/>
        </w:rPr>
        <w:t>……./……/……..,</w:t>
      </w:r>
      <w:r>
        <w:tab/>
      </w:r>
      <w:r>
        <w:rPr>
          <w:spacing w:val="-2"/>
        </w:rPr>
        <w:t>residente</w:t>
      </w:r>
      <w:r>
        <w:tab/>
      </w:r>
      <w:r>
        <w:rPr>
          <w:spacing w:val="-10"/>
        </w:rPr>
        <w:t>a</w:t>
      </w:r>
      <w:r>
        <w:tab/>
      </w:r>
      <w:r>
        <w:rPr>
          <w:spacing w:val="-2"/>
        </w:rPr>
        <w:t>…………………………………………………..,</w:t>
      </w:r>
      <w:r>
        <w:tab/>
      </w:r>
      <w:r>
        <w:rPr>
          <w:spacing w:val="-6"/>
        </w:rPr>
        <w:t xml:space="preserve">in </w:t>
      </w:r>
      <w:r>
        <w:rPr>
          <w:spacing w:val="-5"/>
        </w:rPr>
        <w:t>via</w:t>
      </w:r>
      <w:r>
        <w:tab/>
      </w:r>
      <w:r>
        <w:tab/>
      </w:r>
      <w:r>
        <w:rPr>
          <w:spacing w:val="-2"/>
        </w:rPr>
        <w:t>…………………………………………………..</w:t>
      </w:r>
      <w:r>
        <w:tab/>
      </w:r>
      <w:r>
        <w:rPr>
          <w:spacing w:val="-5"/>
        </w:rPr>
        <w:t>nr.</w:t>
      </w:r>
      <w:r>
        <w:tab/>
      </w:r>
      <w:r>
        <w:rPr>
          <w:spacing w:val="-2"/>
        </w:rPr>
        <w:t>……..,</w:t>
      </w:r>
      <w:r>
        <w:tab/>
      </w:r>
      <w:r>
        <w:rPr>
          <w:spacing w:val="-2"/>
        </w:rPr>
        <w:t>Codice</w:t>
      </w:r>
      <w:r>
        <w:tab/>
      </w:r>
      <w:r>
        <w:rPr>
          <w:spacing w:val="-2"/>
        </w:rPr>
        <w:t>Fiscale</w:t>
      </w:r>
    </w:p>
    <w:p w:rsidR="00D83012" w:rsidRDefault="00290CA9" w:rsidP="005F7F60">
      <w:pPr>
        <w:pStyle w:val="Corpotesto"/>
        <w:tabs>
          <w:tab w:val="left" w:leader="dot" w:pos="5035"/>
        </w:tabs>
        <w:spacing w:line="247" w:lineRule="exact"/>
      </w:pPr>
      <w:r>
        <w:rPr>
          <w:spacing w:val="-10"/>
        </w:rPr>
        <w:t>n</w:t>
      </w:r>
      <w:r>
        <w:tab/>
        <w:t xml:space="preserve">(nel seguito, per brevità, il </w:t>
      </w:r>
      <w:r>
        <w:rPr>
          <w:spacing w:val="-2"/>
        </w:rPr>
        <w:t>“</w:t>
      </w:r>
      <w:r>
        <w:rPr>
          <w:rFonts w:ascii="Arial" w:hAnsi="Arial"/>
          <w:b/>
          <w:spacing w:val="-2"/>
        </w:rPr>
        <w:t>Mandante</w:t>
      </w:r>
      <w:r>
        <w:rPr>
          <w:spacing w:val="-2"/>
        </w:rPr>
        <w:t>”)</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Il Mandante è proprietario (</w:t>
      </w:r>
      <w:r>
        <w:rPr>
          <w:rFonts w:ascii="Arial" w:hAnsi="Arial"/>
          <w:i/>
        </w:rPr>
        <w:t>comproprietario/usufruttuario/comodatario/locatario/altro</w:t>
      </w:r>
      <w:r>
        <w:t>) dell’immobile (di seguito l’“</w:t>
      </w:r>
      <w:r>
        <w:rPr>
          <w:rFonts w:ascii="Arial" w:hAnsi="Arial"/>
          <w:b/>
        </w:rPr>
        <w:t>Immobile</w:t>
      </w:r>
      <w:r>
        <w:t xml:space="preserve">”): sito in …………………….. (….), Via </w:t>
      </w:r>
      <w:r>
        <w:rPr>
          <w:u w:val="single"/>
        </w:rPr>
        <w:tab/>
      </w:r>
      <w:r>
        <w:t>n. , interno</w:t>
      </w:r>
      <w:r>
        <w:rPr>
          <w:u w:val="single"/>
        </w:rPr>
        <w:tab/>
      </w:r>
      <w:r>
        <w:rPr>
          <w:spacing w:val="-10"/>
        </w:rPr>
        <w:t xml:space="preserve">, </w:t>
      </w:r>
      <w:r>
        <w:rPr>
          <w:spacing w:val="-4"/>
        </w:rPr>
        <w:t>piano</w:t>
      </w:r>
      <w:r>
        <w:rPr>
          <w:u w:val="single"/>
        </w:rPr>
        <w:tab/>
      </w:r>
      <w:r>
        <w:t>; meglio individuato al NCEU del Comune di………………al Foglio …, Mapp….</w:t>
      </w:r>
      <w:r>
        <w:rPr>
          <w:spacing w:val="-2"/>
        </w:rPr>
        <w:t>, Sub. ….</w:t>
      </w:r>
      <w:r>
        <w:t>, Categoria Catastale …..</w:t>
      </w:r>
      <w:r>
        <w:rPr>
          <w:spacing w:val="-10"/>
        </w:rPr>
        <w:t>;</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line="250" w:lineRule="exact"/>
      </w:pPr>
      <w:r>
        <w:t xml:space="preserve">Piantina </w:t>
      </w:r>
      <w:r>
        <w:rPr>
          <w:spacing w:val="-2"/>
        </w:rPr>
        <w:t>catastale;</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Dichiarazioni di conformità degli </w:t>
        </w:r>
        <w:r w:rsidR="003A44A9">
          <w:rPr>
            <w:spacing w:val="-2"/>
          </w:rPr>
          <w:t>impianti;</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Al fine di adempiere alle obbligazioni di cui all’art.1 che precede, il Property Manager</w:t>
      </w:r>
      <w:r>
        <w:rPr>
          <w:color w:val="000009"/>
          <w:spacing w:val="-2"/>
        </w:rPr>
        <w:t xml:space="preserve">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w:t>
      </w:r>
      <w:r>
        <w:rPr>
          <w:rFonts w:ascii="Arial" w:hAnsi="Arial"/>
          <w:i/>
          <w:color w:val="000009"/>
        </w:rPr>
        <w:t xml:space="preserve">book </w:t>
      </w:r>
      <w:r>
        <w:rPr>
          <w:color w:val="000009"/>
        </w:rPr>
        <w:t xml:space="preserve">fotografico e della planimetria fornita dal Mandante, su diverse piattaforme </w:t>
      </w:r>
      <w:r>
        <w:rPr>
          <w:rFonts w:ascii="Arial" w:hAnsi="Arial"/>
          <w:i/>
          <w:color w:val="000009"/>
        </w:rPr>
        <w:t xml:space="preserve">online </w:t>
      </w:r>
      <w:r>
        <w:rPr>
          <w:color w:val="000009"/>
        </w:rPr>
        <w:t>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di concerto con il Mandante, i corrispettivi da richiedere agli Ospiti (distinti fra quota relativa alla locazione dell’Immobile e quota relativa ai servizi che il Property Manager fornisce direttamente agli Ospiti), tenuto conto della durata del soggiorno, della stagione e del numero di occupanti;</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w:t>
      </w:r>
      <w:r>
        <w:rPr>
          <w:rFonts w:ascii="Arial" w:hAnsi="Arial"/>
          <w:i/>
        </w:rPr>
        <w:t xml:space="preserve">check-in </w:t>
      </w:r>
      <w:r>
        <w:t>attraverso l’accesso al gestionale completo ovvero comunque alla riscossione dei canoni dovuto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richiedere agli Ospiti di rilascio di recensioni sulle piattaforme o siti utilizzati dagli stessi per il perfezionamento del rapporto locatizio;</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Nel dettaglio</w:t>
      </w:r>
      <w:r>
        <w:rPr>
          <w:b/>
          <w:color w:val="000009"/>
          <w:spacing w:val="-2"/>
        </w:rPr>
        <w:t>, i servizi che il Property Manager si impegna a fornire agli Ospiti</w:t>
      </w:r>
      <w:r>
        <w:rPr>
          <w:color w:val="000009"/>
          <w:spacing w:val="-2"/>
        </w:rPr>
        <w:t xml:space="preserve">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prendere contatto con gli Ospiti per accordi su orario di arrivo e partenza, inviando messaggi mail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ove previsto, anche mediante strumenti di identificazione a distanza conformi a tale normativa;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al </w:t>
      </w:r>
      <w:r>
        <w:rPr>
          <w:i/>
        </w:rPr>
        <w:t>check-out</w:t>
      </w:r>
      <w:r>
        <w:t xml:space="preserve"> alla fine del soggiorno, alla verifica dell’Immobile ed al ritiro delle chiavi;</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Per tutta la durata del presente Contratto il Mandante si impegna a rendere disponibile l’Immobile al fine di consentire al Property Manager di adempiere alle proprie obbligazioni e dar corso alle locazioni.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che nel corso dell’anno solare il Property Manager non potrà superare il numero massimo di giornate di locazione previste per la gestione dell’Immobile in forma non imprenditoriale dalla normativa nazionale e locale applicabili.</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di concerto con il Mandante, in base alla stagionalità, al numero degli occupanti e alla durata del soggiorno, applicando una tariffa giornaliera per i giorni di effettiva locazione dell’Immobile.</w:t>
      </w:r>
    </w:p>
    <w:p w:rsidR="00D83012" w:rsidRDefault="00290CA9" w:rsidP="00A41BA1">
      <w:pPr>
        <w:pStyle w:val="Corpotesto"/>
        <w:spacing w:line="360" w:lineRule="auto"/>
        <w:jc w:val="both"/>
      </w:pPr>
      <w:r>
        <w:t xml:space="preserve">Per le locazioni a breve termine, il canone è comprensivo del rimborso delle spese condominiali ordinarie, della Tassa Rifiuti e delle Utenze (elettricità, gas, internet, ecc.) dell’Immobile, oltre a qualsiasi altra spesa / imposta / tassa non espressamente indicata nel presente Contratto.</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inoltre, i corrispettivi ricevuti dal Property Manager a titolo di canone di locazione saranno versati, senza maggiorazione di interessi, dal Property Manager al Mandante mensilmente, secondo quanto previsto dagli artt. 10 e 11, al netto delle eventuali ritenute di legge sull’ammontare dei canoni, ove previste dalla normativa. </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Ricevuta del Mandante all’Ospite per ogni prenotazione. L’importo di tale ricevuta è pari al canone incassato dal Mandante al lordo delle spese dallo stesso sostenute; </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Il Mandante, per le locazioni di durata superiore a 30 giorni, dichiara</w:t>
      </w:r>
      <w:r>
        <w:rPr>
          <w:spacing w:val="-5"/>
        </w:rPr>
        <w:t xml:space="preserve"> di:</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OPTARE</w:t>
      </w:r>
    </w:p>
    <w:p w:rsidR="00D83012" w:rsidRDefault="00290CA9" w:rsidP="00AA3CF1">
      <w:pPr>
        <w:pStyle w:val="Paragrafoelenco"/>
        <w:numPr>
          <w:ilvl w:val="0"/>
          <w:numId w:val="18"/>
        </w:numPr>
        <w:tabs>
          <w:tab w:val="left" w:pos="781"/>
        </w:tabs>
        <w:spacing w:before="144"/>
      </w:pPr>
      <w:bookmarkStart w:id="18" w:name="□__NON_OPTARE"/>
      <w:bookmarkEnd w:id="18"/>
      <w:r>
        <w:lastRenderedPageBreak/>
        <w:t xml:space="preserve">NON </w:t>
      </w:r>
      <w:r>
        <w:rPr>
          <w:spacing w:val="-2"/>
        </w:rPr>
        <w:t>OPTARE</w:t>
      </w:r>
    </w:p>
    <w:p w:rsidR="00D83012" w:rsidRDefault="00AA3CF1" w:rsidP="005F7F60">
      <w:pPr>
        <w:pStyle w:val="Corpotesto"/>
        <w:spacing w:before="158"/>
        <w:jc w:val="both"/>
      </w:pPr>
      <w:bookmarkStart w:id="19" w:name="al_regime_di_tassazione_con_cedolare_sec"/>
      <w:bookmarkEnd w:id="19"/>
      <w:r>
        <w:t xml:space="preserve">Per il regime di tassazione con cedolare </w:t>
      </w:r>
      <w:r>
        <w:rPr>
          <w:spacing w:val="-2"/>
        </w:rPr>
        <w:t>secca.</w:t>
      </w:r>
    </w:p>
    <w:p w:rsidR="00D83012" w:rsidRDefault="00290CA9" w:rsidP="005F7F60">
      <w:pPr>
        <w:pStyle w:val="Corpotesto"/>
        <w:spacing w:before="130" w:line="362" w:lineRule="auto"/>
        <w:jc w:val="both"/>
      </w:pPr>
      <w:bookmarkStart w:id="20" w:name="In_caso_di_opzione_di_tassazione_con_ced"/>
      <w:bookmarkEnd w:id="20"/>
      <w:r>
        <w:t>In caso di opzione di tassazione con cedolare secca, il Mandante incarica il Property Manager di rispettare gli adempimenti relativi a tale scelta nella comunicazione al Conduttore ed all’Agenzia delle Entrate.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a lui intestato al seguente </w:t>
      </w:r>
      <w:r>
        <w:rPr>
          <w:b/>
        </w:rPr>
        <w:t>IBAN:</w:t>
      </w:r>
      <w:r>
        <w:t>_______________________________</w:t>
      </w:r>
      <w:r>
        <w:tab/>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E’ espressamente pattuito fra le parti che il Mandante riconoscerà al Property Manager un compenso per le pratiche iniziali sia burocratiche sia pubblicitarie pari ad euro ______.</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E’ altresì responsabile </w:t>
      </w:r>
      <w:r w:rsidRPr="00237DDC">
        <w:rPr/>
        <w:t xml:space="preserve">della richiesta, della riscossione e della gestione del deposito cauzionale o di idonee garanzie previste per le locazioni di media durata, nonché dello svolgimento delle attività di controllo previste nella fase di check-out. Il </w:t>
      </w:r>
      <w:proofErr w:type="spellStart"/>
      <w:r w:rsidRPr="00237DDC">
        <w:rPr/>
        <w:t>Property</w:t>
      </w:r>
      <w:proofErr w:type="spellEnd"/>
      <w:r w:rsidRPr="00237DDC">
        <w:rPr/>
        <w:t xml:space="preserve">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Per “</w:t>
      </w:r>
      <w:r>
        <w:rPr>
          <w:b/>
        </w:rPr>
        <w:t>Intervento in Loco</w:t>
      </w:r>
      <w:r>
        <w:t>” si intende l’uscita presso l’Immobile del Property Manager o di personale da esso incaricato, al di fuori delle attività programmate (chec</w:t>
      </w:r>
      <w:r>
        <w:t xml:space="preserve">k-in, pulizie, check-out), resa necessaria da problemi </w:t>
      </w:r>
      <w:r>
        <w:lastRenderedPageBreak/>
        <w:t>di accesso degli Ospiti all’Immobile. Il Property Manager garantisce l’esecuzione dell’Intervento in Loco nel più breve tempo possibile, compatibilmente con i tempi tecnici necessari a raggiungere l’Im</w:t>
      </w:r>
      <w:r>
        <w:t>mobile.</w:t>
      </w:r>
    </w:p>
    <w:p w:rsidR="00D13BE0" w:rsidRDefault="00991C5B">
      <w:pPr>
        <w:pStyle w:val="Corpotesto"/>
        <w:spacing w:before="120" w:line="360" w:lineRule="auto"/>
        <w:jc w:val="both"/>
      </w:pPr>
      <w:r>
        <w:t xml:space="preserve">Il costo di ciascun Intervento in Loco è pari a euro ______ per uscita, oltre agli eventuali costi vivi strettamente necessari a consentire l’accesso all’Immobile (a titolo esemplificativo: intervento del fabbro per l’apertura della porta, duplicazione delle chiavi).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dichiara di aver stipulato polizza assicurativa a copertura dei rischi connessi alla propria attività che allega al presente contratto (allegato f).</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g).</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Ciascuna Parte potrà recedere dal Contratto in qualsiasi momento,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Al fine di consentire al Property Manager di recuperare gli investimenti sostenuti nell</w:t>
      </w:r>
      <w:r>
        <w:t xml:space="preserve">a fase di avviamento dell’Immobile (a titolo esemplificativo: servizio fotografico, creazione e ottimizzazione degli annunci, pratiche amministrative iniziali, consulenza per l’allestimento), le Parti convengono una </w:t>
      </w:r>
      <w:r>
        <w:rPr>
          <w:b/>
        </w:rPr>
        <w:t>durata minima garantita del Contratto di</w:t>
      </w:r>
      <w:r>
        <w:rPr>
          <w:b/>
        </w:rPr>
        <w:t xml:space="preserve"> 6 (sei) mesi</w:t>
      </w:r>
      <w:r>
        <w:t xml:space="preserve"> dalla data di sottoscrizione. Pertanto il recesso </w:t>
      </w:r>
      <w:r>
        <w:rPr>
          <w:b/>
        </w:rPr>
        <w:t>non può essere comunicato prima che siano decorsi 4 (quattro) mesi</w:t>
      </w:r>
      <w:r>
        <w:t xml:space="preserve"> dalla data di sottoscrizione; l’eventuale comunicazione pervenuta prima di tale termine si intenderà ricevuta il giorno succe</w:t>
      </w:r>
      <w:r>
        <w:t>ssivo alla sua scadenza. In ogni caso il Contratto non potrà cessare per recesso prima che siano decorsi 6 (sei) mesi dalla sua sottoscrizione.</w:t>
      </w:r>
    </w:p>
    <w:p w:rsidR="00F04CC3" w:rsidRPr="00F04CC3" w:rsidRDefault="00F04CC3">
      <w:pPr>
        <w:pStyle w:val="Corpotesto"/>
        <w:spacing w:before="120" w:line="360" w:lineRule="auto"/>
        <w:jc w:val="both"/>
        <w:rPr/>
      </w:pPr>
      <w:r w:rsidRPr="00F04CC3">
        <w:rPr/>
        <w:t xml:space="preserve">In caso di cessazione anticipata del Contratto per fatto imputabile al Mandante prima della scadenza del periodo minimo di durata, ivi compresa la revoca del mandato effettuata in violazione di quanto previsto dal presente articolo o la risoluzione del Contratto per inadempimento del Mandante, saranno a carico del Mandante, oltre a quanto previsto dall’art. 17, le spese sostenute dal Property Manager nella fase di avviamento dell’Immobile e nell’interesse del Mandante, purché documentate e ragionevolmente necessarie o funzionali all’avvio e alla gestione dell’incarico.</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Costo del Pernottamento, come definito all’art. 11,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la mancata richiesta del deposito cauzionale iniziale dovuto dall’Ospite secondo l’art. 2, lett. I) ove venga accertata l’es</w:t>
      </w:r>
      <w:r w:rsidR="009B1639">
        <w:t xml:space="preserve">istenza di danni all’Immobile, agli arredi </w:t>
      </w:r>
      <w:r w:rsidR="009B1639">
        <w:rPr/>
        <w:t xml:space="preserve">o alle dotazioni, </w:t>
      </w:r>
      <w:r w:rsidR="009B1639" w:rsidRPr="009B1639">
        <w:t xml:space="preserve">o </w:t>
      </w:r>
      <w:r w:rsidRPr="009B1639">
        <w:t>a</w:t>
      </w:r>
      <w:r>
        <w:t>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w:t>
      </w:r>
      <w:r>
        <w:t xml:space="preserve"/>
      </w:r>
      <w:r w:rsidR="00761B77" w:rsidRPr="00761B77">
        <w:rPr/>
        <w:t>GDPR</w:t>
      </w:r>
      <w:r w:rsidR="00761B77">
        <w:t xml:space="preserve"> </w:t>
      </w:r>
      <w:r>
        <w:t>e di prestare, con la sottoscrizione della presente Scrittura Privata, il proprio consenso all’utilizzo dei rispettivi dati personali in relazione all’esecuzione della presente Scrittura Privata.</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A questo fine, in particolare, le Parti si danno reciprocamente atto di regolare gli adempimenti di cui alla Normativa sulla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1"/>
        </w:tabs>
        <w:spacing w:before="127"/>
        <w:ind w:left="0" w:hanging="257"/>
      </w:pPr>
      <w:r>
        <w:t>Piantina catastale;</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Dichiarazioni di conformità degli impianti;</w:t>
      </w:r>
    </w:p>
    <w:p w:rsidR="00D83012" w:rsidRPr="00430EAB" w:rsidRDefault="00290CA9" w:rsidP="005F7F60">
      <w:pPr>
        <w:pStyle w:val="Paragrafoelenco"/>
        <w:numPr>
          <w:ilvl w:val="0"/>
          <w:numId w:val="2"/>
        </w:numPr>
        <w:tabs>
          <w:tab w:val="left" w:pos="616"/>
        </w:tabs>
        <w:spacing w:before="131"/>
        <w:ind w:left="0" w:hanging="192"/>
      </w:pPr>
      <w:r>
        <w:t>Tabella informativa sui flussi di cassa;</w:t>
      </w:r>
    </w:p>
    <w:p w:rsidR="00D83012" w:rsidRPr="00430EAB" w:rsidRDefault="00290CA9" w:rsidP="005F7F60">
      <w:pPr>
        <w:pStyle w:val="Paragrafoelenco"/>
        <w:numPr>
          <w:ilvl w:val="0"/>
          <w:numId w:val="2"/>
        </w:numPr>
        <w:tabs>
          <w:tab w:val="left" w:pos="682"/>
        </w:tabs>
        <w:spacing w:before="130"/>
        <w:ind w:left="0" w:hanging="258"/>
      </w:pPr>
      <w:r>
        <w:t>Polizza assicurativa Property Manager;</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Il Mandante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Il Mandante</w:t>
      </w:r>
      <w:r>
        <w:tab/>
        <w:t>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