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del soggiorno, della stagione e del numero di occupanti;</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ove previsto, anche mediante strumenti di identificazione a distanza conformi a tale normativa;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di concerto con il Mandante, in base alla stagionalità, al numero degli occupanti e alla durata del soggiorno, applicando una tariffa giornaliera per i giorni di effettiva locazione dell’Immobile.</w:t>
      </w:r>
    </w:p>
    <w:p w:rsidR="00D83012" w:rsidRDefault="00290CA9" w:rsidP="00A41BA1">
      <w:pPr>
        <w:pStyle w:val="Corpotesto"/>
        <w:spacing w:line="360" w:lineRule="auto"/>
        <w:jc w:val="both"/>
      </w:pPr>
      <w:r>
        <w:t xml:space="preserve">Per le locazioni a breve termine, il canone è comprensivo del rimborso delle spese condominiali ordinarie, della Tassa Rifiuti e delle Utenze (elettricità, gas, internet, ecc.) dell’Immobile, oltre a qualsiasi altra spesa / imposta / tassa non espressamente indicata nel presente Contratto.</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 xml:space="preserve">Il costo di ciascun Intervento in Loco è pari a euro ______ per uscita, oltre agli eventuali costi vivi strettamente necessari a consentire l’accesso all’Immobile (a titolo esemplificativo: intervento del fabbro per l’apertura della porta, duplicazione delle chiavi).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dichiara di aver stipulato polizza assicurativa a copertura dei rischi connessi alla propria attività che allega al presente contratto (allegato f).</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17, le spese sostenute dal Property Manager nella fase di avviamento dell’Immobile e nell’interesse del Mandante, purché documentate e ragionevolmente necessarie o funzionali all’avvio e alla gestione dell’incarico.</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