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val="0"/>
      </w:pPr>
      <w:r>
        <w:t>BEATRICE KUNGU</w:t>
      </w:r>
    </w:p>
    <w:p>
      <w:pPr>
        <w:pStyle w:val="Subtitle"/>
        <w:keepNext/>
        <w:keepLines w:val="0"/>
      </w:pPr>
      <w:r>
        <w:t>TECHNICAL RISK | GRC | CYBERSECURITY COMPLIANCE</w:t>
      </w:r>
    </w:p>
    <w:p>
      <w:pPr>
        <w:spacing w:after="16" w:line="240" w:lineRule="auto"/>
      </w:pPr>
      <w:r>
        <w:rPr>
          <w:rFonts w:ascii="Arial" w:hAnsi="Arial" w:cs="Arial"/>
          <w:color w:val="5F6B76"/>
          <w:sz w:val="17"/>
        </w:rPr>
        <w:t xml:space="preserve">Jacksonville, FL  |  904-514-3838  |  </w:t>
      </w:r>
      <w:hyperlink r:id="rId9">
        <w:r>
          <w:rPr>
            <w:rFonts w:ascii="Arial" w:hAnsi="Arial" w:cs="Arial"/>
            <w:color w:val="007C91"/>
            <w:sz w:val="17"/>
            <w:szCs w:val="17"/>
            <w:u w:val="none"/>
          </w:rPr>
          <w:t>bwanjiku2390@gmail.com</w:t>
        </w:r>
      </w:hyperlink>
      <w:r>
        <w:rPr>
          <w:rFonts w:ascii="Arial" w:hAnsi="Arial" w:cs="Arial"/>
          <w:color w:val="5F6B76"/>
          <w:sz w:val="17"/>
        </w:rPr>
        <w:t xml:space="preserve">  |  </w:t>
      </w:r>
      <w:hyperlink r:id="rId10">
        <w:r>
          <w:rPr>
            <w:rFonts w:ascii="Arial" w:hAnsi="Arial" w:cs="Arial"/>
            <w:color w:val="007C91"/>
            <w:sz w:val="17"/>
            <w:szCs w:val="17"/>
            <w:u w:val="none"/>
          </w:rPr>
          <w:t>linkedin.com/in/beatricekungu</w:t>
        </w:r>
      </w:hyperlink>
    </w:p>
    <w:p>
      <w:pPr>
        <w:spacing w:after="30" w:line="240" w:lineRule="auto"/>
      </w:pPr>
      <w:r>
        <w:rPr>
          <w:rFonts w:ascii="Arial" w:hAnsi="Arial" w:cs="Arial"/>
          <w:b/>
          <w:color w:val="5F6B76"/>
          <w:sz w:val="17"/>
        </w:rPr>
        <w:t xml:space="preserve">Portfolio: </w:t>
      </w:r>
      <w:hyperlink r:id="rId11">
        <w:r>
          <w:rPr>
            <w:rFonts w:ascii="Arial" w:hAnsi="Arial" w:cs="Arial"/>
            <w:color w:val="007C91"/>
            <w:sz w:val="17"/>
            <w:szCs w:val="17"/>
            <w:u w:val="none"/>
          </w:rPr>
          <w:t>beatricekungu.github.io</w:t>
        </w:r>
      </w:hyperlink>
    </w:p>
    <w:p>
      <w:pPr>
        <w:pStyle w:val="Heading1"/>
        <w:pBdr>
          <w:bottom w:val="single" w:sz="8" w:space="2" w:color="007C91"/>
        </w:pBdr>
      </w:pPr>
      <w:r>
        <w:t>Professional Summary</w:t>
      </w:r>
    </w:p>
    <w:p>
      <w:pPr>
        <w:pStyle w:val="CompactDetail"/>
        <w:spacing w:after="30"/>
      </w:pPr>
      <w:r>
        <w:t>Technical risk and GRC professional with 4+ years of hands-on experience in privacy incident response, IAM governance, third-party risk, audit evidence, and compliance work across federal and enterprise programs. Brings more than eight years of experience across technology consulting and regulated financial services. Uses ServiceNow, Power BI, Azure SQL, RBAC, and NIST-aligned practices to help teams track issues, strengthen controls, and make informed risk decisions.</w:t>
      </w:r>
    </w:p>
    <w:p>
      <w:pPr>
        <w:pStyle w:val="Heading1"/>
        <w:pBdr>
          <w:bottom w:val="single" w:sz="8" w:space="2" w:color="007C91"/>
        </w:pBdr>
      </w:pPr>
      <w:r>
        <w:t>Core Expertise</w:t>
      </w:r>
    </w:p>
    <w:p>
      <w:pPr>
        <w:pStyle w:val="CompactDetail"/>
        <w:keepNext w:val="0"/>
        <w:keepLines/>
      </w:pPr>
      <w:r>
        <w:rPr>
          <w:rFonts w:ascii="Arial" w:hAnsi="Arial" w:cs="Arial"/>
          <w:b/>
          <w:color w:val="12344D"/>
          <w:sz w:val="17"/>
        </w:rPr>
        <w:t xml:space="preserve">Risk, Security &amp; Governance: </w:t>
      </w:r>
      <w:r>
        <w:rPr>
          <w:rFonts w:ascii="Arial" w:hAnsi="Arial" w:cs="Arial"/>
          <w:color w:val="1F2933"/>
          <w:sz w:val="17"/>
        </w:rPr>
        <w:t>GRC, enterprise issue management, privacy incident response, root cause analysis, control assessment, NIST-aligned practices, data governance, regulatory compliance, third-party risk management</w:t>
      </w:r>
    </w:p>
    <w:p>
      <w:pPr>
        <w:pStyle w:val="CompactDetail"/>
        <w:keepNext w:val="0"/>
        <w:keepLines/>
      </w:pPr>
      <w:r>
        <w:rPr>
          <w:rFonts w:ascii="Arial" w:hAnsi="Arial" w:cs="Arial"/>
          <w:b/>
          <w:color w:val="12344D"/>
          <w:sz w:val="17"/>
        </w:rPr>
        <w:t xml:space="preserve">Identity, Data &amp; Tools: </w:t>
      </w:r>
      <w:r>
        <w:rPr>
          <w:rFonts w:ascii="Arial" w:hAnsi="Arial" w:cs="Arial"/>
          <w:color w:val="1F2933"/>
          <w:sz w:val="17"/>
        </w:rPr>
        <w:t>IAM, RBAC, least privilege, segregation of duties, Azure SQL, SQL, Power BI, ServiceNow, Oracle Cloud, Dynamic Data Masking, audit evidence</w:t>
      </w:r>
    </w:p>
    <w:p>
      <w:pPr>
        <w:pStyle w:val="CompactDetail"/>
        <w:keepNext w:val="0"/>
        <w:keepLines/>
      </w:pPr>
      <w:r>
        <w:rPr>
          <w:rFonts w:ascii="Arial" w:hAnsi="Arial" w:cs="Arial"/>
          <w:b/>
          <w:color w:val="12344D"/>
          <w:sz w:val="17"/>
        </w:rPr>
        <w:t xml:space="preserve">Program &amp; Implementation: </w:t>
      </w:r>
      <w:r>
        <w:rPr>
          <w:rFonts w:ascii="Arial" w:hAnsi="Arial" w:cs="Arial"/>
          <w:color w:val="1F2933"/>
          <w:sz w:val="17"/>
        </w:rPr>
        <w:t>Technical program management, Agile and SAFe delivery, requirements gathering, process improvement, change management, stakeholder facilitation, executive reporting, vendor management, SLA and KPI monitoring, SharePoint</w:t>
      </w:r>
    </w:p>
    <w:p>
      <w:pPr>
        <w:pStyle w:val="Heading1"/>
        <w:pBdr>
          <w:bottom w:val="single" w:sz="8" w:space="2" w:color="007C91"/>
        </w:pBdr>
      </w:pPr>
      <w:r>
        <w:t>Professional Experience</w:t>
      </w:r>
    </w:p>
    <w:p>
      <w:pPr>
        <w:pStyle w:val="Heading2"/>
        <w:tabs>
          <w:tab w:pos="10584" w:val="right"/>
        </w:tabs>
      </w:pPr>
      <w:r>
        <w:rPr>
          <w:rFonts w:ascii="Arial" w:hAnsi="Arial" w:cs="Arial"/>
          <w:b/>
          <w:color w:val="12344D"/>
          <w:sz w:val="18"/>
        </w:rPr>
        <w:t>VXI Global Solutions</w:t>
      </w:r>
      <w:r>
        <w:rPr>
          <w:rFonts w:ascii="Arial" w:hAnsi="Arial" w:cs="Arial"/>
          <w:b/>
          <w:color w:val="1F2933"/>
          <w:sz w:val="18"/>
        </w:rPr>
        <w:t xml:space="preserve"> | Technical Support Advisor</w:t>
      </w:r>
      <w:r>
        <w:rPr>
          <w:rFonts w:ascii="Arial" w:hAnsi="Arial" w:cs="Arial"/>
          <w:b/>
          <w:color w:val="5F6B76"/>
          <w:sz w:val="17"/>
        </w:rPr>
        <w:tab/>
        <w:t>05/2026 - Present</w:t>
      </w:r>
    </w:p>
    <w:p>
      <w:pPr>
        <w:pStyle w:val="ResumeBullet"/>
        <w:numPr>
          <w:ilvl w:val="0"/>
          <w:numId w:val="10"/>
        </w:numPr>
      </w:pPr>
      <w:r>
        <w:t>Provide remote technical support and identity verification, strictly enforcing access management and data privacy protocols before modifying configurations or resolving user issues.</w:t>
      </w:r>
    </w:p>
    <w:p>
      <w:pPr>
        <w:pStyle w:val="ResumeBullet"/>
        <w:numPr>
          <w:ilvl w:val="0"/>
          <w:numId w:val="10"/>
        </w:numPr>
      </w:pPr>
      <w:r>
        <w:t>Document incidents, root causes, and escalation paths within the enterprise case management system to maintain accurate audit trails and ensure follow-up work meets strict Service Level Agreements (SLAs).</w:t>
      </w:r>
    </w:p>
    <w:p>
      <w:pPr>
        <w:pStyle w:val="ResumeBullet"/>
        <w:numPr>
          <w:ilvl w:val="0"/>
          <w:numId w:val="10"/>
        </w:numPr>
      </w:pPr>
      <w:r>
        <w:t>Safeguard sensitive customer information (PII) during complex troubleshooting operations by consistently adhering to secure data handling and internal compliance requirements.</w:t>
      </w:r>
    </w:p>
    <w:p>
      <w:pPr>
        <w:pStyle w:val="Heading2"/>
        <w:tabs>
          <w:tab w:pos="10584" w:val="right"/>
        </w:tabs>
      </w:pPr>
      <w:r>
        <w:rPr>
          <w:rFonts w:ascii="Arial" w:hAnsi="Arial" w:cs="Arial"/>
          <w:b/>
          <w:color w:val="12344D"/>
          <w:sz w:val="18"/>
        </w:rPr>
        <w:t>Deloitte Consulting</w:t>
      </w:r>
      <w:r>
        <w:rPr>
          <w:rFonts w:ascii="Arial" w:hAnsi="Arial" w:cs="Arial"/>
          <w:b/>
          <w:color w:val="1F2933"/>
          <w:sz w:val="18"/>
        </w:rPr>
        <w:t xml:space="preserve"> | Solution Specialist</w:t>
      </w:r>
      <w:r>
        <w:rPr>
          <w:rFonts w:ascii="Arial" w:hAnsi="Arial" w:cs="Arial"/>
          <w:b/>
          <w:color w:val="5F6B76"/>
          <w:sz w:val="17"/>
        </w:rPr>
        <w:tab/>
        <w:t>09/2020 - 05/2025</w:t>
      </w:r>
    </w:p>
    <w:p>
      <w:pPr>
        <w:pStyle w:val="Heading3"/>
      </w:pPr>
      <w:r>
        <w:t>Veterans Health Administration (VHA) Engagement</w:t>
      </w:r>
    </w:p>
    <w:p>
      <w:pPr>
        <w:pStyle w:val="ResumeBullet"/>
        <w:numPr>
          <w:ilvl w:val="0"/>
          <w:numId w:val="10"/>
        </w:numPr>
      </w:pPr>
      <w:r>
        <w:t>Tracked compliance and risk management deliverables across five Agile Release Trains, helping teams align with federal healthcare modernization requirements and NIST frameworks.</w:t>
      </w:r>
    </w:p>
    <w:p>
      <w:pPr>
        <w:pStyle w:val="ResumeBullet"/>
        <w:numPr>
          <w:ilvl w:val="0"/>
          <w:numId w:val="10"/>
        </w:numPr>
      </w:pPr>
      <w:r>
        <w:t>Built a SharePoint governance hub that gave leaders one place to review audit evidence, compliance status, and outstanding actions.</w:t>
      </w:r>
    </w:p>
    <w:p>
      <w:pPr>
        <w:pStyle w:val="Heading3"/>
      </w:pPr>
      <w:r>
        <w:t>Defense Manpower Data Center (DMDC) Engagement</w:t>
      </w:r>
    </w:p>
    <w:p>
      <w:pPr>
        <w:pStyle w:val="ResumeBullet"/>
        <w:numPr>
          <w:ilvl w:val="0"/>
          <w:numId w:val="10"/>
        </w:numPr>
      </w:pPr>
      <w:r>
        <w:t>Built automated tracking workflows for identity and access onboarding, reducing the compliance check cycle from 20 days to fewer than seven for 150+ consultants.</w:t>
      </w:r>
    </w:p>
    <w:p>
      <w:pPr>
        <w:pStyle w:val="ResumeBullet"/>
        <w:numPr>
          <w:ilvl w:val="0"/>
          <w:numId w:val="10"/>
        </w:numPr>
      </w:pPr>
      <w:r>
        <w:t>Managed ServiceNow access approval queues, identified missing documentation, and monitored tickets against SLAs.</w:t>
      </w:r>
    </w:p>
    <w:p>
      <w:pPr>
        <w:spacing w:before="0" w:after="0"/>
      </w:pPr>
      <w:r>
        <w:br w:type="page"/>
      </w:r>
    </w:p>
    <w:p>
      <w:pPr>
        <w:pStyle w:val="Heading1"/>
        <w:pBdr>
          <w:bottom w:val="single" w:sz="8" w:space="2" w:color="007C91"/>
        </w:pBdr>
      </w:pPr>
      <w:r>
        <w:t>Professional Experience - Continued</w:t>
      </w:r>
    </w:p>
    <w:p>
      <w:pPr>
        <w:pStyle w:val="Heading2"/>
        <w:tabs>
          <w:tab w:pos="10584" w:val="right"/>
        </w:tabs>
      </w:pPr>
      <w:r>
        <w:rPr>
          <w:rFonts w:ascii="Arial" w:hAnsi="Arial" w:cs="Arial"/>
          <w:b/>
          <w:color w:val="12344D"/>
          <w:sz w:val="18"/>
        </w:rPr>
        <w:t>Deloitte Consulting</w:t>
      </w:r>
      <w:r>
        <w:rPr>
          <w:rFonts w:ascii="Arial" w:hAnsi="Arial" w:cs="Arial"/>
          <w:b/>
          <w:color w:val="1F2933"/>
          <w:sz w:val="18"/>
        </w:rPr>
        <w:t xml:space="preserve"> | Solution Specialist (continued)</w:t>
      </w:r>
      <w:r>
        <w:rPr>
          <w:rFonts w:ascii="Arial" w:hAnsi="Arial" w:cs="Arial"/>
          <w:b/>
          <w:color w:val="5F6B76"/>
          <w:sz w:val="17"/>
        </w:rPr>
        <w:tab/>
        <w:t>09/2020 - 05/2025</w:t>
      </w:r>
    </w:p>
    <w:p>
      <w:pPr>
        <w:pStyle w:val="Heading3"/>
      </w:pPr>
      <w:r>
        <w:t>Meta Engagement | Privacy Program Manager</w:t>
      </w:r>
    </w:p>
    <w:p>
      <w:pPr>
        <w:pStyle w:val="ResumeBullet"/>
        <w:numPr>
          <w:ilvl w:val="0"/>
          <w:numId w:val="10"/>
        </w:numPr>
      </w:pPr>
      <w:r>
        <w:t>Managed 10-15 concurrent high-risk privacy incidents from intake and root cause analysis through closure approved by Legal.</w:t>
      </w:r>
    </w:p>
    <w:p>
      <w:pPr>
        <w:pStyle w:val="ResumeBullet"/>
        <w:numPr>
          <w:ilvl w:val="0"/>
          <w:numId w:val="10"/>
        </w:numPr>
      </w:pPr>
      <w:r>
        <w:t>Turned technical findings from engineering teams into clear compliance reports that Legal used to assess risk and FTC reporting obligations.</w:t>
      </w:r>
    </w:p>
    <w:p>
      <w:pPr>
        <w:pStyle w:val="ResumeBullet"/>
        <w:numPr>
          <w:ilvl w:val="0"/>
          <w:numId w:val="10"/>
        </w:numPr>
      </w:pPr>
      <w:r>
        <w:t>Facilitated reviews with Legal, engineering, and product teams to agree on remediation actions, owners, and regulatory exposure.</w:t>
      </w:r>
    </w:p>
    <w:p>
      <w:pPr>
        <w:pStyle w:val="Heading3"/>
      </w:pPr>
      <w:r>
        <w:t>Deloitte Data Marketplace Platform | Project Manager</w:t>
      </w:r>
    </w:p>
    <w:p>
      <w:pPr>
        <w:pStyle w:val="ResumeBullet"/>
        <w:numPr>
          <w:ilvl w:val="0"/>
          <w:numId w:val="10"/>
        </w:numPr>
      </w:pPr>
      <w:r>
        <w:t>Managed third-party privacy and compliance reviews for an enterprise data marketplace serving 60+ external vendors.</w:t>
      </w:r>
    </w:p>
    <w:p>
      <w:pPr>
        <w:pStyle w:val="ResumeBullet"/>
        <w:numPr>
          <w:ilvl w:val="0"/>
          <w:numId w:val="10"/>
        </w:numPr>
      </w:pPr>
      <w:r>
        <w:t>Created data catalogs and platform guides that supported secure data purchasing across seven global member firms and $3M in platform revenue.</w:t>
      </w:r>
    </w:p>
    <w:p>
      <w:pPr>
        <w:pStyle w:val="Heading2"/>
        <w:tabs>
          <w:tab w:pos="10584" w:val="right"/>
        </w:tabs>
      </w:pPr>
      <w:r>
        <w:rPr>
          <w:rFonts w:ascii="Arial" w:hAnsi="Arial" w:cs="Arial"/>
          <w:b/>
          <w:color w:val="12344D"/>
          <w:sz w:val="18"/>
        </w:rPr>
        <w:t>First Citizens Bank</w:t>
      </w:r>
      <w:r>
        <w:rPr>
          <w:rFonts w:ascii="Arial" w:hAnsi="Arial" w:cs="Arial"/>
          <w:b/>
          <w:color w:val="1F2933"/>
          <w:sz w:val="18"/>
        </w:rPr>
        <w:t xml:space="preserve"> | Client Operations Specialist</w:t>
      </w:r>
      <w:r>
        <w:rPr>
          <w:rFonts w:ascii="Arial" w:hAnsi="Arial" w:cs="Arial"/>
          <w:b/>
          <w:color w:val="5F6B76"/>
          <w:sz w:val="17"/>
        </w:rPr>
        <w:tab/>
        <w:t>01/2020 - 09/2020</w:t>
      </w:r>
    </w:p>
    <w:p>
      <w:pPr>
        <w:pStyle w:val="ResumeBullet"/>
        <w:numPr>
          <w:ilvl w:val="0"/>
          <w:numId w:val="10"/>
        </w:numPr>
      </w:pPr>
      <w:r>
        <w:t>Resolved 600+ commercial title issues while meeting state DMV and lien documentation requirements.</w:t>
      </w:r>
    </w:p>
    <w:p>
      <w:pPr>
        <w:pStyle w:val="Heading2"/>
        <w:tabs>
          <w:tab w:pos="10584" w:val="right"/>
        </w:tabs>
      </w:pPr>
      <w:r>
        <w:rPr>
          <w:rFonts w:ascii="Arial" w:hAnsi="Arial" w:cs="Arial"/>
          <w:b/>
          <w:color w:val="12344D"/>
          <w:sz w:val="18"/>
        </w:rPr>
        <w:t>TD Bank</w:t>
      </w:r>
      <w:r>
        <w:rPr>
          <w:rFonts w:ascii="Arial" w:hAnsi="Arial" w:cs="Arial"/>
          <w:b/>
          <w:color w:val="1F2933"/>
          <w:sz w:val="18"/>
        </w:rPr>
        <w:t xml:space="preserve"> | Auto Collections Specialist</w:t>
      </w:r>
      <w:r>
        <w:rPr>
          <w:rFonts w:ascii="Arial" w:hAnsi="Arial" w:cs="Arial"/>
          <w:b/>
          <w:color w:val="5F6B76"/>
          <w:sz w:val="17"/>
        </w:rPr>
        <w:tab/>
        <w:t>05/2016 - 12/2018</w:t>
      </w:r>
    </w:p>
    <w:p>
      <w:pPr>
        <w:pStyle w:val="ResumeBullet"/>
        <w:numPr>
          <w:ilvl w:val="0"/>
          <w:numId w:val="10"/>
        </w:numPr>
      </w:pPr>
      <w:r>
        <w:t>Recovered approximately $25,000 per month using collection approaches that followed consumer financial protection requirements.</w:t>
      </w:r>
    </w:p>
    <w:p>
      <w:pPr>
        <w:pStyle w:val="Heading1"/>
        <w:pBdr>
          <w:bottom w:val="single" w:sz="8" w:space="2" w:color="007C91"/>
        </w:pBdr>
      </w:pPr>
      <w:r>
        <w:t>Technical Compliance &amp; GRC Projects</w:t>
      </w:r>
    </w:p>
    <w:p>
      <w:pPr>
        <w:pStyle w:val="Heading2"/>
        <w:spacing w:before="44" w:after="8"/>
      </w:pPr>
      <w:r>
        <w:rPr>
          <w:rFonts w:ascii="Arial" w:hAnsi="Arial" w:cs="Arial"/>
          <w:b/>
          <w:i/>
          <w:color w:val="007C91"/>
          <w:sz w:val="17"/>
        </w:rPr>
        <w:t>Azure SQL Dynamic Data Masking Proof of Concept</w:t>
      </w:r>
    </w:p>
    <w:p>
      <w:pPr>
        <w:pStyle w:val="ResumeBullet"/>
        <w:numPr>
          <w:ilvl w:val="0"/>
          <w:numId w:val="10"/>
        </w:numPr>
      </w:pPr>
      <w:r>
        <w:t>Designed and tested an Azure SQL Dynamic Data Masking proof of concept for PII, PHI, and payment data.</w:t>
      </w:r>
    </w:p>
    <w:p>
      <w:pPr>
        <w:pStyle w:val="ResumeBullet"/>
        <w:numPr>
          <w:ilvl w:val="0"/>
          <w:numId w:val="10"/>
        </w:numPr>
      </w:pPr>
      <w:r>
        <w:t>Compared privileged and restricted query results to document RBAC and least privilege controls.</w:t>
      </w:r>
    </w:p>
    <w:p>
      <w:pPr>
        <w:pStyle w:val="Heading2"/>
        <w:spacing w:before="44" w:after="8"/>
      </w:pPr>
      <w:r>
        <w:rPr>
          <w:rFonts w:ascii="Arial" w:hAnsi="Arial" w:cs="Arial"/>
          <w:b/>
          <w:i/>
          <w:color w:val="007C91"/>
          <w:sz w:val="17"/>
        </w:rPr>
        <w:t>Security &amp; Privacy Incident Triage Simulator</w:t>
      </w:r>
    </w:p>
    <w:p>
      <w:pPr>
        <w:pStyle w:val="ResumeBullet"/>
        <w:numPr>
          <w:ilvl w:val="0"/>
          <w:numId w:val="10"/>
        </w:numPr>
      </w:pPr>
      <w:r>
        <w:t>Created an interactive simulator covering 10 cybersecurity and privacy incidents, with severity criteria, escalation paths, and response guidance for cross-functional teams.</w:t>
      </w:r>
    </w:p>
    <w:p>
      <w:pPr>
        <w:pStyle w:val="Heading2"/>
        <w:spacing w:before="44" w:after="8"/>
      </w:pPr>
      <w:r>
        <w:rPr>
          <w:rFonts w:ascii="Arial" w:hAnsi="Arial" w:cs="Arial"/>
          <w:b/>
          <w:i/>
          <w:color w:val="007C91"/>
          <w:sz w:val="17"/>
        </w:rPr>
        <w:t>Hospital Financial Exposure Dashboard | Maven</w:t>
      </w:r>
    </w:p>
    <w:p>
      <w:pPr>
        <w:pStyle w:val="ResumeBullet"/>
        <w:numPr>
          <w:ilvl w:val="0"/>
          <w:numId w:val="10"/>
        </w:numPr>
      </w:pPr>
      <w:r>
        <w:t>Created a Power BI dashboard using DAX to analyze hospital admissions, visit costs, and insurance coverage, helping leaders identify areas of financial exposure.</w:t>
      </w:r>
    </w:p>
    <w:p>
      <w:pPr>
        <w:pStyle w:val="Heading2"/>
        <w:spacing w:before="44" w:after="8"/>
      </w:pPr>
      <w:r>
        <w:rPr>
          <w:rFonts w:ascii="Arial" w:hAnsi="Arial" w:cs="Arial"/>
          <w:b/>
          <w:i/>
          <w:color w:val="007C91"/>
          <w:sz w:val="17"/>
        </w:rPr>
        <w:t>Enterprise IAM Access Provisioning &amp; RBAC</w:t>
      </w:r>
    </w:p>
    <w:p>
      <w:pPr>
        <w:pStyle w:val="ResumeBullet"/>
        <w:numPr>
          <w:ilvl w:val="0"/>
          <w:numId w:val="10"/>
        </w:numPr>
      </w:pPr>
      <w:r>
        <w:t>Built an IAM access provisioning simulator and RBAC matrix covering internal, global, and third-party users, with controls for least privilege, data sovereignty, and segregation of duties.</w:t>
      </w:r>
    </w:p>
    <w:p>
      <w:pPr>
        <w:pStyle w:val="Heading1"/>
        <w:pBdr>
          <w:bottom w:val="single" w:sz="8" w:space="2" w:color="007C91"/>
        </w:pBdr>
      </w:pPr>
      <w:r>
        <w:t>Education</w:t>
      </w:r>
    </w:p>
    <w:p>
      <w:pPr>
        <w:pStyle w:val="CompactDetail"/>
        <w:keepNext w:val="0"/>
        <w:keepLines/>
      </w:pPr>
      <w:r>
        <w:rPr>
          <w:rFonts w:ascii="Arial" w:hAnsi="Arial" w:cs="Arial"/>
          <w:b/>
          <w:color w:val="12344D"/>
          <w:sz w:val="17"/>
        </w:rPr>
        <w:t>M.S., Information Technology - Cybersecurity Management</w:t>
      </w:r>
      <w:r>
        <w:rPr>
          <w:rFonts w:ascii="Arial" w:hAnsi="Arial" w:cs="Arial"/>
          <w:color w:val="1F2933"/>
          <w:sz w:val="17"/>
        </w:rPr>
        <w:t xml:space="preserve"> | Florida Institute of Technology | 2020</w:t>
      </w:r>
    </w:p>
    <w:p>
      <w:pPr>
        <w:pStyle w:val="CompactDetail"/>
        <w:keepNext w:val="0"/>
        <w:keepLines/>
      </w:pPr>
      <w:r>
        <w:rPr>
          <w:rFonts w:ascii="Arial" w:hAnsi="Arial" w:cs="Arial"/>
          <w:b/>
          <w:color w:val="12344D"/>
          <w:sz w:val="17"/>
        </w:rPr>
        <w:t>MBA</w:t>
      </w:r>
      <w:r>
        <w:rPr>
          <w:rFonts w:ascii="Arial" w:hAnsi="Arial" w:cs="Arial"/>
          <w:color w:val="1F2933"/>
          <w:sz w:val="17"/>
        </w:rPr>
        <w:t xml:space="preserve"> | Florida Atlantic University | 2019</w:t>
      </w:r>
    </w:p>
    <w:p>
      <w:pPr>
        <w:pStyle w:val="CompactDetail"/>
        <w:keepNext w:val="0"/>
        <w:keepLines/>
      </w:pPr>
      <w:r>
        <w:rPr>
          <w:rFonts w:ascii="Arial" w:hAnsi="Arial" w:cs="Arial"/>
          <w:b/>
          <w:color w:val="12344D"/>
          <w:sz w:val="17"/>
        </w:rPr>
        <w:t>B.S., Legal Studies</w:t>
      </w:r>
      <w:r>
        <w:rPr>
          <w:rFonts w:ascii="Arial" w:hAnsi="Arial" w:cs="Arial"/>
          <w:color w:val="1F2933"/>
          <w:sz w:val="17"/>
        </w:rPr>
        <w:t xml:space="preserve"> | University of Central Florida | 2013</w:t>
      </w:r>
    </w:p>
    <w:p>
      <w:pPr>
        <w:pStyle w:val="Heading1"/>
        <w:pBdr>
          <w:bottom w:val="single" w:sz="8" w:space="2" w:color="007C91"/>
        </w:pBdr>
      </w:pPr>
      <w:r>
        <w:t>Certifications</w:t>
      </w:r>
    </w:p>
    <w:p>
      <w:pPr>
        <w:pStyle w:val="ResumeBullet"/>
        <w:numPr>
          <w:ilvl w:val="0"/>
          <w:numId w:val="10"/>
        </w:numPr>
      </w:pPr>
      <w:r>
        <w:t>CompTIA Security+ | CompTIA</w:t>
      </w:r>
    </w:p>
    <w:p>
      <w:pPr>
        <w:pStyle w:val="ResumeBullet"/>
        <w:numPr>
          <w:ilvl w:val="0"/>
          <w:numId w:val="10"/>
        </w:numPr>
      </w:pPr>
      <w:r>
        <w:t>Microsoft Certified: Azure Database Administrator Associate</w:t>
      </w:r>
    </w:p>
    <w:p>
      <w:pPr>
        <w:pStyle w:val="ResumeBullet"/>
        <w:numPr>
          <w:ilvl w:val="0"/>
          <w:numId w:val="10"/>
        </w:numPr>
      </w:pPr>
      <w:r>
        <w:t>Project Management Professional (PMP) | Project Management Institute</w:t>
      </w:r>
    </w:p>
    <w:p>
      <w:pPr>
        <w:pStyle w:val="ResumeBullet"/>
        <w:numPr>
          <w:ilvl w:val="0"/>
          <w:numId w:val="10"/>
        </w:numPr>
      </w:pPr>
      <w:r>
        <w:t>Professional Scrum Master I (PSM I) | Scrum.org</w:t>
      </w:r>
    </w:p>
    <w:p>
      <w:pPr>
        <w:pStyle w:val="ResumeBullet"/>
        <w:numPr>
          <w:ilvl w:val="0"/>
          <w:numId w:val="10"/>
        </w:numPr>
      </w:pPr>
      <w:r>
        <w:t>SAFe 6 Agilist, DevOps Practitioner, and Scrum Master | Scaled Agile, Inc.</w:t>
      </w:r>
    </w:p>
    <w:sectPr w:rsidR="00FC693F" w:rsidRPr="0006063C" w:rsidSect="00034616">
      <w:footerReference w:type="default" r:id="rId12"/>
      <w:pgSz w:w="12240" w:h="15840"/>
      <w:pgMar w:top="720"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cs="Arial"/>
        <w:b/>
        <w:color w:val="5F6B76"/>
        <w:sz w:val="16"/>
      </w:rPr>
      <w:t xml:space="preserve">BEATRICE KUNGU  |  PAGE </w:t>
    </w:r>
    <w:r>
      <w:rPr>
        <w:rFonts w:ascii="Arial" w:hAnsi="Arial"/>
        <w:color w:val="5F6B76"/>
        <w:sz w:val="16"/>
      </w:rPr>
      <w:fldChar w:fldCharType="begin"/>
    </w:r>
    <w:r>
      <w:rPr>
        <w:rFonts w:ascii="Arial" w:hAnsi="Arial"/>
        <w:color w:val="5F6B76"/>
        <w:sz w:val="16"/>
      </w:rPr>
      <w:instrText xml:space="preserve"> PAGE </w:instrText>
    </w:r>
    <w:r>
      <w:rPr>
        <w:rFonts w:ascii="Arial" w:hAnsi="Arial"/>
        <w:color w:val="5F6B76"/>
        <w:sz w:val="16"/>
      </w:rPr>
      <w:fldChar w:fldCharType="separate"/>
    </w:r>
    <w:r>
      <w:rPr>
        <w:rFonts w:ascii="Arial" w:hAnsi="Arial"/>
        <w:color w:val="5F6B76"/>
        <w:sz w:val="16"/>
      </w:rPr>
      <w:t>1</w:t>
    </w:r>
    <w:r>
      <w:rPr>
        <w:rFonts w:ascii="Arial" w:hAnsi="Arial"/>
        <w:color w:val="5F6B76"/>
        <w:sz w:val="16"/>
      </w:rPr>
      <w:fldChar w:fldCharType="end"/>
    </w:r>
    <w:r>
      <w:rPr>
        <w:rFonts w:ascii="Arial" w:hAnsi="Arial" w:cs="Arial"/>
        <w:b/>
        <w:color w:val="5F6B76"/>
        <w:sz w:val="16"/>
      </w:rPr>
      <w:t xml:space="preserve"> OF </w:t>
    </w:r>
    <w:r>
      <w:rPr>
        <w:rFonts w:ascii="Arial" w:hAnsi="Arial"/>
        <w:color w:val="5F6B76"/>
        <w:sz w:val="16"/>
      </w:rPr>
      <w:fldChar w:fldCharType="begin"/>
    </w:r>
    <w:r>
      <w:rPr>
        <w:rFonts w:ascii="Arial" w:hAnsi="Arial"/>
        <w:color w:val="5F6B76"/>
        <w:sz w:val="16"/>
      </w:rPr>
      <w:instrText xml:space="preserve"> NUMPAGES </w:instrText>
    </w:r>
    <w:r>
      <w:rPr>
        <w:rFonts w:ascii="Arial" w:hAnsi="Arial"/>
        <w:color w:val="5F6B76"/>
        <w:sz w:val="16"/>
      </w:rPr>
      <w:fldChar w:fldCharType="separate"/>
    </w:r>
    <w:r>
      <w:rPr>
        <w:rFonts w:ascii="Arial" w:hAnsi="Arial"/>
        <w:color w:val="5F6B76"/>
        <w:sz w:val="16"/>
      </w:rPr>
      <w:t>1</w:t>
    </w:r>
    <w:r>
      <w:rPr>
        <w:rFonts w:ascii="Arial" w:hAnsi="Arial"/>
        <w:color w:val="5F6B76"/>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360" w:hanging="180"/>
        <w:spacing w:before="0" w:after="30" w:line="240" w:lineRule="auto"/>
      </w:pPr>
      <w:rPr>
        <w:rFonts w:ascii="Arial" w:hAnsi="Arial"/>
        <w:color w:val="007C91"/>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5" w:lineRule="auto"/>
    </w:pPr>
    <w:rPr>
      <w:rFonts w:ascii="Arial" w:hAnsi="Arial"/>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10" w:after="56" w:line="240" w:lineRule="auto"/>
      <w:outlineLvl w:val="0"/>
    </w:pPr>
    <w:rPr>
      <w:rFonts w:asciiTheme="majorHAnsi" w:eastAsiaTheme="majorEastAsia" w:hAnsiTheme="majorHAnsi" w:cstheme="majorBidi" w:ascii="Arial" w:hAnsi="Arial"/>
      <w:b/>
      <w:bCs/>
      <w:caps/>
      <w:color w:val="12344D"/>
      <w:sz w:val="20"/>
      <w:szCs w:val="28"/>
    </w:rPr>
  </w:style>
  <w:style w:type="paragraph" w:styleId="Heading2">
    <w:name w:val="heading 2"/>
    <w:basedOn w:val="Normal"/>
    <w:next w:val="Normal"/>
    <w:link w:val="Heading2Char"/>
    <w:uiPriority w:val="9"/>
    <w:unhideWhenUsed/>
    <w:qFormat/>
    <w:rsid w:val="00FC693F"/>
    <w:pPr>
      <w:keepNext/>
      <w:keepLines/>
      <w:spacing w:before="68" w:after="12" w:line="240" w:lineRule="auto"/>
      <w:outlineLvl w:val="1"/>
    </w:pPr>
    <w:rPr>
      <w:rFonts w:asciiTheme="majorHAnsi" w:eastAsiaTheme="majorEastAsia" w:hAnsiTheme="majorHAnsi" w:cstheme="majorBidi" w:ascii="Arial" w:hAnsi="Arial"/>
      <w:b/>
      <w:bCs/>
      <w:color w:val="12344D"/>
      <w:sz w:val="18"/>
      <w:szCs w:val="26"/>
    </w:rPr>
  </w:style>
  <w:style w:type="paragraph" w:styleId="Heading3">
    <w:name w:val="heading 3"/>
    <w:basedOn w:val="Normal"/>
    <w:next w:val="Normal"/>
    <w:link w:val="Heading3Char"/>
    <w:uiPriority w:val="9"/>
    <w:unhideWhenUsed/>
    <w:qFormat/>
    <w:rsid w:val="00FC693F"/>
    <w:pPr>
      <w:keepNext/>
      <w:keepLines/>
      <w:spacing w:before="44" w:after="8" w:line="240" w:lineRule="auto"/>
      <w:outlineLvl w:val="2"/>
    </w:pPr>
    <w:rPr>
      <w:rFonts w:asciiTheme="majorHAnsi" w:eastAsiaTheme="majorEastAsia" w:hAnsiTheme="majorHAnsi" w:cstheme="majorBidi" w:ascii="Arial" w:hAnsi="Arial"/>
      <w:b/>
      <w:bCs/>
      <w:i/>
      <w:color w:val="007C91"/>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before="0"/>
      <w:contextualSpacing/>
    </w:pPr>
    <w:rPr>
      <w:rFonts w:asciiTheme="majorHAnsi" w:eastAsiaTheme="majorEastAsia" w:hAnsiTheme="majorHAnsi" w:cstheme="majorBidi" w:ascii="Arial" w:hAnsi="Arial"/>
      <w:b/>
      <w:color w:val="1234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50" w:line="240" w:lineRule="auto"/>
    </w:pPr>
    <w:rPr>
      <w:rFonts w:asciiTheme="majorHAnsi" w:eastAsiaTheme="majorEastAsia" w:hAnsiTheme="majorHAnsi" w:cstheme="majorBidi" w:ascii="Arial" w:hAnsi="Arial"/>
      <w:b/>
      <w:i/>
      <w:iCs/>
      <w:caps/>
      <w:color w:val="007C91"/>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keepLines/>
      <w:spacing w:before="0" w:after="30" w:line="240" w:lineRule="auto"/>
    </w:pPr>
    <w:rPr>
      <w:rFonts w:ascii="Arial" w:hAnsi="Arial"/>
      <w:color w:val="1F2933"/>
      <w:sz w:val="17"/>
    </w:rPr>
  </w:style>
  <w:style w:type="paragraph" w:customStyle="1" w:styleId="CompactDetail">
    <w:name w:val="Compact Detail"/>
    <w:basedOn w:val="Normal"/>
    <w:pPr>
      <w:spacing w:before="0" w:after="26" w:line="240" w:lineRule="auto"/>
    </w:pPr>
    <w:rPr>
      <w:rFonts w:ascii="Arial" w:hAnsi="Arial"/>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wanjiku2390@gmail.com" TargetMode="External"/><Relationship Id="rId10" Type="http://schemas.openxmlformats.org/officeDocument/2006/relationships/hyperlink" Target="https://www.linkedin.com/in/beatricekungu" TargetMode="External"/><Relationship Id="rId11" Type="http://schemas.openxmlformats.org/officeDocument/2006/relationships/hyperlink" Target="https://beatricekungu.github.io"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Beatrice Kungu - Technical Risk, GRC, and Cybersecurity Compliance Resume</dc:title>
  <dc:subject>Two-page professional resume</dc:subject>
  <dc:creator>Beatrice Kungu</dc:creator>
  <cp:keywords>technical risk, GRC, cybersecurity compliance, privacy, IAM, NIST</cp:keywords>
  <dc:description>generated by python-docx</dc:description>
  <cp:lastModifiedBy/>
  <cp:revision>1</cp:revision>
  <dcterms:created xsi:type="dcterms:W3CDTF">2013-12-23T23:15:00Z</dcterms:created>
  <dcterms:modified xsi:type="dcterms:W3CDTF">2013-12-23T23:15:00Z</dcterms:modified>
  <cp:category/>
</cp:coreProperties>
</file>