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FF08B" w14:textId="29D824E3" w:rsidR="000307A9" w:rsidRPr="001C2E78" w:rsidRDefault="00007993" w:rsidP="000307A9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30, 2020</w:t>
      </w:r>
    </w:p>
    <w:p w14:paraId="2CABDC8A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8385E04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OSHPD – Accounting and Reporting Systems Section</w:t>
      </w:r>
    </w:p>
    <w:p w14:paraId="057BAF06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smartTag w:uri="urn:schemas-microsoft-com:office:smarttags" w:element="Street">
        <w:smartTag w:uri="urn:schemas-microsoft-com:office:smarttags" w:element="address">
          <w:r w:rsidRPr="002D114E">
            <w:rPr>
              <w:rFonts w:ascii="Arial" w:hAnsi="Arial" w:cs="Arial"/>
              <w:sz w:val="20"/>
              <w:szCs w:val="20"/>
            </w:rPr>
            <w:t>400 R Street, Suite 250</w:t>
          </w:r>
        </w:smartTag>
      </w:smartTag>
      <w:r w:rsidRPr="002D114E">
        <w:rPr>
          <w:rFonts w:ascii="Arial" w:hAnsi="Arial" w:cs="Arial"/>
          <w:sz w:val="20"/>
          <w:szCs w:val="20"/>
        </w:rPr>
        <w:t xml:space="preserve">, </w:t>
      </w:r>
    </w:p>
    <w:p w14:paraId="74F63E69" w14:textId="77777777" w:rsidR="00EC2DCA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 w:cs="Arial"/>
          <w:sz w:val="20"/>
          <w:szCs w:val="20"/>
        </w:rPr>
        <w:t>Sacramento, CA, 95811</w:t>
      </w:r>
      <w:r w:rsidR="007F6AF0">
        <w:rPr>
          <w:rFonts w:ascii="Arial" w:hAnsi="Arial" w:cs="Arial"/>
          <w:sz w:val="20"/>
          <w:szCs w:val="20"/>
        </w:rPr>
        <w:t>-6213</w:t>
      </w:r>
    </w:p>
    <w:p w14:paraId="25C53C0E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A9DACF2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E007ACF" w14:textId="5A7A2EA2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007993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63742832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1320" w:type="dxa"/>
        <w:tblLook w:val="04A0" w:firstRow="1" w:lastRow="0" w:firstColumn="1" w:lastColumn="0" w:noHBand="0" w:noVBand="1"/>
      </w:tblPr>
      <w:tblGrid>
        <w:gridCol w:w="4840"/>
      </w:tblGrid>
      <w:tr w:rsidR="00370E91" w14:paraId="2844A0A1" w14:textId="77777777" w:rsidTr="00007993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6ED90" w14:textId="77777777" w:rsidR="00370E91" w:rsidRDefault="00370E91" w:rsidP="00E730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Mercy Medical Center Redding</w:t>
            </w:r>
          </w:p>
        </w:tc>
      </w:tr>
      <w:tr w:rsidR="00370E91" w14:paraId="1A0AF832" w14:textId="77777777" w:rsidTr="00007993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08F1" w14:textId="77777777" w:rsidR="00370E91" w:rsidRDefault="00370E91" w:rsidP="00E730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2175 Rosaline Avenue</w:t>
            </w:r>
          </w:p>
        </w:tc>
      </w:tr>
      <w:tr w:rsidR="00370E91" w14:paraId="03F76FF2" w14:textId="77777777" w:rsidTr="00007993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4658" w14:textId="77777777" w:rsidR="00370E91" w:rsidRDefault="00370E91" w:rsidP="00E730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Redding, CA 96049</w:t>
            </w:r>
          </w:p>
        </w:tc>
      </w:tr>
    </w:tbl>
    <w:p w14:paraId="468E3F73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A2502E1" w14:textId="3635EBEF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2D114E">
        <w:rPr>
          <w:rFonts w:ascii="Arial" w:hAnsi="Arial"/>
          <w:sz w:val="20"/>
          <w:szCs w:val="22"/>
        </w:rPr>
        <w:t>m</w:t>
      </w:r>
      <w:r w:rsidR="00C70852">
        <w:rPr>
          <w:rFonts w:ascii="Arial" w:hAnsi="Arial"/>
          <w:sz w:val="20"/>
          <w:szCs w:val="22"/>
        </w:rPr>
        <w:t>aster reflects prices as of July</w:t>
      </w:r>
      <w:r w:rsidR="00D20524">
        <w:rPr>
          <w:rFonts w:ascii="Arial" w:hAnsi="Arial"/>
          <w:sz w:val="20"/>
          <w:szCs w:val="22"/>
        </w:rPr>
        <w:t xml:space="preserve"> 1, 20</w:t>
      </w:r>
      <w:r w:rsidR="00007993">
        <w:rPr>
          <w:rFonts w:ascii="Arial" w:hAnsi="Arial"/>
          <w:sz w:val="20"/>
          <w:szCs w:val="22"/>
        </w:rPr>
        <w:t>20</w:t>
      </w:r>
      <w:r w:rsidRPr="002D114E">
        <w:rPr>
          <w:rFonts w:ascii="Arial" w:hAnsi="Arial"/>
          <w:sz w:val="20"/>
          <w:szCs w:val="22"/>
        </w:rPr>
        <w:t>, the effective date of our yearly rate increase</w:t>
      </w:r>
      <w:r w:rsidR="00007993">
        <w:rPr>
          <w:rFonts w:ascii="Arial" w:hAnsi="Arial"/>
          <w:sz w:val="20"/>
          <w:szCs w:val="22"/>
        </w:rPr>
        <w:t xml:space="preserve"> June 1, 2020</w:t>
      </w:r>
      <w:r w:rsidRPr="002D114E">
        <w:rPr>
          <w:rFonts w:ascii="Arial" w:hAnsi="Arial"/>
          <w:sz w:val="20"/>
          <w:szCs w:val="22"/>
        </w:rPr>
        <w:t xml:space="preserve">, which represents a </w:t>
      </w:r>
      <w:r w:rsidR="00007993">
        <w:rPr>
          <w:rFonts w:ascii="Arial" w:hAnsi="Arial"/>
          <w:sz w:val="20"/>
          <w:szCs w:val="22"/>
        </w:rPr>
        <w:t>2.3</w:t>
      </w:r>
      <w:r w:rsidRPr="002D114E">
        <w:rPr>
          <w:rFonts w:ascii="Arial" w:hAnsi="Arial"/>
          <w:sz w:val="20"/>
          <w:szCs w:val="22"/>
        </w:rPr>
        <w:t xml:space="preserve">% increase from previous year.  </w:t>
      </w:r>
    </w:p>
    <w:p w14:paraId="58EC655A" w14:textId="77777777" w:rsidR="00370E91" w:rsidRPr="002D114E" w:rsidRDefault="00370E91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D13D6A8" w14:textId="77777777" w:rsidR="00007993" w:rsidRDefault="00007993" w:rsidP="00007993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CDM file by the following indicator</w:t>
      </w:r>
      <w:r>
        <w:rPr>
          <w:rFonts w:ascii="Arial" w:hAnsi="Arial"/>
          <w:sz w:val="20"/>
          <w:szCs w:val="22"/>
        </w:rPr>
        <w:t>s:</w:t>
      </w:r>
    </w:p>
    <w:p w14:paraId="0D1ED38F" w14:textId="77777777" w:rsidR="00007993" w:rsidRPr="004D6FB2" w:rsidRDefault="00007993" w:rsidP="0000799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2A6D755" w14:textId="77777777" w:rsidR="00007993" w:rsidRPr="004D6FB2" w:rsidRDefault="00007993" w:rsidP="00007993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059FD58A" w14:textId="77777777" w:rsidR="00007993" w:rsidRPr="004D6FB2" w:rsidRDefault="00007993" w:rsidP="00007993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5FCFB3C5" w14:textId="77777777" w:rsidR="00007993" w:rsidRDefault="00007993" w:rsidP="00007993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3E3085F3" w14:textId="77777777" w:rsidR="00007993" w:rsidRPr="004D6FB2" w:rsidRDefault="00007993" w:rsidP="00007993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668F9F01" w14:textId="77777777" w:rsidR="00007993" w:rsidRPr="002D114E" w:rsidRDefault="00007993" w:rsidP="00007993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2E11F7B1" w14:textId="77777777" w:rsidR="00A11CE0" w:rsidRPr="002D114E" w:rsidRDefault="00A11CE0">
      <w:pPr>
        <w:rPr>
          <w:rFonts w:ascii="Arial" w:hAnsi="Arial"/>
          <w:sz w:val="20"/>
        </w:rPr>
      </w:pPr>
      <w:bookmarkStart w:id="0" w:name="_GoBack"/>
      <w:bookmarkEnd w:id="0"/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64C"/>
    <w:rsid w:val="00007993"/>
    <w:rsid w:val="00010014"/>
    <w:rsid w:val="0002180A"/>
    <w:rsid w:val="00027EF1"/>
    <w:rsid w:val="000307A9"/>
    <w:rsid w:val="0005061D"/>
    <w:rsid w:val="00077593"/>
    <w:rsid w:val="000D40C2"/>
    <w:rsid w:val="000F4ACD"/>
    <w:rsid w:val="000F6203"/>
    <w:rsid w:val="00152A22"/>
    <w:rsid w:val="0016217F"/>
    <w:rsid w:val="00197630"/>
    <w:rsid w:val="001A43A9"/>
    <w:rsid w:val="001D333E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4897"/>
    <w:rsid w:val="00327FE8"/>
    <w:rsid w:val="003306BF"/>
    <w:rsid w:val="0035294C"/>
    <w:rsid w:val="00370E91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8011C"/>
    <w:rsid w:val="004B2EFA"/>
    <w:rsid w:val="005403F0"/>
    <w:rsid w:val="005644CA"/>
    <w:rsid w:val="005F21B2"/>
    <w:rsid w:val="005F4CE4"/>
    <w:rsid w:val="00610479"/>
    <w:rsid w:val="00612A5D"/>
    <w:rsid w:val="0064584B"/>
    <w:rsid w:val="00663FD2"/>
    <w:rsid w:val="00690114"/>
    <w:rsid w:val="006A6299"/>
    <w:rsid w:val="006B325F"/>
    <w:rsid w:val="006D0970"/>
    <w:rsid w:val="006D6C0B"/>
    <w:rsid w:val="00707593"/>
    <w:rsid w:val="00735ECC"/>
    <w:rsid w:val="00737A39"/>
    <w:rsid w:val="00737C8C"/>
    <w:rsid w:val="00742410"/>
    <w:rsid w:val="007503FE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36D7A"/>
    <w:rsid w:val="00854A5D"/>
    <w:rsid w:val="008555FC"/>
    <w:rsid w:val="00873BBB"/>
    <w:rsid w:val="008A2FBD"/>
    <w:rsid w:val="008C00B1"/>
    <w:rsid w:val="008C3FEC"/>
    <w:rsid w:val="009330EC"/>
    <w:rsid w:val="00A11CE0"/>
    <w:rsid w:val="00A37347"/>
    <w:rsid w:val="00A37951"/>
    <w:rsid w:val="00A41831"/>
    <w:rsid w:val="00A430CD"/>
    <w:rsid w:val="00A45242"/>
    <w:rsid w:val="00AA1244"/>
    <w:rsid w:val="00AA1D7D"/>
    <w:rsid w:val="00AC257D"/>
    <w:rsid w:val="00AC750A"/>
    <w:rsid w:val="00AD38D3"/>
    <w:rsid w:val="00AE16F5"/>
    <w:rsid w:val="00AE3482"/>
    <w:rsid w:val="00AE69F0"/>
    <w:rsid w:val="00B02D1A"/>
    <w:rsid w:val="00B23EEE"/>
    <w:rsid w:val="00BA1972"/>
    <w:rsid w:val="00BB3192"/>
    <w:rsid w:val="00BC1D35"/>
    <w:rsid w:val="00BC218C"/>
    <w:rsid w:val="00BC28A7"/>
    <w:rsid w:val="00C230A4"/>
    <w:rsid w:val="00C5382A"/>
    <w:rsid w:val="00C6611B"/>
    <w:rsid w:val="00C70852"/>
    <w:rsid w:val="00C82C9A"/>
    <w:rsid w:val="00CF3599"/>
    <w:rsid w:val="00D06518"/>
    <w:rsid w:val="00D20524"/>
    <w:rsid w:val="00D2358D"/>
    <w:rsid w:val="00D26251"/>
    <w:rsid w:val="00D418FC"/>
    <w:rsid w:val="00D517D8"/>
    <w:rsid w:val="00D60D64"/>
    <w:rsid w:val="00D63015"/>
    <w:rsid w:val="00DA58D3"/>
    <w:rsid w:val="00DB736A"/>
    <w:rsid w:val="00DC32AB"/>
    <w:rsid w:val="00DC671A"/>
    <w:rsid w:val="00DC6B96"/>
    <w:rsid w:val="00DF2CB7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33B8C"/>
    <w:rsid w:val="00F530DD"/>
    <w:rsid w:val="00F626FB"/>
    <w:rsid w:val="00F7010F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05B4CCAE"/>
  <w15:docId w15:val="{B046E99F-7F6F-4657-AF8C-C7C556D8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D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8</cp:revision>
  <dcterms:created xsi:type="dcterms:W3CDTF">2019-01-10T20:28:00Z</dcterms:created>
  <dcterms:modified xsi:type="dcterms:W3CDTF">2020-08-27T22:44:00Z</dcterms:modified>
</cp:coreProperties>
</file>