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drawing>
          <wp:anchor behindDoc="0" distT="0" distB="0" distL="0" distR="0" simplePos="0" locked="0" layoutInCell="0" allowOverlap="1" relativeHeight="2">
            <wp:simplePos x="0" y="0"/>
            <wp:positionH relativeFrom="column">
              <wp:posOffset>111125</wp:posOffset>
            </wp:positionH>
            <wp:positionV relativeFrom="paragraph">
              <wp:posOffset>-817880</wp:posOffset>
            </wp:positionV>
            <wp:extent cx="5400040" cy="7689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768985"/>
                    </a:xfrm>
                    <a:prstGeom prst="rect">
                      <a:avLst/>
                    </a:prstGeom>
                  </pic:spPr>
                </pic:pic>
              </a:graphicData>
            </a:graphic>
          </wp:anchor>
        </w:drawing>
      </w:r>
      <w:r>
        <w:rPr/>
        <w:t xml:space="preserve">Aluno(a): Beatriz Saito Gobira </w:t>
      </w:r>
    </w:p>
    <w:p>
      <w:pPr>
        <w:pStyle w:val="Normal"/>
        <w:rPr/>
      </w:pPr>
      <w:r>
        <w:rPr/>
        <w:t>Professor: Thiago Raniel</w:t>
      </w:r>
    </w:p>
    <w:p>
      <w:pPr>
        <w:pStyle w:val="Normal"/>
        <w:rPr/>
      </w:pPr>
      <w:r>
        <w:rPr/>
      </w:r>
    </w:p>
    <w:p>
      <w:pPr>
        <w:pStyle w:val="Corpodotexto"/>
        <w:rPr/>
      </w:pPr>
      <w:r>
        <w:rPr/>
        <w:t>O setor de Atividades com CNAE 8610 apresentou um aumento notável, passando de 51,417 casos em 2011 para 62,852 em 2021, com crescimento tanto em casos típicos quanto em acidentes de trajeto. Por outro lado, setores com CNAE 4120 e o setor de CNAE 4744 mostraram redução no número total de casos, sugerindo melhorias nas práticas de segurança.</w:t>
      </w:r>
    </w:p>
    <w:p>
      <w:pPr>
        <w:pStyle w:val="Corpodotexto"/>
        <w:rPr/>
      </w:pPr>
      <w:r>
        <w:rPr/>
        <w:t>A análise também destaca setores criticos com o CNAE 4930 e o setor com o CNAE 1012, que experimentaram aumentos significativos nos casos, exigindo atenção para a implementação de medidas de seguranças mais eficazes.</w:t>
      </w:r>
    </w:p>
    <w:p>
      <w:pPr>
        <w:pStyle w:val="Corpodotexto"/>
        <w:rPr/>
      </w:pPr>
      <w:r>
        <w:rPr/>
      </w:r>
    </w:p>
    <w:p>
      <w:pPr>
        <w:pStyle w:val="Corpodotexto"/>
        <w:rPr/>
      </w:pPr>
      <w:r>
        <w:rPr/>
        <w:t>Abaixo segue a planilha de 2011 e seu respectivo gráfico:</w:t>
      </w:r>
    </w:p>
    <w:p>
      <w:pPr>
        <w:pStyle w:val="Corpodotexto"/>
        <w:rPr/>
      </w:pPr>
      <w:r>
        <w:rPr/>
        <w:drawing>
          <wp:anchor behindDoc="0" distT="0" distB="0" distL="0" distR="0" simplePos="0" locked="0" layoutInCell="0" allowOverlap="1" relativeHeight="4">
            <wp:simplePos x="0" y="0"/>
            <wp:positionH relativeFrom="column">
              <wp:posOffset>-164465</wp:posOffset>
            </wp:positionH>
            <wp:positionV relativeFrom="paragraph">
              <wp:posOffset>182245</wp:posOffset>
            </wp:positionV>
            <wp:extent cx="6000750" cy="2054860"/>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6000750" cy="2054860"/>
                    </a:xfrm>
                    <a:prstGeom prst="rect">
                      <a:avLst/>
                    </a:prstGeom>
                  </pic:spPr>
                </pic:pic>
              </a:graphicData>
            </a:graphic>
          </wp:anchor>
        </w:drawing>
      </w:r>
    </w:p>
    <w:p>
      <w:pPr>
        <w:pStyle w:val="Corpodotexto"/>
        <w:rPr/>
      </w:pPr>
      <w:r>
        <w:rPr/>
        <w:drawing>
          <wp:anchor behindDoc="0" distT="0" distB="0" distL="0" distR="0" simplePos="0" locked="0" layoutInCell="0" allowOverlap="1" relativeHeight="5">
            <wp:simplePos x="0" y="0"/>
            <wp:positionH relativeFrom="column">
              <wp:posOffset>450850</wp:posOffset>
            </wp:positionH>
            <wp:positionV relativeFrom="paragraph">
              <wp:posOffset>2049780</wp:posOffset>
            </wp:positionV>
            <wp:extent cx="4770120" cy="3118485"/>
            <wp:effectExtent l="0" t="0" r="0" b="0"/>
            <wp:wrapSquare wrapText="largest"/>
            <wp:docPr id="3"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t>agora seguimos com os dados de 2021 e seu gráfico:</w:t>
      </w:r>
    </w:p>
    <w:p>
      <w:pPr>
        <w:pStyle w:val="Corpodotexto"/>
        <w:rPr/>
      </w:pPr>
      <w:r>
        <w:rPr/>
        <w:drawing>
          <wp:anchor behindDoc="0" distT="0" distB="0" distL="0" distR="0" simplePos="0" locked="0" layoutInCell="0" allowOverlap="1" relativeHeight="3">
            <wp:simplePos x="0" y="0"/>
            <wp:positionH relativeFrom="column">
              <wp:posOffset>-40640</wp:posOffset>
            </wp:positionH>
            <wp:positionV relativeFrom="paragraph">
              <wp:posOffset>19685</wp:posOffset>
            </wp:positionV>
            <wp:extent cx="6035675" cy="2062480"/>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6035675" cy="2062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375920</wp:posOffset>
            </wp:positionH>
            <wp:positionV relativeFrom="paragraph">
              <wp:posOffset>2328545</wp:posOffset>
            </wp:positionV>
            <wp:extent cx="5009515" cy="3044190"/>
            <wp:effectExtent l="0" t="0" r="0" b="0"/>
            <wp:wrapSquare wrapText="largest"/>
            <wp:docPr id="5"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rPr/>
      </w:pPr>
      <w:r>
        <w:rPr/>
      </w:r>
    </w:p>
    <w:p>
      <w:pPr>
        <w:pStyle w:val="Corpodotexto"/>
        <w:spacing w:before="0" w:after="14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361b75"/>
    <w:rPr>
      <w:color w:val="0563C1" w:themeColor="hyperlink"/>
      <w:u w:val="single"/>
    </w:rPr>
  </w:style>
  <w:style w:type="character" w:styleId="UnresolvedMention">
    <w:name w:val="Unresolved Mention"/>
    <w:basedOn w:val="DefaultParagraphFont"/>
    <w:uiPriority w:val="99"/>
    <w:semiHidden/>
    <w:unhideWhenUsed/>
    <w:qFormat/>
    <w:rsid w:val="00361b75"/>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TOTAL</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0</c:f>
              <c:numCache>
                <c:formatCode>General</c:formatCode>
                <c:ptCount val="11"/>
                <c:pt idx="0">
                  <c:v>171791</c:v>
                </c:pt>
                <c:pt idx="1">
                  <c:v>51417</c:v>
                </c:pt>
                <c:pt idx="2">
                  <c:v>22517</c:v>
                </c:pt>
                <c:pt idx="3">
                  <c:v>21846</c:v>
                </c:pt>
                <c:pt idx="4">
                  <c:v>16824</c:v>
                </c:pt>
                <c:pt idx="5">
                  <c:v>10706</c:v>
                </c:pt>
                <c:pt idx="6">
                  <c:v>21700</c:v>
                </c:pt>
                <c:pt idx="7">
                  <c:v>9661</c:v>
                </c:pt>
                <c:pt idx="8">
                  <c:v>2429</c:v>
                </c:pt>
                <c:pt idx="9">
                  <c:v>6588</c:v>
                </c:pt>
                <c:pt idx="10">
                  <c:v>8103</c:v>
                </c:pt>
              </c:numCache>
            </c:numRef>
          </c:val>
        </c:ser>
        <c:ser>
          <c:idx val="1"/>
          <c:order val="1"/>
          <c:tx>
            <c:strRef>
              <c:f>label 1</c:f>
              <c:strCache>
                <c:ptCount val="1"/>
                <c:pt idx="0">
                  <c:v>TOTAL</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1</c:f>
              <c:numCache>
                <c:formatCode>General</c:formatCode>
                <c:ptCount val="11"/>
                <c:pt idx="0">
                  <c:v>133815</c:v>
                </c:pt>
                <c:pt idx="1">
                  <c:v>46670</c:v>
                </c:pt>
                <c:pt idx="2">
                  <c:v>17722</c:v>
                </c:pt>
                <c:pt idx="3">
                  <c:v>12982</c:v>
                </c:pt>
                <c:pt idx="4">
                  <c:v>12402</c:v>
                </c:pt>
                <c:pt idx="5">
                  <c:v>8018</c:v>
                </c:pt>
                <c:pt idx="6">
                  <c:v>15802</c:v>
                </c:pt>
                <c:pt idx="7">
                  <c:v>6896</c:v>
                </c:pt>
                <c:pt idx="8">
                  <c:v>2157</c:v>
                </c:pt>
                <c:pt idx="9">
                  <c:v>5656</c:v>
                </c:pt>
                <c:pt idx="10">
                  <c:v>5510</c:v>
                </c:pt>
              </c:numCache>
            </c:numRef>
          </c:val>
        </c:ser>
        <c:ser>
          <c:idx val="2"/>
          <c:order val="2"/>
          <c:tx>
            <c:strRef>
              <c:f>label 2</c:f>
              <c:strCache>
                <c:ptCount val="1"/>
                <c:pt idx="0">
                  <c:v>TIPICO </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2</c:f>
              <c:numCache>
                <c:formatCode>General</c:formatCode>
                <c:ptCount val="11"/>
                <c:pt idx="0">
                  <c:v>108312</c:v>
                </c:pt>
                <c:pt idx="1">
                  <c:v>38764</c:v>
                </c:pt>
                <c:pt idx="2">
                  <c:v>14387</c:v>
                </c:pt>
                <c:pt idx="3">
                  <c:v>10060</c:v>
                </c:pt>
                <c:pt idx="4">
                  <c:v>9503</c:v>
                </c:pt>
                <c:pt idx="5">
                  <c:v>6713</c:v>
                </c:pt>
                <c:pt idx="6">
                  <c:v>13195</c:v>
                </c:pt>
                <c:pt idx="7">
                  <c:v>4948</c:v>
                </c:pt>
                <c:pt idx="8">
                  <c:v>1474</c:v>
                </c:pt>
                <c:pt idx="9">
                  <c:v>4976</c:v>
                </c:pt>
                <c:pt idx="10">
                  <c:v>4292</c:v>
                </c:pt>
              </c:numCache>
            </c:numRef>
          </c:val>
        </c:ser>
        <c:ser>
          <c:idx val="3"/>
          <c:order val="3"/>
          <c:tx>
            <c:strRef>
              <c:f>label 3</c:f>
              <c:strCache>
                <c:ptCount val="1"/>
                <c:pt idx="0">
                  <c:v>TRAJETO</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3</c:f>
              <c:numCache>
                <c:formatCode>General</c:formatCode>
                <c:ptCount val="11"/>
                <c:pt idx="0">
                  <c:v>23263</c:v>
                </c:pt>
                <c:pt idx="1">
                  <c:v>7547</c:v>
                </c:pt>
                <c:pt idx="2">
                  <c:v>3022</c:v>
                </c:pt>
                <c:pt idx="3">
                  <c:v>2732</c:v>
                </c:pt>
                <c:pt idx="4">
                  <c:v>2708</c:v>
                </c:pt>
                <c:pt idx="5">
                  <c:v>793</c:v>
                </c:pt>
                <c:pt idx="6">
                  <c:v>2305</c:v>
                </c:pt>
                <c:pt idx="7">
                  <c:v>1762</c:v>
                </c:pt>
                <c:pt idx="8">
                  <c:v>653</c:v>
                </c:pt>
                <c:pt idx="9">
                  <c:v>641</c:v>
                </c:pt>
                <c:pt idx="10">
                  <c:v>1100</c:v>
                </c:pt>
              </c:numCache>
            </c:numRef>
          </c:val>
        </c:ser>
        <c:ser>
          <c:idx val="4"/>
          <c:order val="4"/>
          <c:tx>
            <c:strRef>
              <c:f>label 4</c:f>
              <c:strCache>
                <c:ptCount val="1"/>
                <c:pt idx="0">
                  <c:v>DOENCA_TRAB</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4</c:f>
              <c:numCache>
                <c:formatCode>General</c:formatCode>
                <c:ptCount val="11"/>
                <c:pt idx="0">
                  <c:v>2240</c:v>
                </c:pt>
                <c:pt idx="1">
                  <c:v>359</c:v>
                </c:pt>
                <c:pt idx="2">
                  <c:v>313</c:v>
                </c:pt>
                <c:pt idx="3">
                  <c:v>190</c:v>
                </c:pt>
                <c:pt idx="4">
                  <c:v>191</c:v>
                </c:pt>
                <c:pt idx="5">
                  <c:v>512</c:v>
                </c:pt>
                <c:pt idx="6">
                  <c:v>302</c:v>
                </c:pt>
                <c:pt idx="7">
                  <c:v>186</c:v>
                </c:pt>
                <c:pt idx="8">
                  <c:v>30</c:v>
                </c:pt>
                <c:pt idx="9">
                  <c:v>39</c:v>
                </c:pt>
                <c:pt idx="10">
                  <c:v>118</c:v>
                </c:pt>
              </c:numCache>
            </c:numRef>
          </c:val>
        </c:ser>
        <c:ser>
          <c:idx val="5"/>
          <c:order val="5"/>
          <c:tx>
            <c:strRef>
              <c:f>label 5</c:f>
              <c:strCache>
                <c:ptCount val="1"/>
                <c:pt idx="0">
                  <c:v>SEM_CAT_REGIST</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5</c:f>
              <c:numCache>
                <c:formatCode>General</c:formatCode>
                <c:ptCount val="11"/>
                <c:pt idx="0">
                  <c:v>38276</c:v>
                </c:pt>
                <c:pt idx="1">
                  <c:v>4747</c:v>
                </c:pt>
                <c:pt idx="2">
                  <c:v>4795</c:v>
                </c:pt>
                <c:pt idx="3">
                  <c:v>8864</c:v>
                </c:pt>
                <c:pt idx="4">
                  <c:v>4422</c:v>
                </c:pt>
                <c:pt idx="5">
                  <c:v>2688</c:v>
                </c:pt>
                <c:pt idx="6">
                  <c:v>5898</c:v>
                </c:pt>
                <c:pt idx="7">
                  <c:v>3065</c:v>
                </c:pt>
                <c:pt idx="8">
                  <c:v>272</c:v>
                </c:pt>
                <c:pt idx="9">
                  <c:v>932</c:v>
                </c:pt>
                <c:pt idx="10">
                  <c:v>2593</c:v>
                </c:pt>
              </c:numCache>
            </c:numRef>
          </c:val>
        </c:ser>
        <c:gapWidth val="100"/>
        <c:overlap val="0"/>
        <c:axId val="79783184"/>
        <c:axId val="66911695"/>
      </c:barChart>
      <c:catAx>
        <c:axId val="79783184"/>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66911695"/>
        <c:crosses val="autoZero"/>
        <c:auto val="1"/>
        <c:lblAlgn val="ctr"/>
        <c:lblOffset val="100"/>
        <c:noMultiLvlLbl val="0"/>
      </c:catAx>
      <c:valAx>
        <c:axId val="66911695"/>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79783184"/>
        <c:crosses val="autoZero"/>
        <c:crossBetween val="between"/>
      </c:valAx>
      <c:spPr>
        <a:noFill/>
        <a:ln w="0">
          <a:solidFill>
            <a:srgbClr val="b3b3b3"/>
          </a:solidFill>
        </a:ln>
      </c:spPr>
    </c:plotArea>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74646293152235"/>
          <c:y val="0.0569832402234637"/>
          <c:w val="0.805206564799094"/>
          <c:h val="0.674674115456238"/>
        </c:manualLayout>
      </c:layout>
      <c:barChart>
        <c:barDir val="col"/>
        <c:grouping val="clustered"/>
        <c:varyColors val="0"/>
        <c:ser>
          <c:idx val="0"/>
          <c:order val="0"/>
          <c:tx>
            <c:strRef>
              <c:f>label 0</c:f>
              <c:strCache>
                <c:ptCount val="1"/>
                <c:pt idx="0">
                  <c:v>TOTAL</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0</c:f>
              <c:numCache>
                <c:formatCode>General</c:formatCode>
                <c:ptCount val="11"/>
                <c:pt idx="0">
                  <c:v>536174</c:v>
                </c:pt>
                <c:pt idx="1">
                  <c:v>62852</c:v>
                </c:pt>
                <c:pt idx="2">
                  <c:v>19788</c:v>
                </c:pt>
                <c:pt idx="3">
                  <c:v>14925</c:v>
                </c:pt>
                <c:pt idx="4">
                  <c:v>14735</c:v>
                </c:pt>
                <c:pt idx="5">
                  <c:v>11722</c:v>
                </c:pt>
                <c:pt idx="6">
                  <c:v>10641</c:v>
                </c:pt>
                <c:pt idx="7">
                  <c:v>7694</c:v>
                </c:pt>
                <c:pt idx="8">
                  <c:v>6508</c:v>
                </c:pt>
                <c:pt idx="9">
                  <c:v>6350</c:v>
                </c:pt>
                <c:pt idx="10">
                  <c:v>5776</c:v>
                </c:pt>
              </c:numCache>
            </c:numRef>
          </c:val>
        </c:ser>
        <c:ser>
          <c:idx val="1"/>
          <c:order val="1"/>
          <c:tx>
            <c:strRef>
              <c:f>label 1</c:f>
              <c:strCache>
                <c:ptCount val="1"/>
                <c:pt idx="0">
                  <c:v>TOTAL</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1</c:f>
              <c:numCache>
                <c:formatCode>General</c:formatCode>
                <c:ptCount val="11"/>
                <c:pt idx="0">
                  <c:v>464967</c:v>
                </c:pt>
                <c:pt idx="1">
                  <c:v>59808</c:v>
                </c:pt>
                <c:pt idx="2">
                  <c:v>17016</c:v>
                </c:pt>
                <c:pt idx="3">
                  <c:v>12364</c:v>
                </c:pt>
                <c:pt idx="4">
                  <c:v>12986</c:v>
                </c:pt>
                <c:pt idx="5">
                  <c:v>10223</c:v>
                </c:pt>
                <c:pt idx="6">
                  <c:v>9189</c:v>
                </c:pt>
                <c:pt idx="7">
                  <c:v>7136</c:v>
                </c:pt>
                <c:pt idx="8">
                  <c:v>6251</c:v>
                </c:pt>
                <c:pt idx="9">
                  <c:v>5819</c:v>
                </c:pt>
                <c:pt idx="10">
                  <c:v>5282</c:v>
                </c:pt>
              </c:numCache>
            </c:numRef>
          </c:val>
        </c:ser>
        <c:ser>
          <c:idx val="2"/>
          <c:order val="2"/>
          <c:tx>
            <c:strRef>
              <c:f>label 2</c:f>
              <c:strCache>
                <c:ptCount val="1"/>
                <c:pt idx="0">
                  <c:v>TIPICO </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2</c:f>
              <c:numCache>
                <c:formatCode>General</c:formatCode>
                <c:ptCount val="11"/>
                <c:pt idx="0">
                  <c:v>349393</c:v>
                </c:pt>
                <c:pt idx="1">
                  <c:v>45409</c:v>
                </c:pt>
                <c:pt idx="2">
                  <c:v>12973</c:v>
                </c:pt>
                <c:pt idx="3">
                  <c:v>8767</c:v>
                </c:pt>
                <c:pt idx="4">
                  <c:v>9768</c:v>
                </c:pt>
                <c:pt idx="5">
                  <c:v>8919</c:v>
                </c:pt>
                <c:pt idx="6">
                  <c:v>7719</c:v>
                </c:pt>
                <c:pt idx="7">
                  <c:v>4970</c:v>
                </c:pt>
                <c:pt idx="8">
                  <c:v>4174</c:v>
                </c:pt>
                <c:pt idx="9">
                  <c:v>5109</c:v>
                </c:pt>
                <c:pt idx="10">
                  <c:v>4058</c:v>
                </c:pt>
              </c:numCache>
            </c:numRef>
          </c:val>
        </c:ser>
        <c:ser>
          <c:idx val="3"/>
          <c:order val="3"/>
          <c:tx>
            <c:strRef>
              <c:f>label 3</c:f>
              <c:strCache>
                <c:ptCount val="1"/>
                <c:pt idx="0">
                  <c:v>TRAJETO</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3</c:f>
              <c:numCache>
                <c:formatCode>General</c:formatCode>
                <c:ptCount val="11"/>
                <c:pt idx="0">
                  <c:v>96226</c:v>
                </c:pt>
                <c:pt idx="1">
                  <c:v>8461</c:v>
                </c:pt>
                <c:pt idx="2">
                  <c:v>3915</c:v>
                </c:pt>
                <c:pt idx="3">
                  <c:v>1954</c:v>
                </c:pt>
                <c:pt idx="4">
                  <c:v>3054</c:v>
                </c:pt>
                <c:pt idx="5">
                  <c:v>995</c:v>
                </c:pt>
                <c:pt idx="6">
                  <c:v>1362</c:v>
                </c:pt>
                <c:pt idx="7">
                  <c:v>2081</c:v>
                </c:pt>
                <c:pt idx="8">
                  <c:v>1546</c:v>
                </c:pt>
                <c:pt idx="9">
                  <c:v>665</c:v>
                </c:pt>
                <c:pt idx="10">
                  <c:v>1158</c:v>
                </c:pt>
              </c:numCache>
            </c:numRef>
          </c:val>
        </c:ser>
        <c:ser>
          <c:idx val="4"/>
          <c:order val="4"/>
          <c:tx>
            <c:strRef>
              <c:f>label 4</c:f>
              <c:strCache>
                <c:ptCount val="1"/>
                <c:pt idx="0">
                  <c:v>DOENCA_TRAB</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4</c:f>
              <c:numCache>
                <c:formatCode>General</c:formatCode>
                <c:ptCount val="11"/>
                <c:pt idx="0">
                  <c:v>19348</c:v>
                </c:pt>
                <c:pt idx="1">
                  <c:v>5938</c:v>
                </c:pt>
                <c:pt idx="2">
                  <c:v>128</c:v>
                </c:pt>
                <c:pt idx="3">
                  <c:v>1652</c:v>
                </c:pt>
                <c:pt idx="4">
                  <c:v>164</c:v>
                </c:pt>
                <c:pt idx="5">
                  <c:v>309</c:v>
                </c:pt>
                <c:pt idx="6">
                  <c:v>108</c:v>
                </c:pt>
                <c:pt idx="7">
                  <c:v>85</c:v>
                </c:pt>
                <c:pt idx="8">
                  <c:v>531</c:v>
                </c:pt>
                <c:pt idx="9">
                  <c:v>45</c:v>
                </c:pt>
                <c:pt idx="10">
                  <c:v>66</c:v>
                </c:pt>
              </c:numCache>
            </c:numRef>
          </c:val>
        </c:ser>
        <c:ser>
          <c:idx val="5"/>
          <c:order val="5"/>
          <c:tx>
            <c:strRef>
              <c:f>label 5</c:f>
              <c:strCache>
                <c:ptCount val="1"/>
                <c:pt idx="0">
                  <c:v>SEM_CAT_REGIST</c:v>
                </c:pt>
              </c:strCache>
            </c:strRef>
          </c:tx>
          <c:spPr>
            <a:solidFill>
              <a:srgbClr val="83caff"/>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1"/>
                <c:pt idx="0">
                  <c:v>TOTAL_L</c:v>
                </c:pt>
                <c:pt idx="1">
                  <c:v>8610</c:v>
                </c:pt>
                <c:pt idx="2">
                  <c:v>4711</c:v>
                </c:pt>
                <c:pt idx="3">
                  <c:v>8411</c:v>
                </c:pt>
                <c:pt idx="4">
                  <c:v>4930</c:v>
                </c:pt>
                <c:pt idx="5">
                  <c:v>1012</c:v>
                </c:pt>
                <c:pt idx="6">
                  <c:v>4120</c:v>
                </c:pt>
                <c:pt idx="7">
                  <c:v>5611</c:v>
                </c:pt>
                <c:pt idx="8">
                  <c:v>8630</c:v>
                </c:pt>
                <c:pt idx="9">
                  <c:v>3811</c:v>
                </c:pt>
                <c:pt idx="10">
                  <c:v>4744</c:v>
                </c:pt>
              </c:strCache>
            </c:strRef>
          </c:cat>
          <c:val>
            <c:numRef>
              <c:f>5</c:f>
              <c:numCache>
                <c:formatCode>General</c:formatCode>
                <c:ptCount val="11"/>
                <c:pt idx="0">
                  <c:v>71207</c:v>
                </c:pt>
                <c:pt idx="1">
                  <c:v>3044</c:v>
                </c:pt>
                <c:pt idx="2">
                  <c:v>2772</c:v>
                </c:pt>
                <c:pt idx="3">
                  <c:v>2561</c:v>
                </c:pt>
                <c:pt idx="4">
                  <c:v>1749</c:v>
                </c:pt>
                <c:pt idx="5">
                  <c:v>1499</c:v>
                </c:pt>
                <c:pt idx="6">
                  <c:v>1452</c:v>
                </c:pt>
                <c:pt idx="7">
                  <c:v>558</c:v>
                </c:pt>
                <c:pt idx="8">
                  <c:v>257</c:v>
                </c:pt>
                <c:pt idx="9">
                  <c:v>531</c:v>
                </c:pt>
                <c:pt idx="10">
                  <c:v>494</c:v>
                </c:pt>
              </c:numCache>
            </c:numRef>
          </c:val>
        </c:ser>
        <c:gapWidth val="100"/>
        <c:overlap val="0"/>
        <c:axId val="62756275"/>
        <c:axId val="14424703"/>
      </c:barChart>
      <c:catAx>
        <c:axId val="62756275"/>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14424703"/>
        <c:crosses val="autoZero"/>
        <c:auto val="1"/>
        <c:lblAlgn val="ctr"/>
        <c:lblOffset val="100"/>
        <c:noMultiLvlLbl val="0"/>
      </c:catAx>
      <c:valAx>
        <c:axId val="1442470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62756275"/>
        <c:crosses val="autoZero"/>
        <c:crossBetween val="between"/>
      </c:valAx>
      <c:spPr>
        <a:noFill/>
        <a:ln w="0">
          <a:solidFill>
            <a:srgbClr val="b3b3b3"/>
          </a:solidFill>
        </a:ln>
      </c:spPr>
    </c:plotArea>
    <c:plotVisOnly val="1"/>
    <c:dispBlanksAs val="gap"/>
  </c:chart>
  <c:spPr>
    <a:solidFill>
      <a:srgbClr val="ffffff"/>
    </a:solidFill>
    <a:ln w="0">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2</Pages>
  <Words>119</Words>
  <Characters>607</Characters>
  <CharactersWithSpaces>721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2023-11-22T12:23:00Z</dcterms:created>
  <dc:creator>thiago raniel</dc:creator>
  <dc:description/>
  <dc:language>pt-BR</dc:language>
  <cp:lastModifiedBy/>
  <dcterms:modified xsi:type="dcterms:W3CDTF">2023-11-23T23:27:30Z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