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pPr>
      <w:r>
        <w:rPr>
          <w:rFonts w:ascii="Aptos" w:hAnsi="Aptos"/>
          <w:b/>
          <w:color w:val="0071E3"/>
          <w:sz w:val="20"/>
        </w:rPr>
        <w:t>MY AI MIRROR</w:t>
      </w:r>
    </w:p>
    <w:p>
      <w:pPr>
        <w:pStyle w:val="Title"/>
      </w:pPr>
      <w:r>
        <w:t>One Week Field Study Protocol</w:t>
      </w:r>
    </w:p>
    <w:p>
      <w:pPr>
        <w:spacing w:after="520"/>
      </w:pPr>
      <w:r>
        <w:rPr>
          <w:rFonts w:ascii="Aptos" w:hAnsi="Aptos"/>
          <w:color w:val="6E6E73"/>
          <w:sz w:val="30"/>
        </w:rPr>
        <w:t>Exploratory mixed method deployment with five young adults</w:t>
      </w:r>
    </w:p>
    <w:tbl>
      <w:tblPr>
        <w:tblW w:type="auto" w:w="0"/>
        <w:jc w:val="left"/>
        <w:tblLayout w:type="fixed"/>
        <w:tblLook w:firstColumn="1" w:firstRow="1" w:lastColumn="0" w:lastRow="0" w:noHBand="0" w:noVBand="1" w:val="04A0"/>
      </w:tblPr>
      <w:tblGrid>
        <w:gridCol w:w="4939"/>
        <w:gridCol w:w="4939"/>
      </w:tblGrid>
      <w:tr>
        <w:tc>
          <w:tcPr>
            <w:tcW w:type="dxa" w:w="3024"/>
            <w:tcMar>
              <w:top w:w="120" w:type="dxa"/>
              <w:start w:w="120" w:type="dxa"/>
              <w:bottom w:w="120" w:type="dxa"/>
              <w:end w:w="120" w:type="dxa"/>
            </w:tcMar>
            <w:tcBorders>
              <w:top w:val="single" w:sz="6" w:color="E5E5EA"/>
              <w:left w:val="single" w:sz="6" w:color="E5E5EA"/>
              <w:bottom w:val="single" w:sz="6" w:color="E5E5EA"/>
              <w:right w:val="single" w:sz="6" w:color="E5E5EA"/>
              <w:insideH w:val="single" w:sz="6" w:color="E5E5EA"/>
              <w:insideV w:val="single" w:sz="6" w:color="E5E5EA"/>
            </w:tcBorders>
            <w:vAlign w:val="center"/>
          </w:tcPr>
          <w:p>
            <w:pPr>
              <w:spacing w:after="0"/>
            </w:pPr>
            <w:r>
              <w:rPr>
                <w:rFonts w:ascii="Aptos" w:hAnsi="Aptos"/>
                <w:b/>
                <w:color w:val="6E6E73"/>
                <w:sz w:val="19"/>
              </w:rPr>
              <w:t>Protocol version</w:t>
            </w:r>
          </w:p>
        </w:tc>
        <w:tc>
          <w:tcPr>
            <w:tcW w:type="dxa" w:w="6048"/>
            <w:tcMar>
              <w:top w:w="120" w:type="dxa"/>
              <w:start w:w="120" w:type="dxa"/>
              <w:bottom w:w="120" w:type="dxa"/>
              <w:end w:w="120" w:type="dxa"/>
            </w:tcMar>
            <w:tcBorders>
              <w:top w:val="single" w:sz="6" w:color="E5E5EA"/>
              <w:left w:val="single" w:sz="6" w:color="E5E5EA"/>
              <w:bottom w:val="single" w:sz="6" w:color="E5E5EA"/>
              <w:right w:val="single" w:sz="6" w:color="E5E5EA"/>
              <w:insideH w:val="single" w:sz="6" w:color="E5E5EA"/>
              <w:insideV w:val="single" w:sz="6" w:color="E5E5EA"/>
            </w:tcBorders>
            <w:vAlign w:val="center"/>
          </w:tcPr>
          <w:p>
            <w:pPr>
              <w:spacing w:after="0"/>
            </w:pPr>
            <w:r>
              <w:rPr>
                <w:rFonts w:ascii="Aptos" w:hAnsi="Aptos"/>
                <w:b w:val="0"/>
                <w:color w:val="1D1D1F"/>
                <w:sz w:val="19"/>
              </w:rPr>
              <w:t>Draft 0.1</w:t>
            </w:r>
          </w:p>
        </w:tc>
      </w:tr>
      <w:tr>
        <w:tc>
          <w:tcPr>
            <w:tcW w:type="dxa" w:w="3024"/>
            <w:tcMar>
              <w:top w:w="120" w:type="dxa"/>
              <w:start w:w="120" w:type="dxa"/>
              <w:bottom w:w="120" w:type="dxa"/>
              <w:end w:w="120" w:type="dxa"/>
            </w:tcMar>
            <w:tcBorders>
              <w:top w:val="single" w:sz="6" w:color="E5E5EA"/>
              <w:left w:val="single" w:sz="6" w:color="E5E5EA"/>
              <w:bottom w:val="single" w:sz="6" w:color="E5E5EA"/>
              <w:right w:val="single" w:sz="6" w:color="E5E5EA"/>
              <w:insideH w:val="single" w:sz="6" w:color="E5E5EA"/>
              <w:insideV w:val="single" w:sz="6" w:color="E5E5EA"/>
            </w:tcBorders>
            <w:vAlign w:val="center"/>
            <w:shd w:fill="FAFAFA"/>
          </w:tcPr>
          <w:p>
            <w:pPr>
              <w:spacing w:after="0"/>
            </w:pPr>
            <w:r>
              <w:rPr>
                <w:rFonts w:ascii="Aptos" w:hAnsi="Aptos"/>
                <w:b/>
                <w:color w:val="6E6E73"/>
                <w:sz w:val="19"/>
              </w:rPr>
              <w:t>Date</w:t>
            </w:r>
          </w:p>
        </w:tc>
        <w:tc>
          <w:tcPr>
            <w:tcW w:type="dxa" w:w="6048"/>
            <w:tcMar>
              <w:top w:w="120" w:type="dxa"/>
              <w:start w:w="120" w:type="dxa"/>
              <w:bottom w:w="120" w:type="dxa"/>
              <w:end w:w="120" w:type="dxa"/>
            </w:tcMar>
            <w:tcBorders>
              <w:top w:val="single" w:sz="6" w:color="E5E5EA"/>
              <w:left w:val="single" w:sz="6" w:color="E5E5EA"/>
              <w:bottom w:val="single" w:sz="6" w:color="E5E5EA"/>
              <w:right w:val="single" w:sz="6" w:color="E5E5EA"/>
              <w:insideH w:val="single" w:sz="6" w:color="E5E5EA"/>
              <w:insideV w:val="single" w:sz="6" w:color="E5E5EA"/>
            </w:tcBorders>
            <w:vAlign w:val="center"/>
            <w:shd w:fill="FAFAFA"/>
          </w:tcPr>
          <w:p>
            <w:pPr>
              <w:spacing w:after="0"/>
            </w:pPr>
            <w:r>
              <w:rPr>
                <w:rFonts w:ascii="Aptos" w:hAnsi="Aptos"/>
                <w:b w:val="0"/>
                <w:color w:val="1D1D1F"/>
                <w:sz w:val="19"/>
              </w:rPr>
              <w:t>6 September 2026</w:t>
            </w:r>
          </w:p>
        </w:tc>
      </w:tr>
      <w:tr>
        <w:tc>
          <w:tcPr>
            <w:tcW w:type="dxa" w:w="3024"/>
            <w:tcMar>
              <w:top w:w="120" w:type="dxa"/>
              <w:start w:w="120" w:type="dxa"/>
              <w:bottom w:w="120" w:type="dxa"/>
              <w:end w:w="120" w:type="dxa"/>
            </w:tcMar>
            <w:tcBorders>
              <w:top w:val="single" w:sz="6" w:color="E5E5EA"/>
              <w:left w:val="single" w:sz="6" w:color="E5E5EA"/>
              <w:bottom w:val="single" w:sz="6" w:color="E5E5EA"/>
              <w:right w:val="single" w:sz="6" w:color="E5E5EA"/>
              <w:insideH w:val="single" w:sz="6" w:color="E5E5EA"/>
              <w:insideV w:val="single" w:sz="6" w:color="E5E5EA"/>
            </w:tcBorders>
            <w:vAlign w:val="center"/>
          </w:tcPr>
          <w:p>
            <w:pPr>
              <w:spacing w:after="0"/>
            </w:pPr>
            <w:r>
              <w:rPr>
                <w:rFonts w:ascii="Aptos" w:hAnsi="Aptos"/>
                <w:b/>
                <w:color w:val="6E6E73"/>
                <w:sz w:val="19"/>
              </w:rPr>
              <w:t>Deployment</w:t>
            </w:r>
          </w:p>
        </w:tc>
        <w:tc>
          <w:tcPr>
            <w:tcW w:type="dxa" w:w="6048"/>
            <w:tcMar>
              <w:top w:w="120" w:type="dxa"/>
              <w:start w:w="120" w:type="dxa"/>
              <w:bottom w:w="120" w:type="dxa"/>
              <w:end w:w="120" w:type="dxa"/>
            </w:tcMar>
            <w:tcBorders>
              <w:top w:val="single" w:sz="6" w:color="E5E5EA"/>
              <w:left w:val="single" w:sz="6" w:color="E5E5EA"/>
              <w:bottom w:val="single" w:sz="6" w:color="E5E5EA"/>
              <w:right w:val="single" w:sz="6" w:color="E5E5EA"/>
              <w:insideH w:val="single" w:sz="6" w:color="E5E5EA"/>
              <w:insideV w:val="single" w:sz="6" w:color="E5E5EA"/>
            </w:tcBorders>
            <w:vAlign w:val="center"/>
          </w:tcPr>
          <w:p>
            <w:pPr>
              <w:spacing w:after="0"/>
            </w:pPr>
            <w:r>
              <w:rPr>
                <w:rFonts w:ascii="Aptos" w:hAnsi="Aptos"/>
                <w:b w:val="0"/>
                <w:color w:val="1D1D1F"/>
                <w:sz w:val="19"/>
              </w:rPr>
              <w:t>7 consecutive days</w:t>
            </w:r>
          </w:p>
        </w:tc>
      </w:tr>
      <w:tr>
        <w:tc>
          <w:tcPr>
            <w:tcW w:type="dxa" w:w="3024"/>
            <w:tcMar>
              <w:top w:w="120" w:type="dxa"/>
              <w:start w:w="120" w:type="dxa"/>
              <w:bottom w:w="120" w:type="dxa"/>
              <w:end w:w="120" w:type="dxa"/>
            </w:tcMar>
            <w:tcBorders>
              <w:top w:val="single" w:sz="6" w:color="E5E5EA"/>
              <w:left w:val="single" w:sz="6" w:color="E5E5EA"/>
              <w:bottom w:val="single" w:sz="6" w:color="E5E5EA"/>
              <w:right w:val="single" w:sz="6" w:color="E5E5EA"/>
              <w:insideH w:val="single" w:sz="6" w:color="E5E5EA"/>
              <w:insideV w:val="single" w:sz="6" w:color="E5E5EA"/>
            </w:tcBorders>
            <w:vAlign w:val="center"/>
            <w:shd w:fill="FAFAFA"/>
          </w:tcPr>
          <w:p>
            <w:pPr>
              <w:spacing w:after="0"/>
            </w:pPr>
            <w:r>
              <w:rPr>
                <w:rFonts w:ascii="Aptos" w:hAnsi="Aptos"/>
                <w:b/>
                <w:color w:val="6E6E73"/>
                <w:sz w:val="19"/>
              </w:rPr>
              <w:t>Planned sample</w:t>
            </w:r>
          </w:p>
        </w:tc>
        <w:tc>
          <w:tcPr>
            <w:tcW w:type="dxa" w:w="6048"/>
            <w:tcMar>
              <w:top w:w="120" w:type="dxa"/>
              <w:start w:w="120" w:type="dxa"/>
              <w:bottom w:w="120" w:type="dxa"/>
              <w:end w:w="120" w:type="dxa"/>
            </w:tcMar>
            <w:tcBorders>
              <w:top w:val="single" w:sz="6" w:color="E5E5EA"/>
              <w:left w:val="single" w:sz="6" w:color="E5E5EA"/>
              <w:bottom w:val="single" w:sz="6" w:color="E5E5EA"/>
              <w:right w:val="single" w:sz="6" w:color="E5E5EA"/>
              <w:insideH w:val="single" w:sz="6" w:color="E5E5EA"/>
              <w:insideV w:val="single" w:sz="6" w:color="E5E5EA"/>
            </w:tcBorders>
            <w:vAlign w:val="center"/>
            <w:shd w:fill="FAFAFA"/>
          </w:tcPr>
          <w:p>
            <w:pPr>
              <w:spacing w:after="0"/>
            </w:pPr>
            <w:r>
              <w:rPr>
                <w:rFonts w:ascii="Aptos" w:hAnsi="Aptos"/>
                <w:b w:val="0"/>
                <w:color w:val="1D1D1F"/>
                <w:sz w:val="19"/>
              </w:rPr>
              <w:t>5 participants aged 18 to 25</w:t>
            </w:r>
          </w:p>
        </w:tc>
      </w:tr>
      <w:tr>
        <w:tc>
          <w:tcPr>
            <w:tcW w:type="dxa" w:w="3024"/>
            <w:tcMar>
              <w:top w:w="120" w:type="dxa"/>
              <w:start w:w="120" w:type="dxa"/>
              <w:bottom w:w="120" w:type="dxa"/>
              <w:end w:w="120" w:type="dxa"/>
            </w:tcMar>
            <w:tcBorders>
              <w:top w:val="single" w:sz="6" w:color="E5E5EA"/>
              <w:left w:val="single" w:sz="6" w:color="E5E5EA"/>
              <w:bottom w:val="single" w:sz="6" w:color="E5E5EA"/>
              <w:right w:val="single" w:sz="6" w:color="E5E5EA"/>
              <w:insideH w:val="single" w:sz="6" w:color="E5E5EA"/>
              <w:insideV w:val="single" w:sz="6" w:color="E5E5EA"/>
            </w:tcBorders>
            <w:vAlign w:val="center"/>
          </w:tcPr>
          <w:p>
            <w:pPr>
              <w:spacing w:after="0"/>
            </w:pPr>
            <w:r>
              <w:rPr>
                <w:rFonts w:ascii="Aptos" w:hAnsi="Aptos"/>
                <w:b/>
                <w:color w:val="6E6E73"/>
                <w:sz w:val="19"/>
              </w:rPr>
              <w:t>Researcher and institution</w:t>
            </w:r>
          </w:p>
        </w:tc>
        <w:tc>
          <w:tcPr>
            <w:tcW w:type="dxa" w:w="6048"/>
            <w:tcMar>
              <w:top w:w="120" w:type="dxa"/>
              <w:start w:w="120" w:type="dxa"/>
              <w:bottom w:w="120" w:type="dxa"/>
              <w:end w:w="120" w:type="dxa"/>
            </w:tcMar>
            <w:tcBorders>
              <w:top w:val="single" w:sz="6" w:color="E5E5EA"/>
              <w:left w:val="single" w:sz="6" w:color="E5E5EA"/>
              <w:bottom w:val="single" w:sz="6" w:color="E5E5EA"/>
              <w:right w:val="single" w:sz="6" w:color="E5E5EA"/>
              <w:insideH w:val="single" w:sz="6" w:color="E5E5EA"/>
              <w:insideV w:val="single" w:sz="6" w:color="E5E5EA"/>
            </w:tcBorders>
            <w:vAlign w:val="center"/>
            <w:shd w:fill="FFF4CE"/>
          </w:tcPr>
          <w:p>
            <w:pPr>
              <w:spacing w:after="0"/>
            </w:pPr>
            <w:r>
              <w:rPr>
                <w:rFonts w:ascii="Aptos" w:hAnsi="Aptos"/>
                <w:b/>
                <w:color w:val="1D1D1F"/>
                <w:sz w:val="19"/>
              </w:rPr>
              <w:t>TO CONFIRM</w:t>
            </w:r>
          </w:p>
        </w:tc>
      </w:tr>
      <w:tr>
        <w:tc>
          <w:tcPr>
            <w:tcW w:type="dxa" w:w="3024"/>
            <w:tcMar>
              <w:top w:w="120" w:type="dxa"/>
              <w:start w:w="120" w:type="dxa"/>
              <w:bottom w:w="120" w:type="dxa"/>
              <w:end w:w="120" w:type="dxa"/>
            </w:tcMar>
            <w:tcBorders>
              <w:top w:val="single" w:sz="6" w:color="E5E5EA"/>
              <w:left w:val="single" w:sz="6" w:color="E5E5EA"/>
              <w:bottom w:val="single" w:sz="6" w:color="E5E5EA"/>
              <w:right w:val="single" w:sz="6" w:color="E5E5EA"/>
              <w:insideH w:val="single" w:sz="6" w:color="E5E5EA"/>
              <w:insideV w:val="single" w:sz="6" w:color="E5E5EA"/>
            </w:tcBorders>
            <w:vAlign w:val="center"/>
            <w:shd w:fill="FAFAFA"/>
          </w:tcPr>
          <w:p>
            <w:pPr>
              <w:spacing w:after="0"/>
            </w:pPr>
            <w:r>
              <w:rPr>
                <w:rFonts w:ascii="Aptos" w:hAnsi="Aptos"/>
                <w:b/>
                <w:color w:val="6E6E73"/>
                <w:sz w:val="19"/>
              </w:rPr>
              <w:t>Ethics reference</w:t>
            </w:r>
          </w:p>
        </w:tc>
        <w:tc>
          <w:tcPr>
            <w:tcW w:type="dxa" w:w="6048"/>
            <w:tcMar>
              <w:top w:w="120" w:type="dxa"/>
              <w:start w:w="120" w:type="dxa"/>
              <w:bottom w:w="120" w:type="dxa"/>
              <w:end w:w="120" w:type="dxa"/>
            </w:tcMar>
            <w:tcBorders>
              <w:top w:val="single" w:sz="6" w:color="E5E5EA"/>
              <w:left w:val="single" w:sz="6" w:color="E5E5EA"/>
              <w:bottom w:val="single" w:sz="6" w:color="E5E5EA"/>
              <w:right w:val="single" w:sz="6" w:color="E5E5EA"/>
              <w:insideH w:val="single" w:sz="6" w:color="E5E5EA"/>
              <w:insideV w:val="single" w:sz="6" w:color="E5E5EA"/>
            </w:tcBorders>
            <w:vAlign w:val="center"/>
            <w:shd w:fill="FFF4CE"/>
          </w:tcPr>
          <w:p>
            <w:pPr>
              <w:spacing w:after="0"/>
            </w:pPr>
            <w:r>
              <w:rPr>
                <w:rFonts w:ascii="Aptos" w:hAnsi="Aptos"/>
                <w:b/>
                <w:color w:val="1D1D1F"/>
                <w:sz w:val="19"/>
              </w:rPr>
              <w:t>TO CONFIRM before recruitment</w:t>
            </w:r>
          </w:p>
        </w:tc>
      </w:tr>
    </w:tbl>
    <w:p>
      <w:pPr>
        <w:spacing w:before="520" w:after="0"/>
      </w:pPr>
      <w:r>
        <w:rPr>
          <w:rFonts w:ascii="Aptos" w:hAnsi="Aptos"/>
          <w:color w:val="1D1D1F"/>
          <w:sz w:val="22"/>
        </w:rPr>
        <w:t>This protocol evaluates feasibility, usability, perceived usefulness, and participant reflection during ordinary ChatGPT use. The study is exploratory and is not designed to establish causal effects.</w:t>
      </w:r>
    </w:p>
    <w:p>
      <w:r>
        <w:br w:type="page"/>
      </w:r>
    </w:p>
    <w:p>
      <w:pPr>
        <w:pStyle w:val="Heading1"/>
      </w:pPr>
      <w:r>
        <w:t>Study overview</w:t>
      </w:r>
    </w:p>
    <w:p>
      <w:pPr>
        <w:widowControl/>
        <w:spacing w:after="120" w:line="269" w:lineRule="auto"/>
      </w:pPr>
      <w:r>
        <w:rPr>
          <w:rFonts w:ascii="Aptos" w:hAnsi="Aptos"/>
        </w:rPr>
        <w:t>My AI Mirror is a browser extension designed to help people reflect on how they use large language models (LLMs). During ordinary ChatGPT use, the extension presents lightweight visual feedback and optional reflection prompts. It also produces a downloadable PDF report that summarises the participant's interaction patterns without including raw prompt or response text.</w:t>
      </w:r>
    </w:p>
    <w:p>
      <w:pPr>
        <w:widowControl/>
        <w:spacing w:after="120" w:line="269" w:lineRule="auto"/>
      </w:pPr>
      <w:r>
        <w:rPr>
          <w:rFonts w:ascii="Aptos" w:hAnsi="Aptos"/>
        </w:rPr>
        <w:t>This small study will evaluate the feasibility, usability, perceived usefulness, and perceived intrusiveness of My AI Mirror in everyday use. Five young adults will install the extension on their own computers, use ChatGPT as they normally would for one week, and then review and send a pseudonymised PDF report to the researcher. A short post-study questionnaire and semi-structured interview will explore what participants noticed, how they interpreted the feedback, and whether the system supported reflection.</w:t>
      </w:r>
    </w:p>
    <w:p>
      <w:pPr>
        <w:widowControl/>
        <w:spacing w:after="120" w:line="269" w:lineRule="auto"/>
      </w:pPr>
      <w:r>
        <w:rPr>
          <w:rFonts w:ascii="Aptos" w:hAnsi="Aptos"/>
        </w:rPr>
        <w:t>Because the sample contains only five participants and there is no control group, the study is not designed to demonstrate efficacy or causal effects. Its purpose is to identify design opportunities, usability problems, and preliminary patterns that can guide future iterations and a larger evaluation.</w:t>
      </w:r>
    </w:p>
    <w:p>
      <w:pPr>
        <w:pStyle w:val="Heading1"/>
      </w:pPr>
      <w:r>
        <w:t>Motivation</w:t>
      </w:r>
    </w:p>
    <w:p>
      <w:pPr>
        <w:widowControl/>
        <w:spacing w:after="120" w:line="269" w:lineRule="auto"/>
      </w:pPr>
      <w:r>
        <w:rPr>
          <w:rFonts w:ascii="Aptos" w:hAnsi="Aptos"/>
        </w:rPr>
        <w:t>Generative AI is increasingly used for learning, writing, problem-solving, and personal support. Recent studies suggest that the effects of chatbot use depend on both the way a system is used and the circumstances of the user. Research has examined affective use and emotional dependence, while work on cognition has found relationships between confidence in generative AI and self-reported critical-thinking effort. These findings do not establish that ordinary LLM use is inherently harmful, but they motivate tools that help users recognise and interpret their own patterns of use.</w:t>
      </w:r>
    </w:p>
    <w:p>
      <w:pPr>
        <w:widowControl/>
        <w:spacing w:after="120" w:line="269" w:lineRule="auto"/>
      </w:pPr>
      <w:r>
        <w:rPr>
          <w:rFonts w:ascii="Aptos" w:hAnsi="Aptos"/>
        </w:rPr>
        <w:t>Smartphones and social-media platforms commonly provide digital-wellbeing features, yet comparable reflection tools for AI interactions remain limited. Users may therefore have little visibility into how often they rely on AI, which kinds of tasks they delegate, when they actively reason with the system, and how their patterns change over time.</w:t>
      </w:r>
    </w:p>
    <w:p>
      <w:pPr>
        <w:widowControl/>
        <w:spacing w:after="120" w:line="269" w:lineRule="auto"/>
      </w:pPr>
      <w:r>
        <w:rPr>
          <w:rFonts w:ascii="Aptos" w:hAnsi="Aptos"/>
        </w:rPr>
        <w:t>My AI Mirror explores whether embedded visualisations, contextual feedback, optional reflection prompts, and a longitudinal report can make AI interaction patterns visible and actionable without becoming intrusive, judgemental, or paternalistic.</w:t>
      </w:r>
    </w:p>
    <w:p>
      <w:pPr>
        <w:pStyle w:val="Heading1"/>
      </w:pPr>
      <w:r>
        <w:t>Aim and objectives</w:t>
      </w:r>
    </w:p>
    <w:p>
      <w:pPr>
        <w:widowControl/>
        <w:spacing w:after="120" w:line="269" w:lineRule="auto"/>
      </w:pPr>
      <w:r>
        <w:rPr>
          <w:rFonts w:ascii="Aptos" w:hAnsi="Aptos"/>
        </w:rPr>
        <w:t>The aim is to explore how a personal reflection tool can support awareness of everyday LLM use among young adults.</w:t>
      </w:r>
    </w:p>
    <w:p>
      <w:pPr>
        <w:widowControl/>
        <w:spacing w:after="120" w:line="269" w:lineRule="auto"/>
      </w:pPr>
      <w:r>
        <w:rPr>
          <w:rFonts w:ascii="Aptos" w:hAnsi="Aptos"/>
        </w:rPr>
        <w:t>The study objectives are to:</w:t>
      </w:r>
    </w:p>
    <w:p>
      <w:pPr>
        <w:widowControl/>
        <w:spacing w:after="60" w:line="269" w:lineRule="auto"/>
        <w:ind w:left="461" w:hanging="461"/>
      </w:pPr>
      <w:r>
        <w:rPr>
          <w:rFonts w:ascii="Aptos" w:hAnsi="Aptos"/>
        </w:rPr>
        <w:t xml:space="preserve">1.  </w:t>
      </w:r>
      <w:r>
        <w:rPr>
          <w:rFonts w:ascii="Aptos" w:hAnsi="Aptos"/>
        </w:rPr>
        <w:t>assess whether participants can install and use the prototype independently for one week;</w:t>
      </w:r>
    </w:p>
    <w:p>
      <w:pPr>
        <w:widowControl/>
        <w:spacing w:after="60" w:line="269" w:lineRule="auto"/>
        <w:ind w:left="461" w:hanging="461"/>
      </w:pPr>
      <w:r>
        <w:rPr>
          <w:rFonts w:ascii="Aptos" w:hAnsi="Aptos"/>
        </w:rPr>
        <w:t xml:space="preserve">2.  </w:t>
      </w:r>
      <w:r>
        <w:rPr>
          <w:rFonts w:ascii="Aptos" w:hAnsi="Aptos"/>
        </w:rPr>
        <w:t>understand how participants interpret the extension's visualisations, labels, reflection prompts, and PDF report;</w:t>
      </w:r>
    </w:p>
    <w:p>
      <w:pPr>
        <w:widowControl/>
        <w:spacing w:after="60" w:line="269" w:lineRule="auto"/>
        <w:ind w:left="461" w:hanging="461"/>
      </w:pPr>
      <w:r>
        <w:rPr>
          <w:rFonts w:ascii="Aptos" w:hAnsi="Aptos"/>
        </w:rPr>
        <w:t xml:space="preserve">3.  </w:t>
      </w:r>
      <w:r>
        <w:rPr>
          <w:rFonts w:ascii="Aptos" w:hAnsi="Aptos"/>
        </w:rPr>
        <w:t>explore whether the system helps participants notice the frequency, purpose, and style of their ChatGPT use;</w:t>
      </w:r>
    </w:p>
    <w:p>
      <w:pPr>
        <w:widowControl/>
        <w:spacing w:after="60" w:line="269" w:lineRule="auto"/>
        <w:ind w:left="461" w:hanging="461"/>
      </w:pPr>
      <w:r>
        <w:rPr>
          <w:rFonts w:ascii="Aptos" w:hAnsi="Aptos"/>
        </w:rPr>
        <w:t xml:space="preserve">4.  </w:t>
      </w:r>
      <w:r>
        <w:rPr>
          <w:rFonts w:ascii="Aptos" w:hAnsi="Aptos"/>
        </w:rPr>
        <w:t>identify elements perceived as useful, inaccurate, confusing, intrusive, or paternalistic;</w:t>
      </w:r>
    </w:p>
    <w:p>
      <w:pPr>
        <w:widowControl/>
        <w:spacing w:after="60" w:line="269" w:lineRule="auto"/>
        <w:ind w:left="461" w:hanging="461"/>
      </w:pPr>
      <w:r>
        <w:rPr>
          <w:rFonts w:ascii="Aptos" w:hAnsi="Aptos"/>
        </w:rPr>
        <w:t xml:space="preserve">5.  </w:t>
      </w:r>
      <w:r>
        <w:rPr>
          <w:rFonts w:ascii="Aptos" w:hAnsi="Aptos"/>
        </w:rPr>
        <w:t>collect design requirements for the next iteration of My AI Mirror.</w:t>
      </w:r>
    </w:p>
    <w:p>
      <w:pPr>
        <w:pStyle w:val="Heading1"/>
      </w:pPr>
      <w:r>
        <w:t>Research questions</w:t>
      </w:r>
    </w:p>
    <w:p>
      <w:pPr>
        <w:widowControl/>
        <w:spacing w:after="120" w:line="269" w:lineRule="auto"/>
      </w:pPr>
      <w:r>
        <w:rPr>
          <w:rFonts w:ascii="Aptos" w:hAnsi="Aptos"/>
          <w:b/>
        </w:rPr>
        <w:t>RQ1.</w:t>
      </w:r>
      <w:r>
        <w:rPr>
          <w:rFonts w:ascii="Aptos" w:hAnsi="Aptos"/>
        </w:rPr>
        <w:t xml:space="preserve"> What aspects of their ChatGPT use do participants notice after using My AI Mirror for one week?</w:t>
      </w:r>
    </w:p>
    <w:p>
      <w:pPr>
        <w:widowControl/>
        <w:spacing w:after="120" w:line="269" w:lineRule="auto"/>
      </w:pPr>
      <w:r>
        <w:rPr>
          <w:rFonts w:ascii="Aptos" w:hAnsi="Aptos"/>
          <w:b/>
        </w:rPr>
        <w:t>RQ2.</w:t>
      </w:r>
      <w:r>
        <w:rPr>
          <w:rFonts w:ascii="Aptos" w:hAnsi="Aptos"/>
        </w:rPr>
        <w:t xml:space="preserve"> How do participants interpret and respond to the extension's embedded visualisations, contextual feedback, reflection prompts, and PDF report?</w:t>
      </w:r>
    </w:p>
    <w:p>
      <w:pPr>
        <w:widowControl/>
        <w:spacing w:after="120" w:line="269" w:lineRule="auto"/>
      </w:pPr>
      <w:r>
        <w:rPr>
          <w:rFonts w:ascii="Aptos" w:hAnsi="Aptos"/>
          <w:b/>
        </w:rPr>
        <w:t>RQ3.</w:t>
      </w:r>
      <w:r>
        <w:rPr>
          <w:rFonts w:ascii="Aptos" w:hAnsi="Aptos"/>
        </w:rPr>
        <w:t xml:space="preserve"> Which parts of My AI Mirror are perceived as useful, usable, trustworthy, intrusive, or judgemental?</w:t>
      </w:r>
    </w:p>
    <w:p>
      <w:pPr>
        <w:widowControl/>
        <w:spacing w:after="120" w:line="269" w:lineRule="auto"/>
      </w:pPr>
      <w:r>
        <w:rPr>
          <w:rFonts w:ascii="Aptos" w:hAnsi="Aptos"/>
          <w:b/>
        </w:rPr>
        <w:t>RQ4.</w:t>
      </w:r>
      <w:r>
        <w:rPr>
          <w:rFonts w:ascii="Aptos" w:hAnsi="Aptos"/>
        </w:rPr>
        <w:t xml:space="preserve"> What changes do participants recommend for a reflection tool intended to support healthy and critically engaged LLM use?</w:t>
      </w:r>
    </w:p>
    <w:p>
      <w:pPr>
        <w:pStyle w:val="Heading1"/>
      </w:pPr>
      <w:r>
        <w:t>Study design</w:t>
      </w:r>
    </w:p>
    <w:p>
      <w:pPr>
        <w:widowControl/>
        <w:spacing w:after="120" w:line="269" w:lineRule="auto"/>
      </w:pPr>
      <w:r>
        <w:rPr>
          <w:rFonts w:ascii="Aptos" w:hAnsi="Aptos"/>
        </w:rPr>
        <w:t>The study uses a one-week, within-participant field deployment followed by a questionnaire and interview. It combines:</w:t>
      </w:r>
    </w:p>
    <w:p>
      <w:pPr>
        <w:pStyle w:val="ListBullet"/>
        <w:widowControl/>
        <w:spacing w:after="60" w:line="269" w:lineRule="auto"/>
        <w:ind w:left="346"/>
      </w:pPr>
      <w:r>
        <w:rPr>
          <w:rFonts w:ascii="Aptos" w:hAnsi="Aptos"/>
        </w:rPr>
        <w:t>behavioural summaries generated by the extension;</w:t>
      </w:r>
    </w:p>
    <w:p>
      <w:pPr>
        <w:pStyle w:val="ListBullet"/>
        <w:widowControl/>
        <w:spacing w:after="60" w:line="269" w:lineRule="auto"/>
        <w:ind w:left="346"/>
      </w:pPr>
      <w:r>
        <w:rPr>
          <w:rFonts w:ascii="Aptos" w:hAnsi="Aptos"/>
        </w:rPr>
        <w:t>short pre- and post-study self-report items;</w:t>
      </w:r>
    </w:p>
    <w:p>
      <w:pPr>
        <w:pStyle w:val="ListBullet"/>
        <w:widowControl/>
        <w:spacing w:after="60" w:line="269" w:lineRule="auto"/>
        <w:ind w:left="346"/>
      </w:pPr>
      <w:r>
        <w:rPr>
          <w:rFonts w:ascii="Aptos" w:hAnsi="Aptos"/>
        </w:rPr>
        <w:t>System Usability Scale (SUS) responses;</w:t>
      </w:r>
    </w:p>
    <w:p>
      <w:pPr>
        <w:pStyle w:val="ListBullet"/>
        <w:widowControl/>
        <w:spacing w:after="60" w:line="269" w:lineRule="auto"/>
        <w:ind w:left="346"/>
      </w:pPr>
      <w:r>
        <w:rPr>
          <w:rFonts w:ascii="Aptos" w:hAnsi="Aptos"/>
        </w:rPr>
        <w:t>qualitative accounts from open questions and a semi-structured interview;</w:t>
      </w:r>
    </w:p>
    <w:p>
      <w:pPr>
        <w:pStyle w:val="ListBullet"/>
        <w:widowControl/>
        <w:spacing w:after="60" w:line="269" w:lineRule="auto"/>
        <w:ind w:left="346"/>
      </w:pPr>
      <w:r>
        <w:rPr>
          <w:rFonts w:ascii="Aptos" w:hAnsi="Aptos"/>
        </w:rPr>
        <w:t>researcher notes about installation problems, bugs, and missing data.</w:t>
      </w:r>
    </w:p>
    <w:p>
      <w:pPr>
        <w:widowControl/>
        <w:spacing w:after="120" w:line="269" w:lineRule="auto"/>
      </w:pPr>
      <w:r>
        <w:rPr>
          <w:rFonts w:ascii="Aptos" w:hAnsi="Aptos"/>
        </w:rPr>
        <w:t>There is no control condition and participants will not be asked to reach a minimum number of prompts. This preserves natural use. Participants will be reminded that low or zero use on some days is valid data.</w:t>
      </w:r>
    </w:p>
    <w:p>
      <w:pPr>
        <w:pStyle w:val="Heading1"/>
      </w:pPr>
      <w:r>
        <w:t>Participants and recruitment</w:t>
      </w:r>
    </w:p>
    <w:p>
      <w:pPr>
        <w:pStyle w:val="Heading2"/>
      </w:pPr>
      <w:r>
        <w:t>Target sample</w:t>
      </w:r>
    </w:p>
    <w:p>
      <w:pPr>
        <w:widowControl/>
        <w:spacing w:after="120" w:line="269" w:lineRule="auto"/>
      </w:pPr>
      <w:r>
        <w:rPr>
          <w:rFonts w:ascii="Aptos" w:hAnsi="Aptos"/>
        </w:rPr>
        <w:t>Five young adults aged 18–25 will be recruited through [TO CONFIRM: university mailing list, student groups, personal networks, or another approved channel]. This is a purposive convenience sample appropriate for an early feasibility study, not a representative sample of young people.</w:t>
      </w:r>
    </w:p>
    <w:p>
      <w:pPr>
        <w:pStyle w:val="Heading2"/>
      </w:pPr>
      <w:r>
        <w:t>Inclusion criteria</w:t>
      </w:r>
    </w:p>
    <w:p>
      <w:pPr>
        <w:widowControl/>
        <w:spacing w:after="120" w:line="269" w:lineRule="auto"/>
      </w:pPr>
      <w:r>
        <w:rPr>
          <w:rFonts w:ascii="Aptos" w:hAnsi="Aptos"/>
        </w:rPr>
        <w:t>Participants must:</w:t>
      </w:r>
    </w:p>
    <w:p>
      <w:pPr>
        <w:pStyle w:val="ListBullet"/>
        <w:widowControl/>
        <w:spacing w:after="60" w:line="269" w:lineRule="auto"/>
        <w:ind w:left="346"/>
      </w:pPr>
      <w:r>
        <w:rPr>
          <w:rFonts w:ascii="Aptos" w:hAnsi="Aptos"/>
        </w:rPr>
        <w:t>be 18–25 years old;</w:t>
      </w:r>
    </w:p>
    <w:p>
      <w:pPr>
        <w:pStyle w:val="ListBullet"/>
        <w:widowControl/>
        <w:spacing w:after="60" w:line="269" w:lineRule="auto"/>
        <w:ind w:left="346"/>
      </w:pPr>
      <w:r>
        <w:rPr>
          <w:rFonts w:ascii="Aptos" w:hAnsi="Aptos"/>
        </w:rPr>
        <w:t>use ChatGPT at least occasionally;</w:t>
      </w:r>
    </w:p>
    <w:p>
      <w:pPr>
        <w:pStyle w:val="ListBullet"/>
        <w:widowControl/>
        <w:spacing w:after="60" w:line="269" w:lineRule="auto"/>
        <w:ind w:left="346"/>
      </w:pPr>
      <w:r>
        <w:rPr>
          <w:rFonts w:ascii="Aptos" w:hAnsi="Aptos"/>
        </w:rPr>
        <w:t>have access to their own compatible computer and Chromium-based browser for seven days;</w:t>
      </w:r>
    </w:p>
    <w:p>
      <w:pPr>
        <w:pStyle w:val="ListBullet"/>
        <w:widowControl/>
        <w:spacing w:after="60" w:line="269" w:lineRule="auto"/>
        <w:ind w:left="346"/>
      </w:pPr>
      <w:r>
        <w:rPr>
          <w:rFonts w:ascii="Aptos" w:hAnsi="Aptos"/>
        </w:rPr>
        <w:t>be able and willing to install the research extension;</w:t>
      </w:r>
    </w:p>
    <w:p>
      <w:pPr>
        <w:pStyle w:val="ListBullet"/>
        <w:widowControl/>
        <w:spacing w:after="60" w:line="269" w:lineRule="auto"/>
        <w:ind w:left="346"/>
      </w:pPr>
      <w:r>
        <w:rPr>
          <w:rFonts w:ascii="Aptos" w:hAnsi="Aptos"/>
        </w:rPr>
        <w:t>understand the study information and provide informed consent;</w:t>
      </w:r>
    </w:p>
    <w:p>
      <w:pPr>
        <w:pStyle w:val="ListBullet"/>
        <w:widowControl/>
        <w:spacing w:after="60" w:line="269" w:lineRule="auto"/>
        <w:ind w:left="346"/>
      </w:pPr>
      <w:r>
        <w:rPr>
          <w:rFonts w:ascii="Aptos" w:hAnsi="Aptos"/>
        </w:rPr>
        <w:t>be willing to review and, if comfortable, send the generated PDF report to the researcher;</w:t>
      </w:r>
    </w:p>
    <w:p>
      <w:pPr>
        <w:pStyle w:val="ListBullet"/>
        <w:widowControl/>
        <w:spacing w:after="60" w:line="269" w:lineRule="auto"/>
        <w:ind w:left="346"/>
      </w:pPr>
      <w:r>
        <w:rPr>
          <w:rFonts w:ascii="Aptos" w:hAnsi="Aptos"/>
        </w:rPr>
        <w:t>be able to complete the study materials in [TO CONFIRM: language].</w:t>
      </w:r>
    </w:p>
    <w:p>
      <w:pPr>
        <w:pStyle w:val="Heading2"/>
      </w:pPr>
      <w:r>
        <w:t>Exclusion criteria</w:t>
      </w:r>
    </w:p>
    <w:p>
      <w:pPr>
        <w:widowControl/>
        <w:spacing w:after="120" w:line="269" w:lineRule="auto"/>
      </w:pPr>
      <w:r>
        <w:rPr>
          <w:rFonts w:ascii="Aptos" w:hAnsi="Aptos"/>
        </w:rPr>
        <w:t>People will be excluded if they:</w:t>
      </w:r>
    </w:p>
    <w:p>
      <w:pPr>
        <w:pStyle w:val="ListBullet"/>
        <w:widowControl/>
        <w:spacing w:after="60" w:line="269" w:lineRule="auto"/>
        <w:ind w:left="346"/>
      </w:pPr>
      <w:r>
        <w:rPr>
          <w:rFonts w:ascii="Aptos" w:hAnsi="Aptos"/>
        </w:rPr>
        <w:t>are under 18;</w:t>
      </w:r>
    </w:p>
    <w:p>
      <w:pPr>
        <w:pStyle w:val="ListBullet"/>
        <w:widowControl/>
        <w:spacing w:after="60" w:line="269" w:lineRule="auto"/>
        <w:ind w:left="346"/>
      </w:pPr>
      <w:r>
        <w:rPr>
          <w:rFonts w:ascii="Aptos" w:hAnsi="Aptos"/>
        </w:rPr>
        <w:t>cannot install or run the extension on a compatible device;</w:t>
      </w:r>
    </w:p>
    <w:p>
      <w:pPr>
        <w:pStyle w:val="ListBullet"/>
        <w:widowControl/>
        <w:spacing w:after="60" w:line="269" w:lineRule="auto"/>
        <w:ind w:left="346"/>
      </w:pPr>
      <w:r>
        <w:rPr>
          <w:rFonts w:ascii="Aptos" w:hAnsi="Aptos"/>
        </w:rPr>
        <w:t>plan to use only temporary/private chats that the extension cannot reliably include;</w:t>
      </w:r>
    </w:p>
    <w:p>
      <w:pPr>
        <w:pStyle w:val="ListBullet"/>
        <w:widowControl/>
        <w:spacing w:after="60" w:line="269" w:lineRule="auto"/>
        <w:ind w:left="346"/>
      </w:pPr>
      <w:r>
        <w:rPr>
          <w:rFonts w:ascii="Aptos" w:hAnsi="Aptos"/>
        </w:rPr>
        <w:t>do not consent to the study's data-handling procedure.</w:t>
      </w:r>
    </w:p>
    <w:p>
      <w:pPr>
        <w:pStyle w:val="Heading2"/>
      </w:pPr>
      <w:r>
        <w:t>Compensation</w:t>
      </w:r>
    </w:p>
    <w:p>
      <w:pPr>
        <w:widowControl/>
        <w:spacing w:after="120" w:line="269" w:lineRule="auto"/>
      </w:pPr>
      <w:r>
        <w:rPr>
          <w:rFonts w:ascii="Aptos" w:hAnsi="Aptos"/>
        </w:rPr>
        <w:t>[TO CONFIRM: compensation and payment conditions. State clearly whether a participant who withdraws receives full or prorated compensation.]</w:t>
      </w:r>
    </w:p>
    <w:p>
      <w:pPr>
        <w:pStyle w:val="Heading1"/>
      </w:pPr>
      <w:r>
        <w:t>Materials</w:t>
      </w:r>
    </w:p>
    <w:p>
      <w:pPr>
        <w:pStyle w:val="ListBullet"/>
        <w:widowControl/>
        <w:spacing w:after="60" w:line="269" w:lineRule="auto"/>
        <w:ind w:left="346"/>
      </w:pPr>
      <w:r>
        <w:rPr>
          <w:rFonts w:ascii="Aptos" w:hAnsi="Aptos"/>
        </w:rPr>
        <w:t>My AI Mirror browser extension and installation instructions;</w:t>
      </w:r>
    </w:p>
    <w:p>
      <w:pPr>
        <w:pStyle w:val="ListBullet"/>
        <w:widowControl/>
        <w:spacing w:after="60" w:line="269" w:lineRule="auto"/>
        <w:ind w:left="346"/>
      </w:pPr>
      <w:r>
        <w:rPr>
          <w:rFonts w:ascii="Aptos" w:hAnsi="Aptos"/>
        </w:rPr>
        <w:t>participant information sheet and consent form;</w:t>
      </w:r>
    </w:p>
    <w:p>
      <w:pPr>
        <w:pStyle w:val="ListBullet"/>
        <w:widowControl/>
        <w:spacing w:after="60" w:line="269" w:lineRule="auto"/>
        <w:ind w:left="346"/>
      </w:pPr>
      <w:r>
        <w:rPr>
          <w:rFonts w:ascii="Aptos" w:hAnsi="Aptos"/>
        </w:rPr>
        <w:t>pre-study questionnaire;</w:t>
      </w:r>
    </w:p>
    <w:p>
      <w:pPr>
        <w:pStyle w:val="ListBullet"/>
        <w:widowControl/>
        <w:spacing w:after="60" w:line="269" w:lineRule="auto"/>
        <w:ind w:left="346"/>
      </w:pPr>
      <w:r>
        <w:rPr>
          <w:rFonts w:ascii="Aptos" w:hAnsi="Aptos"/>
        </w:rPr>
        <w:t>seven-day participant instruction sheet;</w:t>
      </w:r>
    </w:p>
    <w:p>
      <w:pPr>
        <w:pStyle w:val="ListBullet"/>
        <w:widowControl/>
        <w:spacing w:after="60" w:line="269" w:lineRule="auto"/>
        <w:ind w:left="346"/>
      </w:pPr>
      <w:r>
        <w:rPr>
          <w:rFonts w:ascii="Aptos" w:hAnsi="Aptos"/>
        </w:rPr>
        <w:t>post-study questionnaire, including SUS;</w:t>
      </w:r>
    </w:p>
    <w:p>
      <w:pPr>
        <w:pStyle w:val="ListBullet"/>
        <w:widowControl/>
        <w:spacing w:after="60" w:line="269" w:lineRule="auto"/>
        <w:ind w:left="346"/>
      </w:pPr>
      <w:r>
        <w:rPr>
          <w:rFonts w:ascii="Aptos" w:hAnsi="Aptos"/>
        </w:rPr>
        <w:t>semi-structured interview guide;</w:t>
      </w:r>
    </w:p>
    <w:p>
      <w:pPr>
        <w:pStyle w:val="ListBullet"/>
        <w:widowControl/>
        <w:spacing w:after="60" w:line="269" w:lineRule="auto"/>
        <w:ind w:left="346"/>
      </w:pPr>
      <w:r>
        <w:rPr>
          <w:rFonts w:ascii="Aptos" w:hAnsi="Aptos"/>
        </w:rPr>
        <w:t>participant debrief sheet;</w:t>
      </w:r>
    </w:p>
    <w:p>
      <w:pPr>
        <w:pStyle w:val="ListBullet"/>
        <w:widowControl/>
        <w:spacing w:after="60" w:line="269" w:lineRule="auto"/>
        <w:ind w:left="346"/>
      </w:pPr>
      <w:r>
        <w:rPr>
          <w:rFonts w:ascii="Aptos" w:hAnsi="Aptos"/>
        </w:rPr>
        <w:t>secure method for submitting the coded PDF report;</w:t>
      </w:r>
    </w:p>
    <w:p>
      <w:pPr>
        <w:pStyle w:val="ListBullet"/>
        <w:widowControl/>
        <w:spacing w:after="60" w:line="269" w:lineRule="auto"/>
        <w:ind w:left="346"/>
      </w:pPr>
      <w:r>
        <w:rPr>
          <w:rFonts w:ascii="Aptos" w:hAnsi="Aptos"/>
        </w:rPr>
        <w:t>researcher issue log.</w:t>
      </w:r>
    </w:p>
    <w:p>
      <w:pPr>
        <w:pStyle w:val="Heading1"/>
      </w:pPr>
      <w:r>
        <w:t>Procedure</w:t>
      </w:r>
    </w:p>
    <w:p>
      <w:pPr>
        <w:pStyle w:val="Heading2"/>
      </w:pPr>
      <w:r>
        <w:t>Stage 1 Screening and consent (approximately 10 minutes)</w:t>
      </w:r>
    </w:p>
    <w:p>
      <w:pPr>
        <w:widowControl/>
        <w:spacing w:after="60" w:line="269" w:lineRule="auto"/>
        <w:ind w:left="461" w:hanging="461"/>
      </w:pPr>
      <w:r>
        <w:rPr>
          <w:rFonts w:ascii="Aptos" w:hAnsi="Aptos"/>
        </w:rPr>
        <w:t xml:space="preserve">1.  </w:t>
      </w:r>
      <w:r>
        <w:rPr>
          <w:rFonts w:ascii="Aptos" w:hAnsi="Aptos"/>
        </w:rPr>
        <w:t>The researcher sends the participant information sheet at least [TO CONFIRM: 24 or 48 hours] before enrolment.</w:t>
      </w:r>
    </w:p>
    <w:p>
      <w:pPr>
        <w:widowControl/>
        <w:spacing w:after="60" w:line="269" w:lineRule="auto"/>
        <w:ind w:left="461" w:hanging="461"/>
      </w:pPr>
      <w:r>
        <w:rPr>
          <w:rFonts w:ascii="Aptos" w:hAnsi="Aptos"/>
        </w:rPr>
        <w:t xml:space="preserve">2.  </w:t>
      </w:r>
      <w:r>
        <w:rPr>
          <w:rFonts w:ascii="Aptos" w:hAnsi="Aptos"/>
        </w:rPr>
        <w:t>The participant completes a brief eligibility screen.</w:t>
      </w:r>
    </w:p>
    <w:p>
      <w:pPr>
        <w:widowControl/>
        <w:spacing w:after="60" w:line="269" w:lineRule="auto"/>
        <w:ind w:left="461" w:hanging="461"/>
      </w:pPr>
      <w:r>
        <w:rPr>
          <w:rFonts w:ascii="Aptos" w:hAnsi="Aptos"/>
        </w:rPr>
        <w:t xml:space="preserve">3.  </w:t>
      </w:r>
      <w:r>
        <w:rPr>
          <w:rFonts w:ascii="Aptos" w:hAnsi="Aptos"/>
        </w:rPr>
        <w:t>The researcher answers questions and obtains informed consent.</w:t>
      </w:r>
    </w:p>
    <w:p>
      <w:pPr>
        <w:widowControl/>
        <w:spacing w:after="60" w:line="269" w:lineRule="auto"/>
        <w:ind w:left="461" w:hanging="461"/>
      </w:pPr>
      <w:r>
        <w:rPr>
          <w:rFonts w:ascii="Aptos" w:hAnsi="Aptos"/>
        </w:rPr>
        <w:t xml:space="preserve">4.  </w:t>
      </w:r>
      <w:r>
        <w:rPr>
          <w:rFonts w:ascii="Aptos" w:hAnsi="Aptos"/>
        </w:rPr>
        <w:t>The participant receives a study ID (P01–P05). The link between names and study IDs is stored separately from research data.</w:t>
      </w:r>
    </w:p>
    <w:p>
      <w:pPr>
        <w:pStyle w:val="Heading2"/>
      </w:pPr>
      <w:r>
        <w:t>Stage 2 Baseline questionnaire (approximately 5 10 minutes)</w:t>
      </w:r>
    </w:p>
    <w:p>
      <w:pPr>
        <w:widowControl/>
        <w:spacing w:after="120" w:line="269" w:lineRule="auto"/>
      </w:pPr>
      <w:r>
        <w:rPr>
          <w:rFonts w:ascii="Aptos" w:hAnsi="Aptos"/>
        </w:rPr>
        <w:t>The participant reports basic demographic information, usual ChatGPT frequency, typical use cases, prior use of digital-wellbeing tools, and baseline awareness of their AI-use patterns. No raw ChatGPT conversations are requested.</w:t>
      </w:r>
    </w:p>
    <w:p>
      <w:pPr>
        <w:pStyle w:val="Heading2"/>
      </w:pPr>
      <w:r>
        <w:t>Stage 3 Installation and onboarding (approximately 15 20 minutes)</w:t>
      </w:r>
    </w:p>
    <w:p>
      <w:pPr>
        <w:widowControl/>
        <w:spacing w:after="60" w:line="269" w:lineRule="auto"/>
        <w:ind w:left="461" w:hanging="461"/>
      </w:pPr>
      <w:r>
        <w:rPr>
          <w:rFonts w:ascii="Aptos" w:hAnsi="Aptos"/>
        </w:rPr>
        <w:t xml:space="preserve">1.  </w:t>
      </w:r>
      <w:r>
        <w:rPr>
          <w:rFonts w:ascii="Aptos" w:hAnsi="Aptos"/>
        </w:rPr>
        <w:t>The participant installs My AI Mirror on their own computer with researcher guidance if needed.</w:t>
      </w:r>
    </w:p>
    <w:p>
      <w:pPr>
        <w:widowControl/>
        <w:spacing w:after="60" w:line="269" w:lineRule="auto"/>
        <w:ind w:left="461" w:hanging="461"/>
      </w:pPr>
      <w:r>
        <w:rPr>
          <w:rFonts w:ascii="Aptos" w:hAnsi="Aptos"/>
        </w:rPr>
        <w:t xml:space="preserve">2.  </w:t>
      </w:r>
      <w:r>
        <w:rPr>
          <w:rFonts w:ascii="Aptos" w:hAnsi="Aptos"/>
        </w:rPr>
        <w:t>The researcher explains what the extension records, what it does not record, and how to disable or remove it.</w:t>
      </w:r>
    </w:p>
    <w:p>
      <w:pPr>
        <w:widowControl/>
        <w:spacing w:after="60" w:line="269" w:lineRule="auto"/>
        <w:ind w:left="461" w:hanging="461"/>
      </w:pPr>
      <w:r>
        <w:rPr>
          <w:rFonts w:ascii="Aptos" w:hAnsi="Aptos"/>
        </w:rPr>
        <w:t xml:space="preserve">3.  </w:t>
      </w:r>
      <w:r>
        <w:rPr>
          <w:rFonts w:ascii="Aptos" w:hAnsi="Aptos"/>
        </w:rPr>
        <w:t>The participant completes one test interaction and confirms that the extension is operating.</w:t>
      </w:r>
    </w:p>
    <w:p>
      <w:pPr>
        <w:widowControl/>
        <w:spacing w:after="60" w:line="269" w:lineRule="auto"/>
        <w:ind w:left="461" w:hanging="461"/>
      </w:pPr>
      <w:r>
        <w:rPr>
          <w:rFonts w:ascii="Aptos" w:hAnsi="Aptos"/>
        </w:rPr>
        <w:t xml:space="preserve">4.  </w:t>
      </w:r>
      <w:r>
        <w:rPr>
          <w:rFonts w:ascii="Aptos" w:hAnsi="Aptos"/>
        </w:rPr>
        <w:t>The participant is shown how to open the reflection interface and generate the PDF report, but is not coached toward a particular type or amount of ChatGPT use.</w:t>
      </w:r>
    </w:p>
    <w:p>
      <w:pPr>
        <w:pStyle w:val="Heading2"/>
      </w:pPr>
      <w:r>
        <w:t>Stage 4 Seven day naturalistic deployment</w:t>
      </w:r>
    </w:p>
    <w:p>
      <w:pPr>
        <w:widowControl/>
        <w:spacing w:after="120" w:line="269" w:lineRule="auto"/>
      </w:pPr>
      <w:r>
        <w:rPr>
          <w:rFonts w:ascii="Aptos" w:hAnsi="Aptos"/>
        </w:rPr>
        <w:t>For seven consecutive days, the participant:</w:t>
      </w:r>
    </w:p>
    <w:p>
      <w:pPr>
        <w:pStyle w:val="ListBullet"/>
        <w:widowControl/>
        <w:spacing w:after="60" w:line="269" w:lineRule="auto"/>
        <w:ind w:left="346"/>
      </w:pPr>
      <w:r>
        <w:rPr>
          <w:rFonts w:ascii="Aptos" w:hAnsi="Aptos"/>
        </w:rPr>
        <w:t>uses ChatGPT normally on the enrolled browser and computer;</w:t>
      </w:r>
    </w:p>
    <w:p>
      <w:pPr>
        <w:pStyle w:val="ListBullet"/>
        <w:widowControl/>
        <w:spacing w:after="60" w:line="269" w:lineRule="auto"/>
        <w:ind w:left="346"/>
      </w:pPr>
      <w:r>
        <w:rPr>
          <w:rFonts w:ascii="Aptos" w:hAnsi="Aptos"/>
        </w:rPr>
        <w:t>keeps My AI Mirror enabled when they want their interactions included;</w:t>
      </w:r>
    </w:p>
    <w:p>
      <w:pPr>
        <w:pStyle w:val="ListBullet"/>
        <w:widowControl/>
        <w:spacing w:after="60" w:line="269" w:lineRule="auto"/>
        <w:ind w:left="346"/>
      </w:pPr>
      <w:r>
        <w:rPr>
          <w:rFonts w:ascii="Aptos" w:hAnsi="Aptos"/>
        </w:rPr>
        <w:t>may view or dismiss the extension's visualisations and reflection prompts;</w:t>
      </w:r>
    </w:p>
    <w:p>
      <w:pPr>
        <w:pStyle w:val="ListBullet"/>
        <w:widowControl/>
        <w:spacing w:after="60" w:line="269" w:lineRule="auto"/>
        <w:ind w:left="346"/>
      </w:pPr>
      <w:r>
        <w:rPr>
          <w:rFonts w:ascii="Aptos" w:hAnsi="Aptos"/>
        </w:rPr>
        <w:t>does not need to use ChatGPT every day or submit a minimum number of prompts;</w:t>
      </w:r>
    </w:p>
    <w:p>
      <w:pPr>
        <w:pStyle w:val="ListBullet"/>
        <w:widowControl/>
        <w:spacing w:after="60" w:line="269" w:lineRule="auto"/>
        <w:ind w:left="346"/>
      </w:pPr>
      <w:r>
        <w:rPr>
          <w:rFonts w:ascii="Aptos" w:hAnsi="Aptos"/>
        </w:rPr>
        <w:t>reports technical problems to the researcher without sending conversation content;</w:t>
      </w:r>
    </w:p>
    <w:p>
      <w:pPr>
        <w:pStyle w:val="ListBullet"/>
        <w:widowControl/>
        <w:spacing w:after="60" w:line="269" w:lineRule="auto"/>
        <w:ind w:left="346"/>
      </w:pPr>
      <w:r>
        <w:rPr>
          <w:rFonts w:ascii="Aptos" w:hAnsi="Aptos"/>
        </w:rPr>
        <w:t>may pause or uninstall the extension at any time.</w:t>
      </w:r>
    </w:p>
    <w:p>
      <w:pPr>
        <w:widowControl/>
        <w:spacing w:after="120" w:line="269" w:lineRule="auto"/>
      </w:pPr>
      <w:r>
        <w:rPr>
          <w:rFonts w:ascii="Aptos" w:hAnsi="Aptos"/>
        </w:rPr>
        <w:t>The researcher may send one neutral midpoint reminder on day 4: “This is a reminder that your My AI Mirror study period is ongoing. Please continue using ChatGPT as you normally would. Let me know if you experience a technical problem.”</w:t>
      </w:r>
    </w:p>
    <w:p>
      <w:pPr>
        <w:pStyle w:val="Heading2"/>
      </w:pPr>
      <w:r>
        <w:t>Stage 5 Report review and submission (approximately 5 minutes)</w:t>
      </w:r>
    </w:p>
    <w:p>
      <w:pPr>
        <w:widowControl/>
        <w:spacing w:after="120" w:line="269" w:lineRule="auto"/>
      </w:pPr>
      <w:r>
        <w:rPr>
          <w:rFonts w:ascii="Aptos" w:hAnsi="Aptos"/>
        </w:rPr>
        <w:t>At the end of day 7, the participant:</w:t>
      </w:r>
    </w:p>
    <w:p>
      <w:pPr>
        <w:widowControl/>
        <w:spacing w:after="60" w:line="269" w:lineRule="auto"/>
        <w:ind w:left="461" w:hanging="461"/>
      </w:pPr>
      <w:r>
        <w:rPr>
          <w:rFonts w:ascii="Aptos" w:hAnsi="Aptos"/>
        </w:rPr>
        <w:t xml:space="preserve">1.  </w:t>
      </w:r>
      <w:r>
        <w:rPr>
          <w:rFonts w:ascii="Aptos" w:hAnsi="Aptos"/>
        </w:rPr>
        <w:t xml:space="preserve">selects </w:t>
      </w:r>
      <w:r>
        <w:rPr>
          <w:rFonts w:ascii="Aptos" w:hAnsi="Aptos"/>
          <w:b/>
        </w:rPr>
        <w:t>Create PDF report</w:t>
      </w:r>
      <w:r>
        <w:rPr>
          <w:rFonts w:ascii="Aptos" w:hAnsi="Aptos"/>
        </w:rPr>
        <w:t>;</w:t>
      </w:r>
    </w:p>
    <w:p>
      <w:pPr>
        <w:widowControl/>
        <w:spacing w:after="60" w:line="269" w:lineRule="auto"/>
        <w:ind w:left="461" w:hanging="461"/>
      </w:pPr>
      <w:r>
        <w:rPr>
          <w:rFonts w:ascii="Aptos" w:hAnsi="Aptos"/>
        </w:rPr>
        <w:t xml:space="preserve">2.  </w:t>
      </w:r>
      <w:r>
        <w:rPr>
          <w:rFonts w:ascii="Aptos" w:hAnsi="Aptos"/>
        </w:rPr>
        <w:t>downloads the report directly;</w:t>
      </w:r>
    </w:p>
    <w:p>
      <w:pPr>
        <w:widowControl/>
        <w:spacing w:after="60" w:line="269" w:lineRule="auto"/>
        <w:ind w:left="461" w:hanging="461"/>
      </w:pPr>
      <w:r>
        <w:rPr>
          <w:rFonts w:ascii="Aptos" w:hAnsi="Aptos"/>
        </w:rPr>
        <w:t xml:space="preserve">3.  </w:t>
      </w:r>
      <w:r>
        <w:rPr>
          <w:rFonts w:ascii="Aptos" w:hAnsi="Aptos"/>
        </w:rPr>
        <w:t>reviews the report before sharing it;</w:t>
      </w:r>
    </w:p>
    <w:p>
      <w:pPr>
        <w:widowControl/>
        <w:spacing w:after="60" w:line="269" w:lineRule="auto"/>
        <w:ind w:left="461" w:hanging="461"/>
      </w:pPr>
      <w:r>
        <w:rPr>
          <w:rFonts w:ascii="Aptos" w:hAnsi="Aptos"/>
        </w:rPr>
        <w:t xml:space="preserve">4.  </w:t>
      </w:r>
      <w:r>
        <w:rPr>
          <w:rFonts w:ascii="Aptos" w:hAnsi="Aptos"/>
        </w:rPr>
        <w:t>renames it using only the assigned study ID, for example P01_MyAIMirror.pdf;</w:t>
      </w:r>
    </w:p>
    <w:p>
      <w:pPr>
        <w:widowControl/>
        <w:spacing w:after="60" w:line="269" w:lineRule="auto"/>
        <w:ind w:left="461" w:hanging="461"/>
      </w:pPr>
      <w:r>
        <w:rPr>
          <w:rFonts w:ascii="Aptos" w:hAnsi="Aptos"/>
        </w:rPr>
        <w:t xml:space="preserve">5.  </w:t>
      </w:r>
      <w:r>
        <w:rPr>
          <w:rFonts w:ascii="Aptos" w:hAnsi="Aptos"/>
        </w:rPr>
        <w:t>sends it through [TO CONFIRM: approved encrypted upload or university system].</w:t>
      </w:r>
    </w:p>
    <w:p>
      <w:pPr>
        <w:widowControl/>
        <w:spacing w:after="120" w:line="269" w:lineRule="auto"/>
      </w:pPr>
      <w:r>
        <w:rPr>
          <w:rFonts w:ascii="Aptos" w:hAnsi="Aptos"/>
        </w:rPr>
        <w:t>Sending the report is an active participant choice. If the report contains information the participant does not wish to disclose, they may decline to send it without having to explain why. The consent form should state whether this prevents their data from being included and how compensation is handled.</w:t>
      </w:r>
    </w:p>
    <w:p>
      <w:pPr>
        <w:pStyle w:val="Heading2"/>
      </w:pPr>
      <w:r>
        <w:t>Stage 6 Post study questionnaire (approximately 10 minutes)</w:t>
      </w:r>
    </w:p>
    <w:p>
      <w:pPr>
        <w:widowControl/>
        <w:spacing w:after="120" w:line="269" w:lineRule="auto"/>
      </w:pPr>
      <w:r>
        <w:rPr>
          <w:rFonts w:ascii="Aptos" w:hAnsi="Aptos"/>
        </w:rPr>
        <w:t>The participant completes SUS and study-specific questions about awareness, usefulness, trust, intrusiveness, autonomy, and intention to continue using the tool.</w:t>
      </w:r>
    </w:p>
    <w:p>
      <w:pPr>
        <w:pStyle w:val="Heading2"/>
      </w:pPr>
      <w:r>
        <w:t>Stage 7 Semi structured interview and debrief (approximately 20 30 minutes)</w:t>
      </w:r>
    </w:p>
    <w:p>
      <w:pPr>
        <w:widowControl/>
        <w:spacing w:after="120" w:line="269" w:lineRule="auto"/>
      </w:pPr>
      <w:r>
        <w:rPr>
          <w:rFonts w:ascii="Aptos" w:hAnsi="Aptos"/>
        </w:rPr>
        <w:t>The researcher discusses the participant's experience and, with permission, uses the participant's PDF as an elicitation aid. The interview is [TO CONFIRM: audio-recorded and transcribed / documented through researcher notes]. The participant is debriefed, reminded how to uninstall the extension and delete local data, and told how to withdraw their research data before the stated deadline.</w:t>
      </w:r>
    </w:p>
    <w:p>
      <w:pPr>
        <w:pStyle w:val="Heading1"/>
      </w:pPr>
      <w:r>
        <w:t>Data collected</w:t>
      </w:r>
    </w:p>
    <w:p>
      <w:pPr>
        <w:pStyle w:val="Heading2"/>
      </w:pPr>
      <w:r>
        <w:t>Extension generated PDF</w:t>
      </w:r>
    </w:p>
    <w:p>
      <w:pPr>
        <w:widowControl/>
        <w:spacing w:after="120" w:line="269" w:lineRule="auto"/>
      </w:pPr>
      <w:r>
        <w:rPr>
          <w:rFonts w:ascii="Aptos" w:hAnsi="Aptos"/>
        </w:rPr>
        <w:t>The submitted report may include:</w:t>
      </w:r>
    </w:p>
    <w:p>
      <w:pPr>
        <w:pStyle w:val="ListBullet"/>
        <w:widowControl/>
        <w:spacing w:after="60" w:line="269" w:lineRule="auto"/>
        <w:ind w:left="346"/>
      </w:pPr>
      <w:r>
        <w:rPr>
          <w:rFonts w:ascii="Aptos" w:hAnsi="Aptos"/>
        </w:rPr>
        <w:t>number of represented chats;</w:t>
      </w:r>
    </w:p>
    <w:p>
      <w:pPr>
        <w:pStyle w:val="ListBullet"/>
        <w:widowControl/>
        <w:spacing w:after="60" w:line="269" w:lineRule="auto"/>
        <w:ind w:left="346"/>
      </w:pPr>
      <w:r>
        <w:rPr>
          <w:rFonts w:ascii="Aptos" w:hAnsi="Aptos"/>
        </w:rPr>
        <w:t>number of represented user prompts;</w:t>
      </w:r>
    </w:p>
    <w:p>
      <w:pPr>
        <w:pStyle w:val="ListBullet"/>
        <w:widowControl/>
        <w:spacing w:after="60" w:line="269" w:lineRule="auto"/>
        <w:ind w:left="346"/>
      </w:pPr>
      <w:r>
        <w:rPr>
          <w:rFonts w:ascii="Aptos" w:hAnsi="Aptos"/>
        </w:rPr>
        <w:t>active days;</w:t>
      </w:r>
    </w:p>
    <w:p>
      <w:pPr>
        <w:pStyle w:val="ListBullet"/>
        <w:widowControl/>
        <w:spacing w:after="60" w:line="269" w:lineRule="auto"/>
        <w:ind w:left="346"/>
      </w:pPr>
      <w:r>
        <w:rPr>
          <w:rFonts w:ascii="Aptos" w:hAnsi="Aptos"/>
        </w:rPr>
        <w:t>daily and weekly prompt frequency;</w:t>
      </w:r>
    </w:p>
    <w:p>
      <w:pPr>
        <w:pStyle w:val="ListBullet"/>
        <w:widowControl/>
        <w:spacing w:after="60" w:line="269" w:lineRule="auto"/>
        <w:ind w:left="346"/>
      </w:pPr>
      <w:r>
        <w:rPr>
          <w:rFonts w:ascii="Aptos" w:hAnsi="Aptos"/>
        </w:rPr>
        <w:t>estimated intention-label counts and rates;</w:t>
      </w:r>
    </w:p>
    <w:p>
      <w:pPr>
        <w:pStyle w:val="ListBullet"/>
        <w:widowControl/>
        <w:spacing w:after="60" w:line="269" w:lineRule="auto"/>
        <w:ind w:left="346"/>
      </w:pPr>
      <w:r>
        <w:rPr>
          <w:rFonts w:ascii="Aptos" w:hAnsi="Aptos"/>
        </w:rPr>
        <w:t>estimated prompt-tone counts and rates;</w:t>
      </w:r>
    </w:p>
    <w:p>
      <w:pPr>
        <w:pStyle w:val="ListBullet"/>
        <w:widowControl/>
        <w:spacing w:after="60" w:line="269" w:lineRule="auto"/>
        <w:ind w:left="346"/>
      </w:pPr>
      <w:r>
        <w:rPr>
          <w:rFonts w:ascii="Aptos" w:hAnsi="Aptos"/>
        </w:rPr>
        <w:t>aggregate writing-process indicators available in the current prototype.</w:t>
      </w:r>
    </w:p>
    <w:p>
      <w:pPr>
        <w:widowControl/>
        <w:spacing w:after="120" w:line="269" w:lineRule="auto"/>
      </w:pPr>
      <w:r>
        <w:rPr>
          <w:rFonts w:ascii="Aptos" w:hAnsi="Aptos"/>
        </w:rPr>
        <w:t>The report does not include raw prompt text, assistant response text, clipboard content, or raw keystrokes. Automated intention and tone outputs are probabilistic system estimates and will not be treated as diagnoses or ground truth.</w:t>
      </w:r>
    </w:p>
    <w:p>
      <w:pPr>
        <w:pStyle w:val="Heading2"/>
      </w:pPr>
      <w:r>
        <w:t>Questionnaire data</w:t>
      </w:r>
    </w:p>
    <w:p>
      <w:pPr>
        <w:pStyle w:val="ListBullet"/>
        <w:widowControl/>
        <w:spacing w:after="60" w:line="269" w:lineRule="auto"/>
        <w:ind w:left="346"/>
      </w:pPr>
      <w:r>
        <w:rPr>
          <w:rFonts w:ascii="Aptos" w:hAnsi="Aptos"/>
        </w:rPr>
        <w:t>age band and occupation/student status;</w:t>
      </w:r>
    </w:p>
    <w:p>
      <w:pPr>
        <w:pStyle w:val="ListBullet"/>
        <w:widowControl/>
        <w:spacing w:after="60" w:line="269" w:lineRule="auto"/>
        <w:ind w:left="346"/>
      </w:pPr>
      <w:r>
        <w:rPr>
          <w:rFonts w:ascii="Aptos" w:hAnsi="Aptos"/>
        </w:rPr>
        <w:t>usual ChatGPT frequency and typical use cases;</w:t>
      </w:r>
    </w:p>
    <w:p>
      <w:pPr>
        <w:pStyle w:val="ListBullet"/>
        <w:widowControl/>
        <w:spacing w:after="60" w:line="269" w:lineRule="auto"/>
        <w:ind w:left="346"/>
      </w:pPr>
      <w:r>
        <w:rPr>
          <w:rFonts w:ascii="Aptos" w:hAnsi="Aptos"/>
        </w:rPr>
        <w:t>baseline and post-study awareness items;</w:t>
      </w:r>
    </w:p>
    <w:p>
      <w:pPr>
        <w:pStyle w:val="ListBullet"/>
        <w:widowControl/>
        <w:spacing w:after="60" w:line="269" w:lineRule="auto"/>
        <w:ind w:left="346"/>
      </w:pPr>
      <w:r>
        <w:rPr>
          <w:rFonts w:ascii="Aptos" w:hAnsi="Aptos"/>
        </w:rPr>
        <w:t>SUS responses;</w:t>
      </w:r>
    </w:p>
    <w:p>
      <w:pPr>
        <w:pStyle w:val="ListBullet"/>
        <w:widowControl/>
        <w:spacing w:after="60" w:line="269" w:lineRule="auto"/>
        <w:ind w:left="346"/>
      </w:pPr>
      <w:r>
        <w:rPr>
          <w:rFonts w:ascii="Aptos" w:hAnsi="Aptos"/>
        </w:rPr>
        <w:t>post-study ratings of usefulness, trust, intrusiveness, autonomy, and continued-use intention;</w:t>
      </w:r>
    </w:p>
    <w:p>
      <w:pPr>
        <w:pStyle w:val="ListBullet"/>
        <w:widowControl/>
        <w:spacing w:after="60" w:line="269" w:lineRule="auto"/>
        <w:ind w:left="346"/>
      </w:pPr>
      <w:r>
        <w:rPr>
          <w:rFonts w:ascii="Aptos" w:hAnsi="Aptos"/>
        </w:rPr>
        <w:t>open-text feedback.</w:t>
      </w:r>
    </w:p>
    <w:p>
      <w:pPr>
        <w:pStyle w:val="Heading2"/>
      </w:pPr>
      <w:r>
        <w:t>Interview and operational data</w:t>
      </w:r>
    </w:p>
    <w:p>
      <w:pPr>
        <w:pStyle w:val="ListBullet"/>
        <w:widowControl/>
        <w:spacing w:after="60" w:line="269" w:lineRule="auto"/>
        <w:ind w:left="346"/>
      </w:pPr>
      <w:r>
        <w:rPr>
          <w:rFonts w:ascii="Aptos" w:hAnsi="Aptos"/>
        </w:rPr>
        <w:t>interview recording/transcript or researcher notes, according to consent;</w:t>
      </w:r>
    </w:p>
    <w:p>
      <w:pPr>
        <w:pStyle w:val="ListBullet"/>
        <w:widowControl/>
        <w:spacing w:after="60" w:line="269" w:lineRule="auto"/>
        <w:ind w:left="346"/>
      </w:pPr>
      <w:r>
        <w:rPr>
          <w:rFonts w:ascii="Aptos" w:hAnsi="Aptos"/>
        </w:rPr>
        <w:t>participant explanations of report patterns;</w:t>
      </w:r>
    </w:p>
    <w:p>
      <w:pPr>
        <w:pStyle w:val="ListBullet"/>
        <w:widowControl/>
        <w:spacing w:after="60" w:line="269" w:lineRule="auto"/>
        <w:ind w:left="346"/>
      </w:pPr>
      <w:r>
        <w:rPr>
          <w:rFonts w:ascii="Aptos" w:hAnsi="Aptos"/>
        </w:rPr>
        <w:t>usability problems and requested features;</w:t>
      </w:r>
    </w:p>
    <w:p>
      <w:pPr>
        <w:pStyle w:val="ListBullet"/>
        <w:widowControl/>
        <w:spacing w:after="60" w:line="269" w:lineRule="auto"/>
        <w:ind w:left="346"/>
      </w:pPr>
      <w:r>
        <w:rPr>
          <w:rFonts w:ascii="Aptos" w:hAnsi="Aptos"/>
        </w:rPr>
        <w:t>installation failures, bugs, missing days, or incomplete reports.</w:t>
      </w:r>
    </w:p>
    <w:p>
      <w:pPr>
        <w:pStyle w:val="Heading1"/>
      </w:pPr>
      <w:r>
        <w:t>Measures and scales</w:t>
      </w:r>
    </w:p>
    <w:p>
      <w:pPr>
        <w:widowControl/>
        <w:spacing w:after="120" w:line="269" w:lineRule="auto"/>
      </w:pPr>
      <w:r>
        <w:rPr>
          <w:rFonts w:ascii="Aptos" w:hAnsi="Aptos"/>
        </w:rPr>
        <w:t xml:space="preserve">All study-specific items use a five-point response scale from </w:t>
      </w:r>
      <w:r>
        <w:rPr>
          <w:rFonts w:ascii="Aptos" w:hAnsi="Aptos"/>
          <w:b/>
        </w:rPr>
        <w:t>1 = strongly disagree</w:t>
      </w:r>
      <w:r>
        <w:rPr>
          <w:rFonts w:ascii="Aptos" w:hAnsi="Aptos"/>
        </w:rPr>
        <w:t xml:space="preserve"> to </w:t>
      </w:r>
      <w:r>
        <w:rPr>
          <w:rFonts w:ascii="Aptos" w:hAnsi="Aptos"/>
          <w:b/>
        </w:rPr>
        <w:t>5 = strongly agree</w:t>
      </w:r>
      <w:r>
        <w:rPr>
          <w:rFonts w:ascii="Aptos" w:hAnsi="Aptos"/>
        </w:rPr>
        <w:t>, unless otherwise stated. With five participants, item-level responses, medians, and ranges will be reported; the study will not claim psychometric validation.</w:t>
      </w:r>
    </w:p>
    <w:p>
      <w:pPr>
        <w:pStyle w:val="Heading2"/>
      </w:pPr>
      <w:r>
        <w:t>Baseline questions</w:t>
      </w:r>
    </w:p>
    <w:p>
      <w:pPr>
        <w:widowControl/>
        <w:spacing w:after="60" w:line="269" w:lineRule="auto"/>
        <w:ind w:left="461" w:hanging="461"/>
      </w:pPr>
      <w:r>
        <w:rPr>
          <w:rFonts w:ascii="Aptos" w:hAnsi="Aptos"/>
        </w:rPr>
        <w:t xml:space="preserve">1.  </w:t>
      </w:r>
      <w:r>
        <w:rPr>
          <w:rFonts w:ascii="Aptos" w:hAnsi="Aptos"/>
        </w:rPr>
        <w:t>Age band: 18–20 / 21–23 / 24–25 / prefer not to say.</w:t>
      </w:r>
    </w:p>
    <w:p>
      <w:pPr>
        <w:widowControl/>
        <w:spacing w:after="60" w:line="269" w:lineRule="auto"/>
        <w:ind w:left="461" w:hanging="461"/>
      </w:pPr>
      <w:r>
        <w:rPr>
          <w:rFonts w:ascii="Aptos" w:hAnsi="Aptos"/>
        </w:rPr>
        <w:t xml:space="preserve">2.  </w:t>
      </w:r>
      <w:r>
        <w:rPr>
          <w:rFonts w:ascii="Aptos" w:hAnsi="Aptos"/>
        </w:rPr>
        <w:t>Current role: student / employed / both / other / prefer not to say.</w:t>
      </w:r>
    </w:p>
    <w:p>
      <w:pPr>
        <w:widowControl/>
        <w:spacing w:after="60" w:line="269" w:lineRule="auto"/>
        <w:ind w:left="461" w:hanging="461"/>
      </w:pPr>
      <w:r>
        <w:rPr>
          <w:rFonts w:ascii="Aptos" w:hAnsi="Aptos"/>
        </w:rPr>
        <w:t xml:space="preserve">3.  </w:t>
      </w:r>
      <w:r>
        <w:rPr>
          <w:rFonts w:ascii="Aptos" w:hAnsi="Aptos"/>
        </w:rPr>
        <w:t>How often do you normally use ChatGPT? Less than weekly / weekly / several times a week / daily / several times a day.</w:t>
      </w:r>
    </w:p>
    <w:p>
      <w:pPr>
        <w:widowControl/>
        <w:spacing w:after="60" w:line="269" w:lineRule="auto"/>
        <w:ind w:left="461" w:hanging="461"/>
      </w:pPr>
      <w:r>
        <w:rPr>
          <w:rFonts w:ascii="Aptos" w:hAnsi="Aptos"/>
        </w:rPr>
        <w:t xml:space="preserve">4.  </w:t>
      </w:r>
      <w:r>
        <w:rPr>
          <w:rFonts w:ascii="Aptos" w:hAnsi="Aptos"/>
        </w:rPr>
        <w:t>What do you usually use ChatGPT for? Select all that apply: learning, writing, coding, brainstorming, information seeking, planning, emotional or personal support, entertainment, other.</w:t>
      </w:r>
    </w:p>
    <w:p>
      <w:pPr>
        <w:widowControl/>
        <w:spacing w:after="60" w:line="269" w:lineRule="auto"/>
        <w:ind w:left="461" w:hanging="461"/>
      </w:pPr>
      <w:r>
        <w:rPr>
          <w:rFonts w:ascii="Aptos" w:hAnsi="Aptos"/>
        </w:rPr>
        <w:t xml:space="preserve">5.  </w:t>
      </w:r>
      <w:r>
        <w:rPr>
          <w:rFonts w:ascii="Aptos" w:hAnsi="Aptos"/>
        </w:rPr>
        <w:t>I am aware of how often I use ChatGPT.</w:t>
      </w:r>
    </w:p>
    <w:p>
      <w:pPr>
        <w:widowControl/>
        <w:spacing w:after="60" w:line="269" w:lineRule="auto"/>
        <w:ind w:left="461" w:hanging="461"/>
      </w:pPr>
      <w:r>
        <w:rPr>
          <w:rFonts w:ascii="Aptos" w:hAnsi="Aptos"/>
        </w:rPr>
        <w:t xml:space="preserve">6.  </w:t>
      </w:r>
      <w:r>
        <w:rPr>
          <w:rFonts w:ascii="Aptos" w:hAnsi="Aptos"/>
        </w:rPr>
        <w:t>I am aware of the kinds of tasks for which I rely on ChatGPT.</w:t>
      </w:r>
    </w:p>
    <w:p>
      <w:pPr>
        <w:widowControl/>
        <w:spacing w:after="60" w:line="269" w:lineRule="auto"/>
        <w:ind w:left="461" w:hanging="461"/>
      </w:pPr>
      <w:r>
        <w:rPr>
          <w:rFonts w:ascii="Aptos" w:hAnsi="Aptos"/>
        </w:rPr>
        <w:t xml:space="preserve">7.  </w:t>
      </w:r>
      <w:r>
        <w:rPr>
          <w:rFonts w:ascii="Aptos" w:hAnsi="Aptos"/>
        </w:rPr>
        <w:t>I can tell when I am using ChatGPT to support my thinking rather than replace it.</w:t>
      </w:r>
    </w:p>
    <w:p>
      <w:pPr>
        <w:widowControl/>
        <w:spacing w:after="60" w:line="269" w:lineRule="auto"/>
        <w:ind w:left="461" w:hanging="461"/>
      </w:pPr>
      <w:r>
        <w:rPr>
          <w:rFonts w:ascii="Aptos" w:hAnsi="Aptos"/>
        </w:rPr>
        <w:t xml:space="preserve">8.  </w:t>
      </w:r>
      <w:r>
        <w:rPr>
          <w:rFonts w:ascii="Aptos" w:hAnsi="Aptos"/>
        </w:rPr>
        <w:t>I regularly reflect on whether ChatGPT is helping me learn or merely complete a task.</w:t>
      </w:r>
    </w:p>
    <w:p>
      <w:pPr>
        <w:widowControl/>
        <w:spacing w:after="60" w:line="269" w:lineRule="auto"/>
        <w:ind w:left="461" w:hanging="461"/>
      </w:pPr>
      <w:r>
        <w:rPr>
          <w:rFonts w:ascii="Aptos" w:hAnsi="Aptos"/>
        </w:rPr>
        <w:t xml:space="preserve">9.  </w:t>
      </w:r>
      <w:r>
        <w:rPr>
          <w:rFonts w:ascii="Aptos" w:hAnsi="Aptos"/>
        </w:rPr>
        <w:t>I feel in control of when and why I use ChatGPT.</w:t>
      </w:r>
    </w:p>
    <w:p>
      <w:pPr>
        <w:widowControl/>
        <w:spacing w:after="60" w:line="269" w:lineRule="auto"/>
        <w:ind w:left="461" w:hanging="461"/>
      </w:pPr>
      <w:r>
        <w:rPr>
          <w:rFonts w:ascii="Aptos" w:hAnsi="Aptos"/>
        </w:rPr>
        <w:t xml:space="preserve">10.  </w:t>
      </w:r>
      <w:r>
        <w:rPr>
          <w:rFonts w:ascii="Aptos" w:hAnsi="Aptos"/>
        </w:rPr>
        <w:t>Before this study, had you used a tool to monitor your AI use? Yes / no; if yes, describe.</w:t>
      </w:r>
    </w:p>
    <w:p>
      <w:pPr>
        <w:widowControl/>
        <w:spacing w:after="120" w:line="269" w:lineRule="auto"/>
      </w:pPr>
      <w:r>
        <w:rPr>
          <w:rFonts w:ascii="Aptos" w:hAnsi="Aptos"/>
        </w:rPr>
        <w:t>Items 5–9 are repeated after the deployment. They form a study-specific awareness set and should be analysed item by item, not presented as a validated scale.</w:t>
      </w:r>
    </w:p>
    <w:p>
      <w:pPr>
        <w:pStyle w:val="Heading2"/>
      </w:pPr>
      <w:r>
        <w:t>System Usability Scale</w:t>
      </w:r>
    </w:p>
    <w:p>
      <w:pPr>
        <w:widowControl/>
        <w:spacing w:after="120" w:line="269" w:lineRule="auto"/>
      </w:pPr>
      <w:r>
        <w:rPr>
          <w:rFonts w:ascii="Aptos" w:hAnsi="Aptos"/>
        </w:rPr>
        <w:t>Administer the standard ten SUS statements after the deployment using a five-point agreement scale:</w:t>
      </w:r>
    </w:p>
    <w:p>
      <w:pPr>
        <w:widowControl/>
        <w:spacing w:after="60" w:line="269" w:lineRule="auto"/>
        <w:ind w:left="461" w:hanging="461"/>
      </w:pPr>
      <w:r>
        <w:rPr>
          <w:rFonts w:ascii="Aptos" w:hAnsi="Aptos"/>
        </w:rPr>
        <w:t xml:space="preserve">1.  </w:t>
      </w:r>
      <w:r>
        <w:rPr>
          <w:rFonts w:ascii="Aptos" w:hAnsi="Aptos"/>
        </w:rPr>
        <w:t>I think that I would like to use this system frequently.</w:t>
      </w:r>
    </w:p>
    <w:p>
      <w:pPr>
        <w:widowControl/>
        <w:spacing w:after="60" w:line="269" w:lineRule="auto"/>
        <w:ind w:left="461" w:hanging="461"/>
      </w:pPr>
      <w:r>
        <w:rPr>
          <w:rFonts w:ascii="Aptos" w:hAnsi="Aptos"/>
        </w:rPr>
        <w:t xml:space="preserve">2.  </w:t>
      </w:r>
      <w:r>
        <w:rPr>
          <w:rFonts w:ascii="Aptos" w:hAnsi="Aptos"/>
        </w:rPr>
        <w:t>I found the system unnecessarily complex.</w:t>
      </w:r>
    </w:p>
    <w:p>
      <w:pPr>
        <w:widowControl/>
        <w:spacing w:after="60" w:line="269" w:lineRule="auto"/>
        <w:ind w:left="461" w:hanging="461"/>
      </w:pPr>
      <w:r>
        <w:rPr>
          <w:rFonts w:ascii="Aptos" w:hAnsi="Aptos"/>
        </w:rPr>
        <w:t xml:space="preserve">3.  </w:t>
      </w:r>
      <w:r>
        <w:rPr>
          <w:rFonts w:ascii="Aptos" w:hAnsi="Aptos"/>
        </w:rPr>
        <w:t>I thought the system was easy to use.</w:t>
      </w:r>
    </w:p>
    <w:p>
      <w:pPr>
        <w:widowControl/>
        <w:spacing w:after="60" w:line="269" w:lineRule="auto"/>
        <w:ind w:left="461" w:hanging="461"/>
      </w:pPr>
      <w:r>
        <w:rPr>
          <w:rFonts w:ascii="Aptos" w:hAnsi="Aptos"/>
        </w:rPr>
        <w:t xml:space="preserve">4.  </w:t>
      </w:r>
      <w:r>
        <w:rPr>
          <w:rFonts w:ascii="Aptos" w:hAnsi="Aptos"/>
        </w:rPr>
        <w:t>I think that I would need the support of a technical person to be able to use this system.</w:t>
      </w:r>
    </w:p>
    <w:p>
      <w:pPr>
        <w:widowControl/>
        <w:spacing w:after="60" w:line="269" w:lineRule="auto"/>
        <w:ind w:left="461" w:hanging="461"/>
      </w:pPr>
      <w:r>
        <w:rPr>
          <w:rFonts w:ascii="Aptos" w:hAnsi="Aptos"/>
        </w:rPr>
        <w:t xml:space="preserve">5.  </w:t>
      </w:r>
      <w:r>
        <w:rPr>
          <w:rFonts w:ascii="Aptos" w:hAnsi="Aptos"/>
        </w:rPr>
        <w:t>I found the various functions in this system were well integrated.</w:t>
      </w:r>
    </w:p>
    <w:p>
      <w:pPr>
        <w:widowControl/>
        <w:spacing w:after="60" w:line="269" w:lineRule="auto"/>
        <w:ind w:left="461" w:hanging="461"/>
      </w:pPr>
      <w:r>
        <w:rPr>
          <w:rFonts w:ascii="Aptos" w:hAnsi="Aptos"/>
        </w:rPr>
        <w:t xml:space="preserve">6.  </w:t>
      </w:r>
      <w:r>
        <w:rPr>
          <w:rFonts w:ascii="Aptos" w:hAnsi="Aptos"/>
        </w:rPr>
        <w:t>I thought there was too much inconsistency in this system.</w:t>
      </w:r>
    </w:p>
    <w:p>
      <w:pPr>
        <w:widowControl/>
        <w:spacing w:after="60" w:line="269" w:lineRule="auto"/>
        <w:ind w:left="461" w:hanging="461"/>
      </w:pPr>
      <w:r>
        <w:rPr>
          <w:rFonts w:ascii="Aptos" w:hAnsi="Aptos"/>
        </w:rPr>
        <w:t xml:space="preserve">7.  </w:t>
      </w:r>
      <w:r>
        <w:rPr>
          <w:rFonts w:ascii="Aptos" w:hAnsi="Aptos"/>
        </w:rPr>
        <w:t>I would imagine that most people would learn to use this system very quickly.</w:t>
      </w:r>
    </w:p>
    <w:p>
      <w:pPr>
        <w:widowControl/>
        <w:spacing w:after="60" w:line="269" w:lineRule="auto"/>
        <w:ind w:left="461" w:hanging="461"/>
      </w:pPr>
      <w:r>
        <w:rPr>
          <w:rFonts w:ascii="Aptos" w:hAnsi="Aptos"/>
        </w:rPr>
        <w:t xml:space="preserve">8.  </w:t>
      </w:r>
      <w:r>
        <w:rPr>
          <w:rFonts w:ascii="Aptos" w:hAnsi="Aptos"/>
        </w:rPr>
        <w:t>I found the system very cumbersome to use.</w:t>
      </w:r>
    </w:p>
    <w:p>
      <w:pPr>
        <w:widowControl/>
        <w:spacing w:after="60" w:line="269" w:lineRule="auto"/>
        <w:ind w:left="461" w:hanging="461"/>
      </w:pPr>
      <w:r>
        <w:rPr>
          <w:rFonts w:ascii="Aptos" w:hAnsi="Aptos"/>
        </w:rPr>
        <w:t xml:space="preserve">9.  </w:t>
      </w:r>
      <w:r>
        <w:rPr>
          <w:rFonts w:ascii="Aptos" w:hAnsi="Aptos"/>
        </w:rPr>
        <w:t>I felt very confident using the system.</w:t>
      </w:r>
    </w:p>
    <w:p>
      <w:pPr>
        <w:widowControl/>
        <w:spacing w:after="60" w:line="269" w:lineRule="auto"/>
        <w:ind w:left="461" w:hanging="461"/>
      </w:pPr>
      <w:r>
        <w:rPr>
          <w:rFonts w:ascii="Aptos" w:hAnsi="Aptos"/>
        </w:rPr>
        <w:t xml:space="preserve">10.  </w:t>
      </w:r>
      <w:r>
        <w:rPr>
          <w:rFonts w:ascii="Aptos" w:hAnsi="Aptos"/>
        </w:rPr>
        <w:t>I needed to learn a lot of things before I could get going with this system.</w:t>
      </w:r>
    </w:p>
    <w:p>
      <w:pPr>
        <w:widowControl/>
        <w:spacing w:after="120" w:line="269" w:lineRule="auto"/>
      </w:pPr>
      <w:r>
        <w:rPr>
          <w:rFonts w:ascii="Aptos" w:hAnsi="Aptos"/>
        </w:rPr>
        <w:t>For scoring, subtract 1 from each odd-numbered item response; subtract each even-numbered response from 5; sum the adjusted values and multiply by 2.5. The resulting value ranges from 0 to 100, but it is a usability score rather than a percentage. Given the sample size, report individual scores and the median/range without treating external benchmarks as definitive.</w:t>
      </w:r>
    </w:p>
    <w:p>
      <w:pPr>
        <w:pStyle w:val="Heading2"/>
      </w:pPr>
      <w:r>
        <w:t>Post study experience items</w:t>
      </w:r>
    </w:p>
    <w:p>
      <w:pPr>
        <w:widowControl/>
        <w:spacing w:after="60" w:line="269" w:lineRule="auto"/>
        <w:ind w:left="461" w:hanging="461"/>
      </w:pPr>
      <w:r>
        <w:rPr>
          <w:rFonts w:ascii="Aptos" w:hAnsi="Aptos"/>
        </w:rPr>
        <w:t xml:space="preserve">1.  </w:t>
      </w:r>
      <w:r>
        <w:rPr>
          <w:rFonts w:ascii="Aptos" w:hAnsi="Aptos"/>
        </w:rPr>
        <w:t>My AI Mirror made the frequency of my ChatGPT use easier to understand.</w:t>
      </w:r>
    </w:p>
    <w:p>
      <w:pPr>
        <w:widowControl/>
        <w:spacing w:after="60" w:line="269" w:lineRule="auto"/>
        <w:ind w:left="461" w:hanging="461"/>
      </w:pPr>
      <w:r>
        <w:rPr>
          <w:rFonts w:ascii="Aptos" w:hAnsi="Aptos"/>
        </w:rPr>
        <w:t xml:space="preserve">2.  </w:t>
      </w:r>
      <w:r>
        <w:rPr>
          <w:rFonts w:ascii="Aptos" w:hAnsi="Aptos"/>
        </w:rPr>
        <w:t>My AI Mirror helped me notice what I use ChatGPT for.</w:t>
      </w:r>
    </w:p>
    <w:p>
      <w:pPr>
        <w:widowControl/>
        <w:spacing w:after="60" w:line="269" w:lineRule="auto"/>
        <w:ind w:left="461" w:hanging="461"/>
      </w:pPr>
      <w:r>
        <w:rPr>
          <w:rFonts w:ascii="Aptos" w:hAnsi="Aptos"/>
        </w:rPr>
        <w:t xml:space="preserve">3.  </w:t>
      </w:r>
      <w:r>
        <w:rPr>
          <w:rFonts w:ascii="Aptos" w:hAnsi="Aptos"/>
        </w:rPr>
        <w:t>The feedback encouraged me to think about how I was engaging with ChatGPT.</w:t>
      </w:r>
    </w:p>
    <w:p>
      <w:pPr>
        <w:widowControl/>
        <w:spacing w:after="60" w:line="269" w:lineRule="auto"/>
        <w:ind w:left="461" w:hanging="461"/>
      </w:pPr>
      <w:r>
        <w:rPr>
          <w:rFonts w:ascii="Aptos" w:hAnsi="Aptos"/>
        </w:rPr>
        <w:t xml:space="preserve">4.  </w:t>
      </w:r>
      <w:r>
        <w:rPr>
          <w:rFonts w:ascii="Aptos" w:hAnsi="Aptos"/>
        </w:rPr>
        <w:t>The visualisations were easy to interpret.</w:t>
      </w:r>
    </w:p>
    <w:p>
      <w:pPr>
        <w:widowControl/>
        <w:spacing w:after="60" w:line="269" w:lineRule="auto"/>
        <w:ind w:left="461" w:hanging="461"/>
      </w:pPr>
      <w:r>
        <w:rPr>
          <w:rFonts w:ascii="Aptos" w:hAnsi="Aptos"/>
        </w:rPr>
        <w:t xml:space="preserve">5.  </w:t>
      </w:r>
      <w:r>
        <w:rPr>
          <w:rFonts w:ascii="Aptos" w:hAnsi="Aptos"/>
        </w:rPr>
        <w:t>The PDF report accurately reflected my experience of the week.</w:t>
      </w:r>
    </w:p>
    <w:p>
      <w:pPr>
        <w:widowControl/>
        <w:spacing w:after="60" w:line="269" w:lineRule="auto"/>
        <w:ind w:left="461" w:hanging="461"/>
      </w:pPr>
      <w:r>
        <w:rPr>
          <w:rFonts w:ascii="Aptos" w:hAnsi="Aptos"/>
        </w:rPr>
        <w:t xml:space="preserve">6.  </w:t>
      </w:r>
      <w:r>
        <w:rPr>
          <w:rFonts w:ascii="Aptos" w:hAnsi="Aptos"/>
        </w:rPr>
        <w:t>I trusted the system's intention and tone labels.</w:t>
      </w:r>
    </w:p>
    <w:p>
      <w:pPr>
        <w:widowControl/>
        <w:spacing w:after="60" w:line="269" w:lineRule="auto"/>
        <w:ind w:left="461" w:hanging="461"/>
      </w:pPr>
      <w:r>
        <w:rPr>
          <w:rFonts w:ascii="Aptos" w:hAnsi="Aptos"/>
        </w:rPr>
        <w:t xml:space="preserve">7.  </w:t>
      </w:r>
      <w:r>
        <w:rPr>
          <w:rFonts w:ascii="Aptos" w:hAnsi="Aptos"/>
        </w:rPr>
        <w:t>The reflection prompts appeared at appropriate moments.</w:t>
      </w:r>
    </w:p>
    <w:p>
      <w:pPr>
        <w:widowControl/>
        <w:spacing w:after="60" w:line="269" w:lineRule="auto"/>
        <w:ind w:left="461" w:hanging="461"/>
      </w:pPr>
      <w:r>
        <w:rPr>
          <w:rFonts w:ascii="Aptos" w:hAnsi="Aptos"/>
        </w:rPr>
        <w:t xml:space="preserve">8.  </w:t>
      </w:r>
      <w:r>
        <w:rPr>
          <w:rFonts w:ascii="Aptos" w:hAnsi="Aptos"/>
        </w:rPr>
        <w:t xml:space="preserve">The tool felt intrusive. </w:t>
      </w:r>
      <w:r>
        <w:rPr>
          <w:rFonts w:ascii="Aptos" w:hAnsi="Aptos"/>
          <w:i/>
        </w:rPr>
        <w:t>(negative item)</w:t>
      </w:r>
    </w:p>
    <w:p>
      <w:pPr>
        <w:widowControl/>
        <w:spacing w:after="60" w:line="269" w:lineRule="auto"/>
        <w:ind w:left="461" w:hanging="461"/>
      </w:pPr>
      <w:r>
        <w:rPr>
          <w:rFonts w:ascii="Aptos" w:hAnsi="Aptos"/>
        </w:rPr>
        <w:t xml:space="preserve">9.  </w:t>
      </w:r>
      <w:r>
        <w:rPr>
          <w:rFonts w:ascii="Aptos" w:hAnsi="Aptos"/>
        </w:rPr>
        <w:t xml:space="preserve">The tool felt judgemental or paternalistic. </w:t>
      </w:r>
      <w:r>
        <w:rPr>
          <w:rFonts w:ascii="Aptos" w:hAnsi="Aptos"/>
          <w:i/>
        </w:rPr>
        <w:t>(negative item)</w:t>
      </w:r>
    </w:p>
    <w:p>
      <w:pPr>
        <w:widowControl/>
        <w:spacing w:after="60" w:line="269" w:lineRule="auto"/>
        <w:ind w:left="461" w:hanging="461"/>
      </w:pPr>
      <w:r>
        <w:rPr>
          <w:rFonts w:ascii="Aptos" w:hAnsi="Aptos"/>
        </w:rPr>
        <w:t xml:space="preserve">10.  </w:t>
      </w:r>
      <w:r>
        <w:rPr>
          <w:rFonts w:ascii="Aptos" w:hAnsi="Aptos"/>
        </w:rPr>
        <w:t>I felt in control of whether and how I engaged with the tool.</w:t>
      </w:r>
    </w:p>
    <w:p>
      <w:pPr>
        <w:widowControl/>
        <w:spacing w:after="60" w:line="269" w:lineRule="auto"/>
        <w:ind w:left="461" w:hanging="461"/>
      </w:pPr>
      <w:r>
        <w:rPr>
          <w:rFonts w:ascii="Aptos" w:hAnsi="Aptos"/>
        </w:rPr>
        <w:t xml:space="preserve">11.  </w:t>
      </w:r>
      <w:r>
        <w:rPr>
          <w:rFonts w:ascii="Aptos" w:hAnsi="Aptos"/>
        </w:rPr>
        <w:t>I would consider continuing to use My AI Mirror.</w:t>
      </w:r>
    </w:p>
    <w:p>
      <w:pPr>
        <w:widowControl/>
        <w:spacing w:after="120" w:line="269" w:lineRule="auto"/>
      </w:pPr>
      <w:r>
        <w:rPr>
          <w:rFonts w:ascii="Aptos" w:hAnsi="Aptos"/>
        </w:rPr>
        <w:t>Include two open questions:</w:t>
      </w:r>
    </w:p>
    <w:p>
      <w:pPr>
        <w:pStyle w:val="ListBullet"/>
        <w:widowControl/>
        <w:spacing w:after="60" w:line="269" w:lineRule="auto"/>
        <w:ind w:left="346"/>
      </w:pPr>
      <w:r>
        <w:rPr>
          <w:rFonts w:ascii="Aptos" w:hAnsi="Aptos"/>
        </w:rPr>
        <w:t>What was the most useful part of My AI Mirror, and why?</w:t>
      </w:r>
    </w:p>
    <w:p>
      <w:pPr>
        <w:pStyle w:val="ListBullet"/>
        <w:widowControl/>
        <w:spacing w:after="60" w:line="269" w:lineRule="auto"/>
        <w:ind w:left="346"/>
      </w:pPr>
      <w:r>
        <w:rPr>
          <w:rFonts w:ascii="Aptos" w:hAnsi="Aptos"/>
        </w:rPr>
        <w:t>What was the least useful or most uncomfortable part, and why?</w:t>
      </w:r>
    </w:p>
    <w:p>
      <w:pPr>
        <w:widowControl/>
        <w:spacing w:after="120" w:line="269" w:lineRule="auto"/>
      </w:pPr>
      <w:r>
        <w:rPr>
          <w:rFonts w:ascii="Aptos" w:hAnsi="Aptos"/>
        </w:rPr>
        <w:t>Do not combine these items into a single “healthy AI use” score. They represent distinct design qualities and should be reported separately.</w:t>
      </w:r>
    </w:p>
    <w:p>
      <w:pPr>
        <w:pStyle w:val="Heading1"/>
      </w:pPr>
      <w:r>
        <w:t>Semi structured interview guide</w:t>
      </w:r>
    </w:p>
    <w:p>
      <w:pPr>
        <w:widowControl/>
        <w:spacing w:after="120" w:line="269" w:lineRule="auto"/>
      </w:pPr>
      <w:r>
        <w:rPr>
          <w:rFonts w:ascii="Aptos" w:hAnsi="Aptos"/>
        </w:rPr>
        <w:t>The interviewer may change the order and ask follow-up questions.</w:t>
      </w:r>
    </w:p>
    <w:p>
      <w:pPr>
        <w:widowControl/>
        <w:spacing w:after="60" w:line="269" w:lineRule="auto"/>
        <w:ind w:left="461" w:hanging="461"/>
      </w:pPr>
      <w:r>
        <w:rPr>
          <w:rFonts w:ascii="Aptos" w:hAnsi="Aptos"/>
        </w:rPr>
        <w:t xml:space="preserve">1.  </w:t>
      </w:r>
      <w:r>
        <w:rPr>
          <w:rFonts w:ascii="Aptos" w:hAnsi="Aptos"/>
        </w:rPr>
        <w:t>Tell me about how you used ChatGPT during the study week. Was this a typical week for you?</w:t>
      </w:r>
    </w:p>
    <w:p>
      <w:pPr>
        <w:widowControl/>
        <w:spacing w:after="60" w:line="269" w:lineRule="auto"/>
        <w:ind w:left="461" w:hanging="461"/>
      </w:pPr>
      <w:r>
        <w:rPr>
          <w:rFonts w:ascii="Aptos" w:hAnsi="Aptos"/>
        </w:rPr>
        <w:t xml:space="preserve">2.  </w:t>
      </w:r>
      <w:r>
        <w:rPr>
          <w:rFonts w:ascii="Aptos" w:hAnsi="Aptos"/>
        </w:rPr>
        <w:t>What did you notice about your use that you had not noticed before?</w:t>
      </w:r>
    </w:p>
    <w:p>
      <w:pPr>
        <w:widowControl/>
        <w:spacing w:after="60" w:line="269" w:lineRule="auto"/>
        <w:ind w:left="461" w:hanging="461"/>
      </w:pPr>
      <w:r>
        <w:rPr>
          <w:rFonts w:ascii="Aptos" w:hAnsi="Aptos"/>
        </w:rPr>
        <w:t xml:space="preserve">3.  </w:t>
      </w:r>
      <w:r>
        <w:rPr>
          <w:rFonts w:ascii="Aptos" w:hAnsi="Aptos"/>
        </w:rPr>
        <w:t>Did any visualisation or reflection prompt make you pause, reconsider, or change what you were doing? Please describe the moment.</w:t>
      </w:r>
    </w:p>
    <w:p>
      <w:pPr>
        <w:widowControl/>
        <w:spacing w:after="60" w:line="269" w:lineRule="auto"/>
        <w:ind w:left="461" w:hanging="461"/>
      </w:pPr>
      <w:r>
        <w:rPr>
          <w:rFonts w:ascii="Aptos" w:hAnsi="Aptos"/>
        </w:rPr>
        <w:t xml:space="preserve">4.  </w:t>
      </w:r>
      <w:r>
        <w:rPr>
          <w:rFonts w:ascii="Aptos" w:hAnsi="Aptos"/>
        </w:rPr>
        <w:t>Looking at your PDF report, what stands out or surprises you?</w:t>
      </w:r>
    </w:p>
    <w:p>
      <w:pPr>
        <w:widowControl/>
        <w:spacing w:after="60" w:line="269" w:lineRule="auto"/>
        <w:ind w:left="461" w:hanging="461"/>
      </w:pPr>
      <w:r>
        <w:rPr>
          <w:rFonts w:ascii="Aptos" w:hAnsi="Aptos"/>
        </w:rPr>
        <w:t xml:space="preserve">5.  </w:t>
      </w:r>
      <w:r>
        <w:rPr>
          <w:rFonts w:ascii="Aptos" w:hAnsi="Aptos"/>
        </w:rPr>
        <w:t>Does the reported number of chats and prompts match what you expected? If not, what seems missing or incorrect?</w:t>
      </w:r>
    </w:p>
    <w:p>
      <w:pPr>
        <w:widowControl/>
        <w:spacing w:after="60" w:line="269" w:lineRule="auto"/>
        <w:ind w:left="461" w:hanging="461"/>
      </w:pPr>
      <w:r>
        <w:rPr>
          <w:rFonts w:ascii="Aptos" w:hAnsi="Aptos"/>
        </w:rPr>
        <w:t xml:space="preserve">6.  </w:t>
      </w:r>
      <w:r>
        <w:rPr>
          <w:rFonts w:ascii="Aptos" w:hAnsi="Aptos"/>
        </w:rPr>
        <w:t>How did you interpret the intention categories? Did any label feel accurate, inaccurate, or unclear?</w:t>
      </w:r>
    </w:p>
    <w:p>
      <w:pPr>
        <w:widowControl/>
        <w:spacing w:after="60" w:line="269" w:lineRule="auto"/>
        <w:ind w:left="461" w:hanging="461"/>
      </w:pPr>
      <w:r>
        <w:rPr>
          <w:rFonts w:ascii="Aptos" w:hAnsi="Aptos"/>
        </w:rPr>
        <w:t xml:space="preserve">7.  </w:t>
      </w:r>
      <w:r>
        <w:rPr>
          <w:rFonts w:ascii="Aptos" w:hAnsi="Aptos"/>
        </w:rPr>
        <w:t>How did you interpret the tone categories? Did you find them useful?</w:t>
      </w:r>
    </w:p>
    <w:p>
      <w:pPr>
        <w:widowControl/>
        <w:spacing w:after="60" w:line="269" w:lineRule="auto"/>
        <w:ind w:left="461" w:hanging="461"/>
      </w:pPr>
      <w:r>
        <w:rPr>
          <w:rFonts w:ascii="Aptos" w:hAnsi="Aptos"/>
        </w:rPr>
        <w:t xml:space="preserve">8.  </w:t>
      </w:r>
      <w:r>
        <w:rPr>
          <w:rFonts w:ascii="Aptos" w:hAnsi="Aptos"/>
        </w:rPr>
        <w:t>Did the tool ever feel distracting, intrusive, judgemental, or paternalistic? What caused that feeling?</w:t>
      </w:r>
    </w:p>
    <w:p>
      <w:pPr>
        <w:widowControl/>
        <w:spacing w:after="60" w:line="269" w:lineRule="auto"/>
        <w:ind w:left="461" w:hanging="461"/>
      </w:pPr>
      <w:r>
        <w:rPr>
          <w:rFonts w:ascii="Aptos" w:hAnsi="Aptos"/>
        </w:rPr>
        <w:t xml:space="preserve">9.  </w:t>
      </w:r>
      <w:r>
        <w:rPr>
          <w:rFonts w:ascii="Aptos" w:hAnsi="Aptos"/>
        </w:rPr>
        <w:t>Did you feel in control of the tool—for example, whether to view, dismiss, or act on its feedback?</w:t>
      </w:r>
    </w:p>
    <w:p>
      <w:pPr>
        <w:widowControl/>
        <w:spacing w:after="60" w:line="269" w:lineRule="auto"/>
        <w:ind w:left="461" w:hanging="461"/>
      </w:pPr>
      <w:r>
        <w:rPr>
          <w:rFonts w:ascii="Aptos" w:hAnsi="Aptos"/>
        </w:rPr>
        <w:t xml:space="preserve">10.  </w:t>
      </w:r>
      <w:r>
        <w:rPr>
          <w:rFonts w:ascii="Aptos" w:hAnsi="Aptos"/>
        </w:rPr>
        <w:t>How comfortable were you with the local data collection and with choosing whether to send the PDF report?</w:t>
      </w:r>
    </w:p>
    <w:p>
      <w:pPr>
        <w:widowControl/>
        <w:spacing w:after="60" w:line="269" w:lineRule="auto"/>
        <w:ind w:left="461" w:hanging="461"/>
      </w:pPr>
      <w:r>
        <w:rPr>
          <w:rFonts w:ascii="Aptos" w:hAnsi="Aptos"/>
        </w:rPr>
        <w:t xml:space="preserve">11.  </w:t>
      </w:r>
      <w:r>
        <w:rPr>
          <w:rFonts w:ascii="Aptos" w:hAnsi="Aptos"/>
        </w:rPr>
        <w:t>Which features would you keep, remove, or change?</w:t>
      </w:r>
    </w:p>
    <w:p>
      <w:pPr>
        <w:widowControl/>
        <w:spacing w:after="60" w:line="269" w:lineRule="auto"/>
        <w:ind w:left="461" w:hanging="461"/>
      </w:pPr>
      <w:r>
        <w:rPr>
          <w:rFonts w:ascii="Aptos" w:hAnsi="Aptos"/>
        </w:rPr>
        <w:t xml:space="preserve">12.  </w:t>
      </w:r>
      <w:r>
        <w:rPr>
          <w:rFonts w:ascii="Aptos" w:hAnsi="Aptos"/>
        </w:rPr>
        <w:t>If you used My AI Mirror for a month, what would you want it to help you understand?</w:t>
      </w:r>
    </w:p>
    <w:p>
      <w:pPr>
        <w:widowControl/>
        <w:spacing w:after="60" w:line="269" w:lineRule="auto"/>
        <w:ind w:left="461" w:hanging="461"/>
      </w:pPr>
      <w:r>
        <w:rPr>
          <w:rFonts w:ascii="Aptos" w:hAnsi="Aptos"/>
        </w:rPr>
        <w:t xml:space="preserve">13.  </w:t>
      </w:r>
      <w:r>
        <w:rPr>
          <w:rFonts w:ascii="Aptos" w:hAnsi="Aptos"/>
        </w:rPr>
        <w:t>Is there anything important about your experience that I have not asked?</w:t>
      </w:r>
    </w:p>
    <w:p>
      <w:pPr>
        <w:pStyle w:val="Heading1"/>
      </w:pPr>
      <w:r>
        <w:t>Analysis plan</w:t>
      </w:r>
    </w:p>
    <w:p>
      <w:pPr>
        <w:pStyle w:val="Heading2"/>
      </w:pPr>
      <w:r>
        <w:t>Quantitative description</w:t>
      </w:r>
    </w:p>
    <w:p>
      <w:pPr>
        <w:widowControl/>
        <w:spacing w:after="120" w:line="269" w:lineRule="auto"/>
      </w:pPr>
      <w:r>
        <w:rPr>
          <w:rFonts w:ascii="Aptos" w:hAnsi="Aptos"/>
        </w:rPr>
        <w:t>For each participant, report:</w:t>
      </w:r>
    </w:p>
    <w:p>
      <w:pPr>
        <w:pStyle w:val="ListBullet"/>
        <w:widowControl/>
        <w:spacing w:after="60" w:line="269" w:lineRule="auto"/>
        <w:ind w:left="346"/>
      </w:pPr>
      <w:r>
        <w:rPr>
          <w:rFonts w:ascii="Aptos" w:hAnsi="Aptos"/>
        </w:rPr>
        <w:t>total prompts, chats, and active days;</w:t>
      </w:r>
    </w:p>
    <w:p>
      <w:pPr>
        <w:pStyle w:val="ListBullet"/>
        <w:widowControl/>
        <w:spacing w:after="60" w:line="269" w:lineRule="auto"/>
        <w:ind w:left="346"/>
      </w:pPr>
      <w:r>
        <w:rPr>
          <w:rFonts w:ascii="Aptos" w:hAnsi="Aptos"/>
        </w:rPr>
        <w:t>daily and weekly prompt counts;</w:t>
      </w:r>
    </w:p>
    <w:p>
      <w:pPr>
        <w:pStyle w:val="ListBullet"/>
        <w:widowControl/>
        <w:spacing w:after="60" w:line="269" w:lineRule="auto"/>
        <w:ind w:left="346"/>
      </w:pPr>
      <w:r>
        <w:rPr>
          <w:rFonts w:ascii="Aptos" w:hAnsi="Aptos"/>
        </w:rPr>
        <w:t>count and rate for each available intention and tone category;</w:t>
      </w:r>
    </w:p>
    <w:p>
      <w:pPr>
        <w:pStyle w:val="ListBullet"/>
        <w:widowControl/>
        <w:spacing w:after="60" w:line="269" w:lineRule="auto"/>
        <w:ind w:left="346"/>
      </w:pPr>
      <w:r>
        <w:rPr>
          <w:rFonts w:ascii="Aptos" w:hAnsi="Aptos"/>
        </w:rPr>
        <w:t>available aggregate writing-process indicators;</w:t>
      </w:r>
    </w:p>
    <w:p>
      <w:pPr>
        <w:pStyle w:val="ListBullet"/>
        <w:widowControl/>
        <w:spacing w:after="60" w:line="269" w:lineRule="auto"/>
        <w:ind w:left="346"/>
      </w:pPr>
      <w:r>
        <w:rPr>
          <w:rFonts w:ascii="Aptos" w:hAnsi="Aptos"/>
        </w:rPr>
        <w:t>baseline and post-study awareness-item responses;</w:t>
      </w:r>
    </w:p>
    <w:p>
      <w:pPr>
        <w:pStyle w:val="ListBullet"/>
        <w:widowControl/>
        <w:spacing w:after="60" w:line="269" w:lineRule="auto"/>
        <w:ind w:left="346"/>
      </w:pPr>
      <w:r>
        <w:rPr>
          <w:rFonts w:ascii="Aptos" w:hAnsi="Aptos"/>
        </w:rPr>
        <w:t>SUS score;</w:t>
      </w:r>
    </w:p>
    <w:p>
      <w:pPr>
        <w:pStyle w:val="ListBullet"/>
        <w:widowControl/>
        <w:spacing w:after="60" w:line="269" w:lineRule="auto"/>
        <w:ind w:left="346"/>
      </w:pPr>
      <w:r>
        <w:rPr>
          <w:rFonts w:ascii="Aptos" w:hAnsi="Aptos"/>
        </w:rPr>
        <w:t>post-study experience-item responses.</w:t>
      </w:r>
    </w:p>
    <w:p>
      <w:pPr>
        <w:widowControl/>
        <w:spacing w:after="120" w:line="269" w:lineRule="auto"/>
      </w:pPr>
      <w:r>
        <w:rPr>
          <w:rFonts w:ascii="Aptos" w:hAnsi="Aptos"/>
        </w:rPr>
        <w:t>Across the five participants, report medians, ranges, and individual values. Visualise trajectories only when each value remains traceable to the participant or day. Do not conduct null-hypothesis significance tests or claim population-level effects. Any apparent pre/post change will be described as exploratory and interpreted alongside the interview data.</w:t>
      </w:r>
    </w:p>
    <w:p>
      <w:pPr>
        <w:widowControl/>
        <w:spacing w:after="120" w:line="269" w:lineRule="auto"/>
      </w:pPr>
      <w:r>
        <w:rPr>
          <w:rFonts w:ascii="Aptos" w:hAnsi="Aptos"/>
        </w:rPr>
        <w:t>Before analysis, verify that the total number of prompts shown in the dataset summary equals the sum of prompts in the daily/weekly frequency section. Record discrepancies as prototype data-quality issues rather than silently correcting them.</w:t>
      </w:r>
    </w:p>
    <w:p>
      <w:pPr>
        <w:pStyle w:val="Heading2"/>
      </w:pPr>
      <w:r>
        <w:t>Qualitative analysis</w:t>
      </w:r>
    </w:p>
    <w:p>
      <w:pPr>
        <w:widowControl/>
        <w:spacing w:after="120" w:line="269" w:lineRule="auto"/>
      </w:pPr>
      <w:r>
        <w:rPr>
          <w:rFonts w:ascii="Aptos" w:hAnsi="Aptos"/>
        </w:rPr>
        <w:t>Interview transcripts/notes and open-text responses will be analysed using a lightweight reflexive thematic analysis informed by Braun and Clarke's approach:</w:t>
      </w:r>
    </w:p>
    <w:p>
      <w:pPr>
        <w:widowControl/>
        <w:spacing w:after="60" w:line="269" w:lineRule="auto"/>
        <w:ind w:left="461" w:hanging="461"/>
      </w:pPr>
      <w:r>
        <w:rPr>
          <w:rFonts w:ascii="Aptos" w:hAnsi="Aptos"/>
        </w:rPr>
        <w:t xml:space="preserve">1.  </w:t>
      </w:r>
      <w:r>
        <w:rPr>
          <w:rFonts w:ascii="Aptos" w:hAnsi="Aptos"/>
        </w:rPr>
        <w:t>become familiar with the data;</w:t>
      </w:r>
    </w:p>
    <w:p>
      <w:pPr>
        <w:widowControl/>
        <w:spacing w:after="60" w:line="269" w:lineRule="auto"/>
        <w:ind w:left="461" w:hanging="461"/>
      </w:pPr>
      <w:r>
        <w:rPr>
          <w:rFonts w:ascii="Aptos" w:hAnsi="Aptos"/>
        </w:rPr>
        <w:t xml:space="preserve">2.  </w:t>
      </w:r>
      <w:r>
        <w:rPr>
          <w:rFonts w:ascii="Aptos" w:hAnsi="Aptos"/>
        </w:rPr>
        <w:t>generate initial codes;</w:t>
      </w:r>
    </w:p>
    <w:p>
      <w:pPr>
        <w:widowControl/>
        <w:spacing w:after="60" w:line="269" w:lineRule="auto"/>
        <w:ind w:left="461" w:hanging="461"/>
      </w:pPr>
      <w:r>
        <w:rPr>
          <w:rFonts w:ascii="Aptos" w:hAnsi="Aptos"/>
        </w:rPr>
        <w:t xml:space="preserve">3.  </w:t>
      </w:r>
      <w:r>
        <w:rPr>
          <w:rFonts w:ascii="Aptos" w:hAnsi="Aptos"/>
        </w:rPr>
        <w:t>develop candidate themes across participants;</w:t>
      </w:r>
    </w:p>
    <w:p>
      <w:pPr>
        <w:widowControl/>
        <w:spacing w:after="60" w:line="269" w:lineRule="auto"/>
        <w:ind w:left="461" w:hanging="461"/>
      </w:pPr>
      <w:r>
        <w:rPr>
          <w:rFonts w:ascii="Aptos" w:hAnsi="Aptos"/>
        </w:rPr>
        <w:t xml:space="preserve">4.  </w:t>
      </w:r>
      <w:r>
        <w:rPr>
          <w:rFonts w:ascii="Aptos" w:hAnsi="Aptos"/>
        </w:rPr>
        <w:t>review themes against the data;</w:t>
      </w:r>
    </w:p>
    <w:p>
      <w:pPr>
        <w:widowControl/>
        <w:spacing w:after="60" w:line="269" w:lineRule="auto"/>
        <w:ind w:left="461" w:hanging="461"/>
      </w:pPr>
      <w:r>
        <w:rPr>
          <w:rFonts w:ascii="Aptos" w:hAnsi="Aptos"/>
        </w:rPr>
        <w:t xml:space="preserve">5.  </w:t>
      </w:r>
      <w:r>
        <w:rPr>
          <w:rFonts w:ascii="Aptos" w:hAnsi="Aptos"/>
        </w:rPr>
        <w:t>define and name themes;</w:t>
      </w:r>
    </w:p>
    <w:p>
      <w:pPr>
        <w:widowControl/>
        <w:spacing w:after="60" w:line="269" w:lineRule="auto"/>
        <w:ind w:left="461" w:hanging="461"/>
      </w:pPr>
      <w:r>
        <w:rPr>
          <w:rFonts w:ascii="Aptos" w:hAnsi="Aptos"/>
        </w:rPr>
        <w:t xml:space="preserve">6.  </w:t>
      </w:r>
      <w:r>
        <w:rPr>
          <w:rFonts w:ascii="Aptos" w:hAnsi="Aptos"/>
        </w:rPr>
        <w:t>write an analytic account supported by short anonymised excerpts.</w:t>
      </w:r>
    </w:p>
    <w:p>
      <w:pPr>
        <w:widowControl/>
        <w:spacing w:after="120" w:line="269" w:lineRule="auto"/>
      </w:pPr>
      <w:r>
        <w:rPr>
          <w:rFonts w:ascii="Aptos" w:hAnsi="Aptos"/>
        </w:rPr>
        <w:t>Likely sensitising topics include awareness, reflection, trust in classifications, usefulness, autonomy, intrusiveness, and desired changes. These topics guide attention but do not restrict inductive coding.</w:t>
      </w:r>
    </w:p>
    <w:p>
      <w:pPr>
        <w:pStyle w:val="Heading2"/>
      </w:pPr>
      <w:r>
        <w:t>Integration</w:t>
      </w:r>
    </w:p>
    <w:p>
      <w:pPr>
        <w:widowControl/>
        <w:spacing w:after="120" w:line="269" w:lineRule="auto"/>
      </w:pPr>
      <w:r>
        <w:rPr>
          <w:rFonts w:ascii="Aptos" w:hAnsi="Aptos"/>
        </w:rPr>
        <w:t>The PDF reports will be used as contextual and elicitation material, not as objective proof of a participant's motives or wellbeing. The researcher will compare system-generated patterns with participants' own interpretations. Agreement, disagreement, missing data, and classification errors are all analytically relevant.</w:t>
      </w:r>
    </w:p>
    <w:p>
      <w:pPr>
        <w:pStyle w:val="Heading1"/>
      </w:pPr>
      <w:r>
        <w:t>Privacy, data management, and ethics</w:t>
      </w:r>
    </w:p>
    <w:p>
      <w:pPr>
        <w:pStyle w:val="ListBullet"/>
        <w:widowControl/>
        <w:spacing w:after="60" w:line="269" w:lineRule="auto"/>
        <w:ind w:left="346"/>
      </w:pPr>
      <w:r>
        <w:rPr>
          <w:rFonts w:ascii="Aptos" w:hAnsi="Aptos"/>
        </w:rPr>
        <w:t>The extension processes prompt text locally for inference and does not include raw prompts or assistant responses in the submitted report.</w:t>
      </w:r>
    </w:p>
    <w:p>
      <w:pPr>
        <w:pStyle w:val="ListBullet"/>
        <w:widowControl/>
        <w:spacing w:after="60" w:line="269" w:lineRule="auto"/>
        <w:ind w:left="346"/>
      </w:pPr>
      <w:r>
        <w:rPr>
          <w:rFonts w:ascii="Aptos" w:hAnsi="Aptos"/>
        </w:rPr>
        <w:t>Participants receive a clear description of every data type collected before consenting.</w:t>
      </w:r>
    </w:p>
    <w:p>
      <w:pPr>
        <w:pStyle w:val="ListBullet"/>
        <w:widowControl/>
        <w:spacing w:after="60" w:line="269" w:lineRule="auto"/>
        <w:ind w:left="346"/>
      </w:pPr>
      <w:r>
        <w:rPr>
          <w:rFonts w:ascii="Aptos" w:hAnsi="Aptos"/>
        </w:rPr>
        <w:t>Reports are labelled only with P01–P05 and transferred through an institutionally approved secure method.</w:t>
      </w:r>
    </w:p>
    <w:p>
      <w:pPr>
        <w:pStyle w:val="ListBullet"/>
        <w:widowControl/>
        <w:spacing w:after="60" w:line="269" w:lineRule="auto"/>
        <w:ind w:left="346"/>
      </w:pPr>
      <w:r>
        <w:rPr>
          <w:rFonts w:ascii="Aptos" w:hAnsi="Aptos"/>
        </w:rPr>
        <w:t>Names, email addresses, and consent records are stored separately from study data.</w:t>
      </w:r>
    </w:p>
    <w:p>
      <w:pPr>
        <w:pStyle w:val="ListBullet"/>
        <w:widowControl/>
        <w:spacing w:after="60" w:line="269" w:lineRule="auto"/>
        <w:ind w:left="346"/>
      </w:pPr>
      <w:r>
        <w:rPr>
          <w:rFonts w:ascii="Aptos" w:hAnsi="Aptos"/>
        </w:rPr>
        <w:t>Research data are stored in [TO CONFIRM: encrypted university storage and location], accessible only to [TO CONFIRM].</w:t>
      </w:r>
    </w:p>
    <w:p>
      <w:pPr>
        <w:pStyle w:val="ListBullet"/>
        <w:widowControl/>
        <w:spacing w:after="60" w:line="269" w:lineRule="auto"/>
        <w:ind w:left="346"/>
      </w:pPr>
      <w:r>
        <w:rPr>
          <w:rFonts w:ascii="Aptos" w:hAnsi="Aptos"/>
        </w:rPr>
        <w:t>Data are retained for [TO CONFIRM: period required by the institution] and then securely deleted.</w:t>
      </w:r>
    </w:p>
    <w:p>
      <w:pPr>
        <w:pStyle w:val="ListBullet"/>
        <w:widowControl/>
        <w:spacing w:after="60" w:line="269" w:lineRule="auto"/>
        <w:ind w:left="346"/>
      </w:pPr>
      <w:r>
        <w:rPr>
          <w:rFonts w:ascii="Aptos" w:hAnsi="Aptos"/>
        </w:rPr>
        <w:t>Interview audio is optional and requires separate consent. If a participant declines recording, the researcher may take notes with permission.</w:t>
      </w:r>
    </w:p>
    <w:p>
      <w:pPr>
        <w:pStyle w:val="ListBullet"/>
        <w:widowControl/>
        <w:spacing w:after="60" w:line="269" w:lineRule="auto"/>
        <w:ind w:left="346"/>
      </w:pPr>
      <w:r>
        <w:rPr>
          <w:rFonts w:ascii="Aptos" w:hAnsi="Aptos"/>
        </w:rPr>
        <w:t>Participants may skip questions, pause the extension, decline to send the report, withdraw, or uninstall the extension without penalty, subject to the stated withdrawal deadline.</w:t>
      </w:r>
    </w:p>
    <w:p>
      <w:pPr>
        <w:pStyle w:val="ListBullet"/>
        <w:widowControl/>
        <w:spacing w:after="60" w:line="269" w:lineRule="auto"/>
        <w:ind w:left="346"/>
      </w:pPr>
      <w:r>
        <w:rPr>
          <w:rFonts w:ascii="Aptos" w:hAnsi="Aptos"/>
        </w:rPr>
        <w:t>The tool does not diagnose dependence, mental-health conditions, cognitive ability, or “good” and “bad” AI use.</w:t>
      </w:r>
    </w:p>
    <w:p>
      <w:pPr>
        <w:pStyle w:val="ListBullet"/>
        <w:widowControl/>
        <w:spacing w:after="60" w:line="269" w:lineRule="auto"/>
        <w:ind w:left="346"/>
      </w:pPr>
      <w:r>
        <w:rPr>
          <w:rFonts w:ascii="Aptos" w:hAnsi="Aptos"/>
        </w:rPr>
        <w:t>Quotes in publications are anonymised and checked to remove identifying details.</w:t>
      </w:r>
    </w:p>
    <w:p>
      <w:pPr>
        <w:pStyle w:val="ListBullet"/>
        <w:widowControl/>
        <w:spacing w:after="60" w:line="269" w:lineRule="auto"/>
        <w:ind w:left="346"/>
      </w:pPr>
      <w:r>
        <w:rPr>
          <w:rFonts w:ascii="Aptos" w:hAnsi="Aptos"/>
        </w:rPr>
        <w:t>Any accidental disclosure of sensitive information will follow the institution's approved data-breach procedure.</w:t>
      </w:r>
    </w:p>
    <w:p>
      <w:pPr>
        <w:pStyle w:val="Heading1"/>
      </w:pPr>
      <w:r>
        <w:t>Anticipated risks and mitigations</w:t>
      </w:r>
    </w:p>
    <w:tbl>
      <w:tblPr>
        <w:tblW w:type="auto" w:w="0"/>
        <w:jc w:val="center"/>
        <w:tblLayout w:type="autofit"/>
        <w:tblLook w:firstColumn="1" w:firstRow="1" w:lastColumn="0" w:lastRow="0" w:noHBand="0" w:noVBand="1" w:val="04A0"/>
      </w:tblPr>
      <w:tblGrid>
        <w:gridCol w:w="4939"/>
        <w:gridCol w:w="4939"/>
      </w:tblGrid>
      <w:tr>
        <w:trPr>
          <w:tblHeader/>
        </w:trPr>
        <w:tc>
          <w:tcPr>
            <w:tcW w:type="dxa" w:w="4939"/>
            <w:tcMar>
              <w:top w:w="70" w:type="dxa"/>
              <w:start w:w="105" w:type="dxa"/>
              <w:bottom w:w="70" w:type="dxa"/>
              <w:end w:w="105" w:type="dxa"/>
            </w:tcMar>
            <w:tcBorders>
              <w:top w:val="single" w:sz="6" w:color="E5E5EA"/>
              <w:left w:val="single" w:sz="6" w:color="E5E5EA"/>
              <w:bottom w:val="single" w:sz="6" w:color="E5E5EA"/>
              <w:right w:val="single" w:sz="6" w:color="E5E5EA"/>
              <w:insideH w:val="single" w:sz="6" w:color="E5E5EA"/>
              <w:insideV w:val="single" w:sz="6" w:color="E5E5EA"/>
            </w:tcBorders>
            <w:vAlign w:val="center"/>
            <w:shd w:fill="2C2C2E"/>
          </w:tcPr>
          <w:p>
            <w:pPr>
              <w:spacing w:after="0"/>
            </w:pPr>
            <w:r>
              <w:rPr>
                <w:rFonts w:ascii="Aptos" w:hAnsi="Aptos"/>
                <w:b/>
                <w:color w:val="FFFFFF"/>
                <w:sz w:val="17"/>
              </w:rPr>
              <w:t>Risk</w:t>
            </w:r>
          </w:p>
        </w:tc>
        <w:tc>
          <w:tcPr>
            <w:tcW w:type="dxa" w:w="4939"/>
            <w:tcMar>
              <w:top w:w="70" w:type="dxa"/>
              <w:start w:w="105" w:type="dxa"/>
              <w:bottom w:w="70" w:type="dxa"/>
              <w:end w:w="105" w:type="dxa"/>
            </w:tcMar>
            <w:tcBorders>
              <w:top w:val="single" w:sz="6" w:color="E5E5EA"/>
              <w:left w:val="single" w:sz="6" w:color="E5E5EA"/>
              <w:bottom w:val="single" w:sz="6" w:color="E5E5EA"/>
              <w:right w:val="single" w:sz="6" w:color="E5E5EA"/>
              <w:insideH w:val="single" w:sz="6" w:color="E5E5EA"/>
              <w:insideV w:val="single" w:sz="6" w:color="E5E5EA"/>
            </w:tcBorders>
            <w:vAlign w:val="center"/>
            <w:shd w:fill="2C2C2E"/>
          </w:tcPr>
          <w:p>
            <w:pPr>
              <w:spacing w:after="0"/>
            </w:pPr>
            <w:r>
              <w:rPr>
                <w:rFonts w:ascii="Aptos" w:hAnsi="Aptos"/>
                <w:b/>
                <w:color w:val="FFFFFF"/>
                <w:sz w:val="17"/>
              </w:rPr>
              <w:t>Mitigation</w:t>
            </w:r>
          </w:p>
        </w:tc>
      </w:tr>
      <w:tr>
        <w:tc>
          <w:tcPr>
            <w:tcW w:type="dxa" w:w="4939"/>
            <w:tcMar>
              <w:top w:w="70" w:type="dxa"/>
              <w:start w:w="105" w:type="dxa"/>
              <w:bottom w:w="70" w:type="dxa"/>
              <w:end w:w="105" w:type="dxa"/>
            </w:tcMar>
            <w:tcBorders>
              <w:top w:val="single" w:sz="6" w:color="E5E5EA"/>
              <w:left w:val="single" w:sz="6" w:color="E5E5EA"/>
              <w:bottom w:val="single" w:sz="6" w:color="E5E5EA"/>
              <w:right w:val="single" w:sz="6" w:color="E5E5EA"/>
              <w:insideH w:val="single" w:sz="6" w:color="E5E5EA"/>
              <w:insideV w:val="single" w:sz="6" w:color="E5E5EA"/>
            </w:tcBorders>
            <w:vAlign w:val="center"/>
          </w:tcPr>
          <w:p>
            <w:pPr>
              <w:spacing w:after="0"/>
            </w:pPr>
            <w:r>
              <w:rPr>
                <w:rFonts w:ascii="Aptos" w:hAnsi="Aptos"/>
                <w:b w:val="0"/>
                <w:color w:val="1D1D1F"/>
                <w:sz w:val="17"/>
              </w:rPr>
              <w:t>A participant feels monitored or judged</w:t>
            </w:r>
          </w:p>
        </w:tc>
        <w:tc>
          <w:tcPr>
            <w:tcW w:type="dxa" w:w="4939"/>
            <w:tcMar>
              <w:top w:w="70" w:type="dxa"/>
              <w:start w:w="105" w:type="dxa"/>
              <w:bottom w:w="70" w:type="dxa"/>
              <w:end w:w="105" w:type="dxa"/>
            </w:tcMar>
            <w:tcBorders>
              <w:top w:val="single" w:sz="6" w:color="E5E5EA"/>
              <w:left w:val="single" w:sz="6" w:color="E5E5EA"/>
              <w:bottom w:val="single" w:sz="6" w:color="E5E5EA"/>
              <w:right w:val="single" w:sz="6" w:color="E5E5EA"/>
              <w:insideH w:val="single" w:sz="6" w:color="E5E5EA"/>
              <w:insideV w:val="single" w:sz="6" w:color="E5E5EA"/>
            </w:tcBorders>
            <w:vAlign w:val="center"/>
          </w:tcPr>
          <w:p>
            <w:pPr>
              <w:spacing w:after="0"/>
            </w:pPr>
            <w:r>
              <w:rPr>
                <w:rFonts w:ascii="Aptos" w:hAnsi="Aptos"/>
                <w:b w:val="0"/>
                <w:color w:val="1D1D1F"/>
                <w:sz w:val="17"/>
              </w:rPr>
              <w:t>Emphasise voluntary use, optional reflection, the ability to pause/uninstall, and the non-diagnostic purpose.</w:t>
            </w:r>
          </w:p>
        </w:tc>
      </w:tr>
      <w:tr>
        <w:tc>
          <w:tcPr>
            <w:tcW w:type="dxa" w:w="4939"/>
            <w:tcMar>
              <w:top w:w="70" w:type="dxa"/>
              <w:start w:w="105" w:type="dxa"/>
              <w:bottom w:w="70" w:type="dxa"/>
              <w:end w:w="105" w:type="dxa"/>
            </w:tcMar>
            <w:tcBorders>
              <w:top w:val="single" w:sz="6" w:color="E5E5EA"/>
              <w:left w:val="single" w:sz="6" w:color="E5E5EA"/>
              <w:bottom w:val="single" w:sz="6" w:color="E5E5EA"/>
              <w:right w:val="single" w:sz="6" w:color="E5E5EA"/>
              <w:insideH w:val="single" w:sz="6" w:color="E5E5EA"/>
              <w:insideV w:val="single" w:sz="6" w:color="E5E5EA"/>
            </w:tcBorders>
            <w:vAlign w:val="center"/>
            <w:shd w:fill="F2F7FC"/>
          </w:tcPr>
          <w:p>
            <w:pPr>
              <w:spacing w:after="0"/>
            </w:pPr>
            <w:r>
              <w:rPr>
                <w:rFonts w:ascii="Aptos" w:hAnsi="Aptos"/>
                <w:b w:val="0"/>
                <w:color w:val="1D1D1F"/>
                <w:sz w:val="17"/>
              </w:rPr>
              <w:t>Automated labels are inaccurate</w:t>
            </w:r>
          </w:p>
        </w:tc>
        <w:tc>
          <w:tcPr>
            <w:tcW w:type="dxa" w:w="4939"/>
            <w:tcMar>
              <w:top w:w="70" w:type="dxa"/>
              <w:start w:w="105" w:type="dxa"/>
              <w:bottom w:w="70" w:type="dxa"/>
              <w:end w:w="105" w:type="dxa"/>
            </w:tcMar>
            <w:tcBorders>
              <w:top w:val="single" w:sz="6" w:color="E5E5EA"/>
              <w:left w:val="single" w:sz="6" w:color="E5E5EA"/>
              <w:bottom w:val="single" w:sz="6" w:color="E5E5EA"/>
              <w:right w:val="single" w:sz="6" w:color="E5E5EA"/>
              <w:insideH w:val="single" w:sz="6" w:color="E5E5EA"/>
              <w:insideV w:val="single" w:sz="6" w:color="E5E5EA"/>
            </w:tcBorders>
            <w:vAlign w:val="center"/>
            <w:shd w:fill="F2F7FC"/>
          </w:tcPr>
          <w:p>
            <w:pPr>
              <w:spacing w:after="0"/>
            </w:pPr>
            <w:r>
              <w:rPr>
                <w:rFonts w:ascii="Aptos" w:hAnsi="Aptos"/>
                <w:b w:val="0"/>
                <w:color w:val="1D1D1F"/>
                <w:sz w:val="17"/>
              </w:rPr>
              <w:t>Describe labels as estimates, invite participants to challenge them, and analyse disagreement as a design issue.</w:t>
            </w:r>
          </w:p>
        </w:tc>
      </w:tr>
      <w:tr>
        <w:tc>
          <w:tcPr>
            <w:tcW w:type="dxa" w:w="4939"/>
            <w:tcMar>
              <w:top w:w="70" w:type="dxa"/>
              <w:start w:w="105" w:type="dxa"/>
              <w:bottom w:w="70" w:type="dxa"/>
              <w:end w:w="105" w:type="dxa"/>
            </w:tcMar>
            <w:tcBorders>
              <w:top w:val="single" w:sz="6" w:color="E5E5EA"/>
              <w:left w:val="single" w:sz="6" w:color="E5E5EA"/>
              <w:bottom w:val="single" w:sz="6" w:color="E5E5EA"/>
              <w:right w:val="single" w:sz="6" w:color="E5E5EA"/>
              <w:insideH w:val="single" w:sz="6" w:color="E5E5EA"/>
              <w:insideV w:val="single" w:sz="6" w:color="E5E5EA"/>
            </w:tcBorders>
            <w:vAlign w:val="center"/>
          </w:tcPr>
          <w:p>
            <w:pPr>
              <w:spacing w:after="0"/>
            </w:pPr>
            <w:r>
              <w:rPr>
                <w:rFonts w:ascii="Aptos" w:hAnsi="Aptos"/>
                <w:b w:val="0"/>
                <w:color w:val="1D1D1F"/>
                <w:sz w:val="17"/>
              </w:rPr>
              <w:t>The PDF reveals sensitive behavioural patterns</w:t>
            </w:r>
          </w:p>
        </w:tc>
        <w:tc>
          <w:tcPr>
            <w:tcW w:type="dxa" w:w="4939"/>
            <w:tcMar>
              <w:top w:w="70" w:type="dxa"/>
              <w:start w:w="105" w:type="dxa"/>
              <w:bottom w:w="70" w:type="dxa"/>
              <w:end w:w="105" w:type="dxa"/>
            </w:tcMar>
            <w:tcBorders>
              <w:top w:val="single" w:sz="6" w:color="E5E5EA"/>
              <w:left w:val="single" w:sz="6" w:color="E5E5EA"/>
              <w:bottom w:val="single" w:sz="6" w:color="E5E5EA"/>
              <w:right w:val="single" w:sz="6" w:color="E5E5EA"/>
              <w:insideH w:val="single" w:sz="6" w:color="E5E5EA"/>
              <w:insideV w:val="single" w:sz="6" w:color="E5E5EA"/>
            </w:tcBorders>
            <w:vAlign w:val="center"/>
          </w:tcPr>
          <w:p>
            <w:pPr>
              <w:spacing w:after="0"/>
            </w:pPr>
            <w:r>
              <w:rPr>
                <w:rFonts w:ascii="Aptos" w:hAnsi="Aptos"/>
                <w:b w:val="0"/>
                <w:color w:val="1D1D1F"/>
                <w:sz w:val="17"/>
              </w:rPr>
              <w:t>Let participants inspect the report before sharing; use coded filenames and secure transfer.</w:t>
            </w:r>
          </w:p>
        </w:tc>
      </w:tr>
      <w:tr>
        <w:tc>
          <w:tcPr>
            <w:tcW w:type="dxa" w:w="4939"/>
            <w:tcMar>
              <w:top w:w="70" w:type="dxa"/>
              <w:start w:w="105" w:type="dxa"/>
              <w:bottom w:w="70" w:type="dxa"/>
              <w:end w:w="105" w:type="dxa"/>
            </w:tcMar>
            <w:tcBorders>
              <w:top w:val="single" w:sz="6" w:color="E5E5EA"/>
              <w:left w:val="single" w:sz="6" w:color="E5E5EA"/>
              <w:bottom w:val="single" w:sz="6" w:color="E5E5EA"/>
              <w:right w:val="single" w:sz="6" w:color="E5E5EA"/>
              <w:insideH w:val="single" w:sz="6" w:color="E5E5EA"/>
              <w:insideV w:val="single" w:sz="6" w:color="E5E5EA"/>
            </w:tcBorders>
            <w:vAlign w:val="center"/>
            <w:shd w:fill="F2F7FC"/>
          </w:tcPr>
          <w:p>
            <w:pPr>
              <w:spacing w:after="0"/>
            </w:pPr>
            <w:r>
              <w:rPr>
                <w:rFonts w:ascii="Aptos" w:hAnsi="Aptos"/>
                <w:b w:val="0"/>
                <w:color w:val="1D1D1F"/>
                <w:sz w:val="17"/>
              </w:rPr>
              <w:t>Raw conversation content is accidentally shared</w:t>
            </w:r>
          </w:p>
        </w:tc>
        <w:tc>
          <w:tcPr>
            <w:tcW w:type="dxa" w:w="4939"/>
            <w:tcMar>
              <w:top w:w="70" w:type="dxa"/>
              <w:start w:w="105" w:type="dxa"/>
              <w:bottom w:w="70" w:type="dxa"/>
              <w:end w:w="105" w:type="dxa"/>
            </w:tcMar>
            <w:tcBorders>
              <w:top w:val="single" w:sz="6" w:color="E5E5EA"/>
              <w:left w:val="single" w:sz="6" w:color="E5E5EA"/>
              <w:bottom w:val="single" w:sz="6" w:color="E5E5EA"/>
              <w:right w:val="single" w:sz="6" w:color="E5E5EA"/>
              <w:insideH w:val="single" w:sz="6" w:color="E5E5EA"/>
              <w:insideV w:val="single" w:sz="6" w:color="E5E5EA"/>
            </w:tcBorders>
            <w:vAlign w:val="center"/>
            <w:shd w:fill="F2F7FC"/>
          </w:tcPr>
          <w:p>
            <w:pPr>
              <w:spacing w:after="0"/>
            </w:pPr>
            <w:r>
              <w:rPr>
                <w:rFonts w:ascii="Aptos" w:hAnsi="Aptos"/>
                <w:b w:val="0"/>
                <w:color w:val="1D1D1F"/>
                <w:sz w:val="17"/>
              </w:rPr>
              <w:t>Never request screenshots or conversation exports; instruct participants to send only the generated report.</w:t>
            </w:r>
          </w:p>
        </w:tc>
      </w:tr>
      <w:tr>
        <w:tc>
          <w:tcPr>
            <w:tcW w:type="dxa" w:w="4939"/>
            <w:tcMar>
              <w:top w:w="70" w:type="dxa"/>
              <w:start w:w="105" w:type="dxa"/>
              <w:bottom w:w="70" w:type="dxa"/>
              <w:end w:w="105" w:type="dxa"/>
            </w:tcMar>
            <w:tcBorders>
              <w:top w:val="single" w:sz="6" w:color="E5E5EA"/>
              <w:left w:val="single" w:sz="6" w:color="E5E5EA"/>
              <w:bottom w:val="single" w:sz="6" w:color="E5E5EA"/>
              <w:right w:val="single" w:sz="6" w:color="E5E5EA"/>
              <w:insideH w:val="single" w:sz="6" w:color="E5E5EA"/>
              <w:insideV w:val="single" w:sz="6" w:color="E5E5EA"/>
            </w:tcBorders>
            <w:vAlign w:val="center"/>
          </w:tcPr>
          <w:p>
            <w:pPr>
              <w:spacing w:after="0"/>
            </w:pPr>
            <w:r>
              <w:rPr>
                <w:rFonts w:ascii="Aptos" w:hAnsi="Aptos"/>
                <w:b w:val="0"/>
                <w:color w:val="1D1D1F"/>
                <w:sz w:val="17"/>
              </w:rPr>
              <w:t>Technical failure or incomplete capture</w:t>
            </w:r>
          </w:p>
        </w:tc>
        <w:tc>
          <w:tcPr>
            <w:tcW w:type="dxa" w:w="4939"/>
            <w:tcMar>
              <w:top w:w="70" w:type="dxa"/>
              <w:start w:w="105" w:type="dxa"/>
              <w:bottom w:w="70" w:type="dxa"/>
              <w:end w:w="105" w:type="dxa"/>
            </w:tcMar>
            <w:tcBorders>
              <w:top w:val="single" w:sz="6" w:color="E5E5EA"/>
              <w:left w:val="single" w:sz="6" w:color="E5E5EA"/>
              <w:bottom w:val="single" w:sz="6" w:color="E5E5EA"/>
              <w:right w:val="single" w:sz="6" w:color="E5E5EA"/>
              <w:insideH w:val="single" w:sz="6" w:color="E5E5EA"/>
              <w:insideV w:val="single" w:sz="6" w:color="E5E5EA"/>
            </w:tcBorders>
            <w:vAlign w:val="center"/>
          </w:tcPr>
          <w:p>
            <w:pPr>
              <w:spacing w:after="0"/>
            </w:pPr>
            <w:r>
              <w:rPr>
                <w:rFonts w:ascii="Aptos" w:hAnsi="Aptos"/>
                <w:b w:val="0"/>
                <w:color w:val="1D1D1F"/>
                <w:sz w:val="17"/>
              </w:rPr>
              <w:t>Run an onboarding test, maintain an issue log, and treat missingness transparently.</w:t>
            </w:r>
          </w:p>
        </w:tc>
      </w:tr>
      <w:tr>
        <w:tc>
          <w:tcPr>
            <w:tcW w:type="dxa" w:w="4939"/>
            <w:tcMar>
              <w:top w:w="70" w:type="dxa"/>
              <w:start w:w="105" w:type="dxa"/>
              <w:bottom w:w="70" w:type="dxa"/>
              <w:end w:w="105" w:type="dxa"/>
            </w:tcMar>
            <w:tcBorders>
              <w:top w:val="single" w:sz="6" w:color="E5E5EA"/>
              <w:left w:val="single" w:sz="6" w:color="E5E5EA"/>
              <w:bottom w:val="single" w:sz="6" w:color="E5E5EA"/>
              <w:right w:val="single" w:sz="6" w:color="E5E5EA"/>
              <w:insideH w:val="single" w:sz="6" w:color="E5E5EA"/>
              <w:insideV w:val="single" w:sz="6" w:color="E5E5EA"/>
            </w:tcBorders>
            <w:vAlign w:val="center"/>
            <w:shd w:fill="F2F7FC"/>
          </w:tcPr>
          <w:p>
            <w:pPr>
              <w:spacing w:after="0"/>
            </w:pPr>
            <w:r>
              <w:rPr>
                <w:rFonts w:ascii="Aptos" w:hAnsi="Aptos"/>
                <w:b w:val="0"/>
                <w:color w:val="1D1D1F"/>
                <w:sz w:val="17"/>
              </w:rPr>
              <w:t>Researcher is known to participants</w:t>
            </w:r>
          </w:p>
        </w:tc>
        <w:tc>
          <w:tcPr>
            <w:tcW w:type="dxa" w:w="4939"/>
            <w:tcMar>
              <w:top w:w="70" w:type="dxa"/>
              <w:start w:w="105" w:type="dxa"/>
              <w:bottom w:w="70" w:type="dxa"/>
              <w:end w:w="105" w:type="dxa"/>
            </w:tcMar>
            <w:tcBorders>
              <w:top w:val="single" w:sz="6" w:color="E5E5EA"/>
              <w:left w:val="single" w:sz="6" w:color="E5E5EA"/>
              <w:bottom w:val="single" w:sz="6" w:color="E5E5EA"/>
              <w:right w:val="single" w:sz="6" w:color="E5E5EA"/>
              <w:insideH w:val="single" w:sz="6" w:color="E5E5EA"/>
              <w:insideV w:val="single" w:sz="6" w:color="E5E5EA"/>
            </w:tcBorders>
            <w:vAlign w:val="center"/>
            <w:shd w:fill="F2F7FC"/>
          </w:tcPr>
          <w:p>
            <w:pPr>
              <w:spacing w:after="0"/>
            </w:pPr>
            <w:r>
              <w:rPr>
                <w:rFonts w:ascii="Aptos" w:hAnsi="Aptos"/>
                <w:b w:val="0"/>
                <w:color w:val="1D1D1F"/>
                <w:sz w:val="17"/>
              </w:rPr>
              <w:t>Make voluntariness explicit and avoid recruiting anyone over whom the researcher has authority, unless approved safeguards exist.</w:t>
            </w:r>
          </w:p>
        </w:tc>
      </w:tr>
    </w:tbl>
    <w:p>
      <w:pPr>
        <w:spacing w:after="0"/>
      </w:pPr>
    </w:p>
    <w:p>
      <w:pPr>
        <w:pStyle w:val="Heading1"/>
      </w:pPr>
      <w:r>
        <w:t>Withdrawal and stopping criteria</w:t>
      </w:r>
    </w:p>
    <w:p>
      <w:pPr>
        <w:widowControl/>
        <w:spacing w:after="120" w:line="269" w:lineRule="auto"/>
      </w:pPr>
      <w:r>
        <w:rPr>
          <w:rFonts w:ascii="Aptos" w:hAnsi="Aptos"/>
        </w:rPr>
        <w:t>A participant may stop using the extension or leave the study at any time without giving a reason. The information sheet must specify the final date on which identifiable or pseudonymised data can be withdrawn. The researcher will stop a session if the participant shows distress, asks to stop, or a technical issue creates an unexpected privacy risk.</w:t>
      </w:r>
    </w:p>
    <w:p>
      <w:pPr>
        <w:widowControl/>
        <w:spacing w:after="120" w:line="269" w:lineRule="auto"/>
      </w:pPr>
      <w:r>
        <w:rPr>
          <w:rFonts w:ascii="Aptos" w:hAnsi="Aptos"/>
        </w:rPr>
        <w:t>The whole deployment will be paused if the extension is found to save or export raw prompt/response text unexpectedly, expose one participant's data to another person, or generate a report containing direct identifiers.</w:t>
      </w:r>
    </w:p>
    <w:p>
      <w:pPr>
        <w:pStyle w:val="Heading1"/>
      </w:pPr>
      <w:r>
        <w:t>Outputs and reporting</w:t>
      </w:r>
    </w:p>
    <w:p>
      <w:pPr>
        <w:widowControl/>
        <w:spacing w:after="120" w:line="269" w:lineRule="auto"/>
      </w:pPr>
      <w:r>
        <w:rPr>
          <w:rFonts w:ascii="Aptos" w:hAnsi="Aptos"/>
        </w:rPr>
        <w:t>The thesis will report the study as an exploratory design evaluation. Results will focus on participant experiences, design implications, feasibility, and transparent data-quality limitations. Individual cases may be described using study IDs. No claim will be made that a one-week deployment improves wellbeing, reduces dependence, or increases critical thinking.</w:t>
      </w:r>
    </w:p>
    <w:p>
      <w:pPr>
        <w:pStyle w:val="Heading1"/>
      </w:pPr>
      <w:r>
        <w:t>Pre deployment checklist</w:t>
      </w:r>
    </w:p>
    <w:p>
      <w:pPr>
        <w:widowControl/>
        <w:spacing w:after="60" w:line="269" w:lineRule="auto"/>
        <w:ind w:left="317" w:hanging="317"/>
      </w:pPr>
      <w:r>
        <w:rPr>
          <w:rFonts w:ascii="Aptos" w:hAnsi="Aptos"/>
        </w:rPr>
        <w:t>☐ Receive ethics approval before recruitment.</w:t>
      </w:r>
    </w:p>
    <w:p>
      <w:pPr>
        <w:widowControl/>
        <w:spacing w:after="60" w:line="269" w:lineRule="auto"/>
        <w:ind w:left="317" w:hanging="317"/>
      </w:pPr>
      <w:r>
        <w:rPr>
          <w:rFonts w:ascii="Aptos" w:hAnsi="Aptos"/>
        </w:rPr>
        <w:t>☐ Confirm researcher, institution, contact, recruitment route, compensation, language, storage, retention, and withdrawal details.</w:t>
      </w:r>
    </w:p>
    <w:p>
      <w:pPr>
        <w:widowControl/>
        <w:spacing w:after="60" w:line="269" w:lineRule="auto"/>
        <w:ind w:left="317" w:hanging="317"/>
      </w:pPr>
      <w:r>
        <w:rPr>
          <w:rFonts w:ascii="Aptos" w:hAnsi="Aptos"/>
        </w:rPr>
        <w:t>☐ Freeze and record the extension version used in the study.</w:t>
      </w:r>
    </w:p>
    <w:p>
      <w:pPr>
        <w:widowControl/>
        <w:spacing w:after="60" w:line="269" w:lineRule="auto"/>
        <w:ind w:left="317" w:hanging="317"/>
      </w:pPr>
      <w:r>
        <w:rPr>
          <w:rFonts w:ascii="Aptos" w:hAnsi="Aptos"/>
        </w:rPr>
        <w:t>☐ Verify that report totals agree across the summary, chart, and table.</w:t>
      </w:r>
    </w:p>
    <w:p>
      <w:pPr>
        <w:widowControl/>
        <w:spacing w:after="60" w:line="269" w:lineRule="auto"/>
        <w:ind w:left="317" w:hanging="317"/>
      </w:pPr>
      <w:r>
        <w:rPr>
          <w:rFonts w:ascii="Aptos" w:hAnsi="Aptos"/>
        </w:rPr>
        <w:t>☐ Verify that the PDF contains no raw prompt/response text or direct identifiers.</w:t>
      </w:r>
    </w:p>
    <w:p>
      <w:pPr>
        <w:widowControl/>
        <w:spacing w:after="60" w:line="269" w:lineRule="auto"/>
        <w:ind w:left="317" w:hanging="317"/>
      </w:pPr>
      <w:r>
        <w:rPr>
          <w:rFonts w:ascii="Aptos" w:hAnsi="Aptos"/>
        </w:rPr>
        <w:t>☐ Test installation, pause/uninstall, report download, and data deletion on supported browsers.</w:t>
      </w:r>
    </w:p>
    <w:p>
      <w:pPr>
        <w:widowControl/>
        <w:spacing w:after="60" w:line="269" w:lineRule="auto"/>
        <w:ind w:left="317" w:hanging="317"/>
      </w:pPr>
      <w:r>
        <w:rPr>
          <w:rFonts w:ascii="Aptos" w:hAnsi="Aptos"/>
        </w:rPr>
        <w:t>☐ Prepare participant information, consent, instruction, questionnaire, interview, and debrief materials.</w:t>
      </w:r>
    </w:p>
    <w:p>
      <w:pPr>
        <w:widowControl/>
        <w:spacing w:after="60" w:line="269" w:lineRule="auto"/>
        <w:ind w:left="317" w:hanging="317"/>
      </w:pPr>
      <w:r>
        <w:rPr>
          <w:rFonts w:ascii="Aptos" w:hAnsi="Aptos"/>
        </w:rPr>
        <w:t>☐ Pilot the complete procedure with one person not included in the final sample.</w:t>
      </w:r>
    </w:p>
    <w:p>
      <w:pPr>
        <w:widowControl/>
        <w:spacing w:after="60" w:line="269" w:lineRule="auto"/>
        <w:ind w:left="317" w:hanging="317"/>
      </w:pPr>
      <w:r>
        <w:rPr>
          <w:rFonts w:ascii="Aptos" w:hAnsi="Aptos"/>
        </w:rPr>
        <w:t>☐ Define a secure report-submission route.</w:t>
      </w:r>
    </w:p>
    <w:p>
      <w:pPr>
        <w:pStyle w:val="Heading1"/>
      </w:pPr>
      <w:r>
        <w:t>References</w:t>
      </w:r>
    </w:p>
    <w:p>
      <w:pPr>
        <w:widowControl/>
        <w:spacing w:after="120" w:line="269" w:lineRule="auto"/>
      </w:pPr>
      <w:r>
        <w:rPr>
          <w:rFonts w:ascii="Aptos" w:hAnsi="Aptos"/>
        </w:rPr>
        <w:t xml:space="preserve">Braun, V., &amp; Clarke, V. (2006). Using thematic analysis in psychology. </w:t>
      </w:r>
      <w:r>
        <w:rPr>
          <w:rFonts w:ascii="Aptos" w:hAnsi="Aptos"/>
          <w:i/>
        </w:rPr>
        <w:t>Qualitative Research in Psychology, 3</w:t>
      </w:r>
      <w:r>
        <w:rPr>
          <w:rFonts w:ascii="Aptos" w:hAnsi="Aptos"/>
        </w:rPr>
        <w:t>(2), 77–101. https://doi.org/10.1191/1478088706qp063oa</w:t>
      </w:r>
    </w:p>
    <w:p>
      <w:pPr>
        <w:widowControl/>
        <w:spacing w:after="120" w:line="269" w:lineRule="auto"/>
      </w:pPr>
      <w:r>
        <w:rPr>
          <w:rFonts w:ascii="Aptos" w:hAnsi="Aptos"/>
        </w:rPr>
        <w:t xml:space="preserve">Brooke, J. (1996). SUS: A “quick and dirty” usability scale. In P. W. Jordan, B. Thomas, B. A. Weerdmeester, &amp; I. L. McClelland (Eds.), </w:t>
      </w:r>
      <w:r>
        <w:rPr>
          <w:rFonts w:ascii="Aptos" w:hAnsi="Aptos"/>
          <w:i/>
        </w:rPr>
        <w:t>Usability Evaluation in Industry</w:t>
      </w:r>
      <w:r>
        <w:rPr>
          <w:rFonts w:ascii="Aptos" w:hAnsi="Aptos"/>
        </w:rPr>
        <w:t xml:space="preserve"> (pp. 189–194). Taylor &amp; Francis.</w:t>
      </w:r>
    </w:p>
    <w:p>
      <w:pPr>
        <w:widowControl/>
        <w:spacing w:after="120" w:line="269" w:lineRule="auto"/>
      </w:pPr>
      <w:r>
        <w:rPr>
          <w:rFonts w:ascii="Aptos" w:hAnsi="Aptos"/>
        </w:rPr>
        <w:t xml:space="preserve">Lee, H.-P. H., Sarkar, A., Tankelevitch, L., Drosos, I., Rintel, S., Banks, R., &amp; Wilson, N. (2025). The impact of generative AI on critical thinking: Self-reported reductions in cognitive effort and confidence effects from a survey of knowledge workers. In </w:t>
      </w:r>
      <w:r>
        <w:rPr>
          <w:rFonts w:ascii="Aptos" w:hAnsi="Aptos"/>
          <w:i/>
        </w:rPr>
        <w:t>Proceedings of the 2025 CHI Conference on Human Factors in Computing Systems</w:t>
      </w:r>
      <w:r>
        <w:rPr>
          <w:rFonts w:ascii="Aptos" w:hAnsi="Aptos"/>
        </w:rPr>
        <w:t xml:space="preserve"> (Article 1121). https://doi.org/10.1145/3706598.3713778</w:t>
      </w:r>
    </w:p>
    <w:p>
      <w:pPr>
        <w:widowControl/>
        <w:spacing w:after="120" w:line="269" w:lineRule="auto"/>
      </w:pPr>
      <w:r>
        <w:rPr>
          <w:rFonts w:ascii="Aptos" w:hAnsi="Aptos"/>
        </w:rPr>
        <w:t xml:space="preserve">OpenAI &amp; MIT Media Lab. (2025). </w:t>
      </w:r>
      <w:r>
        <w:rPr>
          <w:rFonts w:ascii="Aptos" w:hAnsi="Aptos"/>
          <w:i/>
        </w:rPr>
        <w:t>Early methods for studying affective use and emotional well-being on ChatGPT</w:t>
      </w:r>
      <w:r>
        <w:rPr>
          <w:rFonts w:ascii="Aptos" w:hAnsi="Aptos"/>
        </w:rPr>
        <w:t>. https://openai.com/index/affective-use-study/</w:t>
      </w:r>
    </w:p>
    <w:p>
      <w:pPr>
        <w:widowControl/>
        <w:spacing w:after="120" w:line="269" w:lineRule="auto"/>
      </w:pPr>
      <w:r>
        <w:rPr>
          <w:rFonts w:ascii="Aptos" w:hAnsi="Aptos"/>
        </w:rPr>
        <w:t xml:space="preserve">Tankelevitch, L., Kewenig, V., Simkute, A., Scott, A. E., Sarkar, A., Sellen, A., &amp; Rintel, S. (2024). The metacognitive demands and opportunities of generative AI. In </w:t>
      </w:r>
      <w:r>
        <w:rPr>
          <w:rFonts w:ascii="Aptos" w:hAnsi="Aptos"/>
          <w:i/>
        </w:rPr>
        <w:t>Proceedings of the 2024 CHI Conference on Human Factors in Computing Systems</w:t>
      </w:r>
      <w:r>
        <w:rPr>
          <w:rFonts w:ascii="Aptos" w:hAnsi="Aptos"/>
        </w:rPr>
        <w:t xml:space="preserve"> (Article 680). https://doi.org/10.1145/3613904.3642902</w:t>
      </w:r>
    </w:p>
    <w:p>
      <w:pPr>
        <w:pStyle w:val="Heading1"/>
        <w:pageBreakBefore/>
      </w:pPr>
      <w:r>
        <w:t>Appendix A Suggested participant instruction text</w:t>
      </w:r>
    </w:p>
    <w:p>
      <w:pPr>
        <w:widowControl/>
        <w:spacing w:after="160" w:line="269" w:lineRule="auto"/>
        <w:ind w:left="403" w:right="259"/>
      </w:pPr>
      <w:r>
        <w:rPr>
          <w:rFonts w:ascii="Aptos" w:hAnsi="Aptos"/>
          <w:i/>
          <w:color w:val="6E6E73"/>
        </w:rPr>
        <w:t>For seven days, use ChatGPT as you normally would on the computer and browser where My AI Mirror is installed. You do not need to use ChatGPT every day or reach a particular number of prompts. You may view, dismiss, pause, or disable the extension at any time. At the end of the week, generate your PDF report and review it before deciding whether to send it. Please do not send screenshots, exported chats, or raw conversation text. If something appears incorrect or uncomfortable, tell the researcher; you do not need to reveal the content of your conversation.</w:t>
      </w:r>
    </w:p>
    <w:p>
      <w:pPr>
        <w:pStyle w:val="Heading1"/>
      </w:pPr>
      <w:r>
        <w:t>Appendix B Suggested consent statements</w:t>
      </w:r>
    </w:p>
    <w:p>
      <w:pPr>
        <w:widowControl/>
        <w:spacing w:after="120" w:line="269" w:lineRule="auto"/>
      </w:pPr>
      <w:r>
        <w:rPr>
          <w:rFonts w:ascii="Aptos" w:hAnsi="Aptos"/>
        </w:rPr>
        <w:t>Participants should indicate agreement separately to the following:</w:t>
      </w:r>
    </w:p>
    <w:p>
      <w:pPr>
        <w:pStyle w:val="ListBullet"/>
        <w:widowControl/>
        <w:spacing w:after="60" w:line="269" w:lineRule="auto"/>
        <w:ind w:left="346"/>
      </w:pPr>
      <w:r>
        <w:rPr>
          <w:rFonts w:ascii="Aptos" w:hAnsi="Aptos"/>
        </w:rPr>
        <w:t>I have read and understood the participant information sheet.</w:t>
      </w:r>
    </w:p>
    <w:p>
      <w:pPr>
        <w:pStyle w:val="ListBullet"/>
        <w:widowControl/>
        <w:spacing w:after="60" w:line="269" w:lineRule="auto"/>
        <w:ind w:left="346"/>
      </w:pPr>
      <w:r>
        <w:rPr>
          <w:rFonts w:ascii="Aptos" w:hAnsi="Aptos"/>
        </w:rPr>
        <w:t>I have had the opportunity to ask questions.</w:t>
      </w:r>
    </w:p>
    <w:p>
      <w:pPr>
        <w:pStyle w:val="ListBullet"/>
        <w:widowControl/>
        <w:spacing w:after="60" w:line="269" w:lineRule="auto"/>
        <w:ind w:left="346"/>
      </w:pPr>
      <w:r>
        <w:rPr>
          <w:rFonts w:ascii="Aptos" w:hAnsi="Aptos"/>
        </w:rPr>
        <w:t>I understand that participation is voluntary and that I may stop without giving a reason.</w:t>
      </w:r>
    </w:p>
    <w:p>
      <w:pPr>
        <w:pStyle w:val="ListBullet"/>
        <w:widowControl/>
        <w:spacing w:after="60" w:line="269" w:lineRule="auto"/>
        <w:ind w:left="346"/>
      </w:pPr>
      <w:r>
        <w:rPr>
          <w:rFonts w:ascii="Aptos" w:hAnsi="Aptos"/>
        </w:rPr>
        <w:t>I understand what the extension records and what it does not record.</w:t>
      </w:r>
    </w:p>
    <w:p>
      <w:pPr>
        <w:pStyle w:val="ListBullet"/>
        <w:widowControl/>
        <w:spacing w:after="60" w:line="269" w:lineRule="auto"/>
        <w:ind w:left="346"/>
      </w:pPr>
      <w:r>
        <w:rPr>
          <w:rFonts w:ascii="Aptos" w:hAnsi="Aptos"/>
        </w:rPr>
        <w:t>I understand that automated labels may be inaccurate and are not diagnoses.</w:t>
      </w:r>
    </w:p>
    <w:p>
      <w:pPr>
        <w:pStyle w:val="ListBullet"/>
        <w:widowControl/>
        <w:spacing w:after="60" w:line="269" w:lineRule="auto"/>
        <w:ind w:left="346"/>
      </w:pPr>
      <w:r>
        <w:rPr>
          <w:rFonts w:ascii="Aptos" w:hAnsi="Aptos"/>
        </w:rPr>
        <w:t>I agree to use My AI Mirror for a seven-day study period.</w:t>
      </w:r>
    </w:p>
    <w:p>
      <w:pPr>
        <w:pStyle w:val="ListBullet"/>
        <w:widowControl/>
        <w:spacing w:after="60" w:line="269" w:lineRule="auto"/>
        <w:ind w:left="346"/>
      </w:pPr>
      <w:r>
        <w:rPr>
          <w:rFonts w:ascii="Aptos" w:hAnsi="Aptos"/>
        </w:rPr>
        <w:t>I agree to complete the study questionnaires and interview.</w:t>
      </w:r>
    </w:p>
    <w:p>
      <w:pPr>
        <w:pStyle w:val="ListBullet"/>
        <w:widowControl/>
        <w:spacing w:after="60" w:line="269" w:lineRule="auto"/>
        <w:ind w:left="346"/>
      </w:pPr>
      <w:r>
        <w:rPr>
          <w:rFonts w:ascii="Aptos" w:hAnsi="Aptos"/>
        </w:rPr>
        <w:t>I understand that I can inspect the PDF report before deciding whether to send it.</w:t>
      </w:r>
    </w:p>
    <w:p>
      <w:pPr>
        <w:pStyle w:val="ListBullet"/>
        <w:widowControl/>
        <w:spacing w:after="60" w:line="269" w:lineRule="auto"/>
        <w:ind w:left="346"/>
      </w:pPr>
      <w:r>
        <w:rPr>
          <w:rFonts w:ascii="Aptos" w:hAnsi="Aptos"/>
        </w:rPr>
        <w:t>I agree to the researcher storing and analysing the PDF report I choose to submit.</w:t>
      </w:r>
    </w:p>
    <w:p>
      <w:pPr>
        <w:pStyle w:val="ListBullet"/>
        <w:widowControl/>
        <w:spacing w:after="60" w:line="269" w:lineRule="auto"/>
        <w:ind w:left="346"/>
      </w:pPr>
      <w:r>
        <w:rPr>
          <w:rFonts w:ascii="Aptos" w:hAnsi="Aptos"/>
        </w:rPr>
        <w:t>I agree / do not agree to audio recording of the interview.</w:t>
      </w:r>
    </w:p>
    <w:p>
      <w:pPr>
        <w:pStyle w:val="ListBullet"/>
        <w:widowControl/>
        <w:spacing w:after="60" w:line="269" w:lineRule="auto"/>
        <w:ind w:left="346"/>
      </w:pPr>
      <w:r>
        <w:rPr>
          <w:rFonts w:ascii="Aptos" w:hAnsi="Aptos"/>
        </w:rPr>
        <w:t>I agree / do not agree to the use of anonymised quotations in research outputs.</w:t>
      </w:r>
    </w:p>
    <w:p>
      <w:pPr>
        <w:pStyle w:val="ListBullet"/>
        <w:widowControl/>
        <w:spacing w:after="60" w:line="269" w:lineRule="auto"/>
        <w:ind w:left="346"/>
      </w:pPr>
      <w:r>
        <w:rPr>
          <w:rFonts w:ascii="Aptos" w:hAnsi="Aptos"/>
        </w:rPr>
        <w:t>I understand the withdrawal deadline and data-retention period.</w:t>
      </w:r>
    </w:p>
    <w:sectPr w:rsidR="00FC693F" w:rsidRPr="0006063C" w:rsidSect="00034616">
      <w:headerReference w:type="default" r:id="rId9"/>
      <w:footerReference w:type="default" r:id="rId10"/>
      <w:pgSz w:w="12240" w:h="15840"/>
      <w:pgMar w:top="1037"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E6E73"/>
        <w:sz w:val="16"/>
      </w:rPr>
      <w:t xml:space="preserve">MY AI MIRROR   •   </w:t>
    </w:r>
    <w:r>
      <w:rPr>
        <w:rFonts w:ascii="Aptos" w:hAnsi="Aptos"/>
        <w:color w:val="6E6E73"/>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b/>
        <w:color w:val="6E6E73"/>
        <w:sz w:val="16"/>
      </w:rPr>
      <w:t>MY AI MIRROR   |   STUDY PROTOCOL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D1D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Aptos Display" w:hAnsi="Aptos Display"/>
      <w:b/>
      <w:bCs/>
      <w:color w:val="1D1D1F"/>
      <w:sz w:val="4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Display" w:hAnsi="Aptos Display"/>
      <w:b/>
      <w:bCs/>
      <w:color w:val="1D1D1F"/>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D1D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1D1D1F"/>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AI Mirror One Week Field Study Protocol</dc:title>
  <dc:subject>Exploratory field study protocol</dc:subject>
  <dc:creator>python-docx</dc:creator>
  <cp:keywords>My AI Mirror, study protocol, human computer interaction, LLM</cp:keywords>
  <dc:description>generated by python-docx</dc:description>
  <cp:lastModifiedBy/>
  <cp:revision>1</cp:revision>
  <dcterms:created xsi:type="dcterms:W3CDTF">2013-12-23T23:15:00Z</dcterms:created>
  <dcterms:modified xsi:type="dcterms:W3CDTF">2013-12-23T23:15:00Z</dcterms:modified>
  <cp:category/>
</cp:coreProperties>
</file>