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08</w:t>
      </w:r>
    </w:p>
    <w:p>
      <w:pPr>
        <w:spacing w:after="40"/>
      </w:pPr>
      <w:r>
        <w:rPr>
          <w:b/>
          <w:color w:val="1F3A5F"/>
          <w:sz w:val="60"/>
        </w:rPr>
        <w:t>Financial Management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Defines how project costs and funding are estimated, budgeted, managed, controlled and reported (PMBOK 8 Finance performance domain).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PRJ-2026-001-FMP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Finance  |  Focus area(s): Planning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PRJ-2026-001-FMP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Financial Management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 &amp; Financial Parameters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Currency / units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CAD; estimates rounded to nearest [100]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Fiscal year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[e.g. April – March]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Capital / operating split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[Capitalization policy reference]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Chart of accounts / cost centre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[Codes]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Budget workbook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PRJ-2026-001-BUD (doc 09)</w:t>
            </w:r>
          </w:p>
        </w:tc>
      </w:tr>
    </w:tbl>
    <w:p>
      <w:pPr>
        <w:spacing w:after="40"/>
      </w:pPr>
    </w:p>
    <w:p>
      <w:pPr>
        <w:pStyle w:val="Heading1"/>
      </w:pPr>
      <w:r>
        <w:t>2. Cost Estimating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1872"/>
        <w:gridCol w:w="2015"/>
        <w:gridCol w:w="3024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Estimate class</w:t>
            </w:r>
          </w:p>
        </w:tc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Accuracy range</w:t>
            </w:r>
          </w:p>
        </w:tc>
        <w:tc>
          <w:tcPr>
            <w:tcW w:type="dxa" w:w="30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Methods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Rough order of magnitude (ROM)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Initiation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-25% to +75%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Analogous, expert judgement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Budget estimate</w:t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Early planning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-10% to +25%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Parametric, vendor quotes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Definitive estimate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Baseline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-5% to +10%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Bottom-up by work package</w:t>
            </w:r>
          </w:p>
        </w:tc>
      </w:tr>
    </w:tbl>
    <w:p>
      <w:pPr>
        <w:spacing w:after="40"/>
      </w:pPr>
    </w:p>
    <w:p>
      <w:pPr>
        <w:pStyle w:val="Heading1"/>
      </w:pPr>
      <w:r>
        <w:t>3. Cost Breakdown Structure</w:t>
      </w:r>
    </w:p>
    <w:p>
      <w:r>
        <w:rPr>
          <w:b w:val="0"/>
        </w:rPr>
        <w:t>Costs are estimated bottom-up per WBS work package and rolled up to control accounts. Categories: Labour, Contractors/Services, Hardware/Equipment, Software/Licences, Materials, Travel, Training, Facilities, Other.</w:t>
      </w:r>
    </w:p>
    <w:p>
      <w:pPr>
        <w:pStyle w:val="Heading1"/>
      </w:pPr>
      <w:r>
        <w:t>4. Reserves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4176"/>
        <w:gridCol w:w="1728"/>
        <w:gridCol w:w="1728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Reserve</w:t>
            </w:r>
          </w:p>
        </w:tc>
        <w:tc>
          <w:tcPr>
            <w:tcW w:type="dxa" w:w="417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Basis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Held by</w:t>
            </w:r>
          </w:p>
        </w:tc>
        <w:tc>
          <w:tcPr>
            <w:tcW w:type="dxa" w:w="172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Release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Contingency reserve</w:t>
            </w:r>
          </w:p>
        </w:tc>
        <w:tc>
          <w:tcPr>
            <w:tcW w:type="dxa" w:w="41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Quantified risks from Risk Register (doc 16) — [X]% of base estimate or EMV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Per risk response; logged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Management reserve</w:t>
            </w:r>
          </w:p>
        </w:tc>
        <w:tc>
          <w:tcPr>
            <w:tcW w:type="dxa" w:w="41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Unknown-unknowns — [Y]% of cost baseline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Sponsor</w:t>
            </w:r>
          </w:p>
        </w:tc>
        <w:tc>
          <w:tcPr>
            <w:tcW w:type="dxa" w:w="172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Via approved Change Request</w:t>
            </w:r>
          </w:p>
        </w:tc>
      </w:tr>
    </w:tbl>
    <w:p>
      <w:pPr>
        <w:spacing w:after="40"/>
      </w:pPr>
    </w:p>
    <w:p>
      <w:pPr>
        <w:pStyle w:val="Heading1"/>
      </w:pPr>
      <w:r>
        <w:t>5. Cost Baseline &amp; Funding</w:t>
      </w:r>
    </w:p>
    <w:p>
      <w:pPr>
        <w:pStyle w:val="ListBullet"/>
      </w:pPr>
      <w:r>
        <w:t>Cost baseline = time-phased budget (S-curve) incl. contingency, excl. management reserve.</w:t>
      </w:r>
    </w:p>
    <w:p>
      <w:pPr>
        <w:pStyle w:val="ListBullet"/>
      </w:pPr>
      <w:r>
        <w:t>Total project budget = cost baseline + management reserve.</w:t>
      </w:r>
    </w:p>
    <w:p>
      <w:pPr>
        <w:pStyle w:val="ListBullet"/>
      </w:pPr>
      <w:r>
        <w:t>Funding requirements are reconciled with funding limits per fiscal period; gaps escalated to Sponsor.</w:t>
      </w:r>
    </w:p>
    <w:p>
      <w:pPr>
        <w:pStyle w:val="Heading1"/>
      </w:pPr>
      <w:r>
        <w:t>6. Earned Value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3168"/>
        <w:gridCol w:w="4031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403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 Variance (CV)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EV − AC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&gt; 0 under budget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Variance (SV)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EV − PV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&gt; 0 ahead of schedule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CPI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EV / AC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≥ 1.00 favourable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SPI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EV / PV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≥ 1.00 favourable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EAC (typical)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BAC / CPI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Forecast final cost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ETC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EAC − AC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 to finish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VAC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BAC − EAC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Forecast over/under run</w:t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TCPI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(BAC − EV) / (BAC − AC)</w:t>
            </w:r>
          </w:p>
        </w:tc>
        <w:tc>
          <w:tcPr>
            <w:tcW w:type="dxa" w:w="403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Efficiency needed to meet BAC</w:t>
            </w:r>
          </w:p>
        </w:tc>
      </w:tr>
    </w:tbl>
    <w:p>
      <w:pPr>
        <w:spacing w:after="40"/>
      </w:pPr>
    </w:p>
    <w:p>
      <w:pPr>
        <w:pStyle w:val="Heading1"/>
      </w:pPr>
      <w:r>
        <w:t>7. Control Thresholds &amp; Spending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3456"/>
        <w:gridCol w:w="3456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Authority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Single commitment limit (CAD)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Cumulative variance limit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[10,000]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±5% of control account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[100,000]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±10% of BAC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&gt; [100,000]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&gt; 10% of BAC or use of management reserve</w:t>
            </w:r>
          </w:p>
        </w:tc>
      </w:tr>
    </w:tbl>
    <w:p>
      <w:pPr>
        <w:spacing w:after="40"/>
      </w:pPr>
    </w:p>
    <w:p>
      <w:pPr>
        <w:pStyle w:val="Heading1"/>
      </w:pPr>
      <w:r>
        <w:t>8. Financial Reporting &amp; Forecasting</w:t>
      </w:r>
    </w:p>
    <w:p>
      <w:pPr>
        <w:pStyle w:val="ListBullet"/>
      </w:pPr>
      <w:r>
        <w:t>Monthly: actuals from finance system reconciled to budget workbook by [day 5].</w:t>
      </w:r>
    </w:p>
    <w:p>
      <w:pPr>
        <w:pStyle w:val="ListBullet"/>
      </w:pPr>
      <w:r>
        <w:t>Monthly: EVM metrics, EAC and cash-flow forecast reported in Status Report (doc 22).</w:t>
      </w:r>
    </w:p>
    <w:p>
      <w:pPr>
        <w:pStyle w:val="ListBullet"/>
      </w:pPr>
      <w:r>
        <w:t>Quarterly: benefits and business-case review with Sponsor.</w:t>
      </w:r>
    </w:p>
    <w:p>
      <w:pPr>
        <w:pStyle w:val="Heading1"/>
      </w:pPr>
      <w:r>
        <w:t>9. Value &amp; Benefits Tracking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PMBOK 8 emphasizes value delivery: record the financial measures used to confirm the investment remains justified.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2448"/>
        <w:gridCol w:w="2448"/>
        <w:gridCol w:w="2592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24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Business case value</w:t>
            </w:r>
          </w:p>
        </w:tc>
        <w:tc>
          <w:tcPr>
            <w:tcW w:type="dxa" w:w="24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Current forecast</w:t>
            </w:r>
          </w:p>
        </w:tc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NPV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ROI / payback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Annual benefit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 ]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Financial Closure</w:t>
      </w:r>
    </w:p>
    <w:p>
      <w:r>
        <w:rPr>
          <w:b w:val="0"/>
        </w:rPr>
        <w:t>At closure: confirm all invoices paid, accruals cleared, purchase orders closed, assets capitalized and final cost reported in the Closure Report (doc 25).</w:t>
      </w:r>
    </w:p>
    <w:p>
      <w:pPr>
        <w:pStyle w:val="Heading1"/>
      </w:pPr>
      <w:r>
        <w:t>11.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Finance Business Partner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Financial Management Plan</w:t>
    </w:r>
    <w:r>
      <w:rPr>
        <w:b/>
        <w:color w:val="1F3A5F"/>
        <w:sz w:val="17"/>
      </w:rPr>
      <w:tab/>
      <w:t>PRJ-2026-001-FMP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08 - Financial Management Plan</dc:title>
  <dc:subject>[Project Name]</dc:subject>
  <dc:creator>[Project Manager]</dc:creator>
  <cp:keywords>PRJ-2026-001-FMP; PMBOK 8; Finance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