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b/>
          <w:color w:val="13807E"/>
          <w:sz w:val="20"/>
        </w:rPr>
        <w:t>[ORGANIZATION NAME]</w:t>
      </w:r>
    </w:p>
    <w:p>
      <w:r>
        <w:rPr>
          <w:color w:val="6B7785"/>
          <w:sz w:val="20"/>
        </w:rPr>
        <w:t>DOCUMENT 13</w:t>
      </w:r>
    </w:p>
    <w:p>
      <w:pPr>
        <w:spacing w:after="40"/>
      </w:pPr>
      <w:r>
        <w:rPr>
          <w:b/>
          <w:color w:val="1F3A5F"/>
          <w:sz w:val="60"/>
        </w:rPr>
        <w:t>Resource Management Plan</w:t>
      </w:r>
    </w:p>
    <w:p>
      <w:pPr>
        <w:pBdr>
          <w:bottom w:val="single" w:sz="18" w:space="4" w:color="1F3A5F"/>
        </w:pBdr>
      </w:pPr>
      <w:r>
        <w:rPr>
          <w:color w:val="13807E"/>
          <w:sz w:val="32"/>
        </w:rPr>
        <w:t>[Project Name]</w:t>
      </w:r>
    </w:p>
    <w:p>
      <w:pPr>
        <w:spacing w:before="200"/>
      </w:pPr>
      <w:r>
        <w:rPr>
          <w:i/>
          <w:color w:val="6B7785"/>
          <w:sz w:val="22"/>
        </w:rPr>
        <w:t>Defines how team and physical resources are estimated, acquired, developed, managed and released.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736"/>
        <w:gridCol w:w="4896"/>
      </w:tblGrid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name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Name]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Document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PRJ-2026-001-RMP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2026-10-27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Sponsor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Sponsor]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Manager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Manager]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Approver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Classification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</w:tbl>
    <w:p/>
    <w:p>
      <w:r>
        <w:rPr>
          <w:color w:val="6B7785"/>
          <w:sz w:val="17"/>
        </w:rPr>
        <w:t>PMI Predictive Project Management Toolkit  •  Aligned to the PMBOK® Guide – Eighth Edition</w:t>
      </w:r>
    </w:p>
    <w:p>
      <w:r>
        <w:rPr>
          <w:color w:val="6B7785"/>
          <w:sz w:val="17"/>
        </w:rPr>
        <w:t>PMBOK 8 alignment — Performance domain(s): Resources  |  Focus area(s): Planning, Executing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PRJ-2026-001-RMP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title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Resource Management Plan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Project /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Name] / PRJ-2026-001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Current version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Owner / Author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Manager]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Approver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Classification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File location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[SharePoint / repository path]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Next review date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[yyyy-mm-dd]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7"/>
        <w:gridCol w:w="1368"/>
        <w:gridCol w:w="2015"/>
        <w:gridCol w:w="4248"/>
        <w:gridCol w:w="1152"/>
      </w:tblGrid>
      <w:tr>
        <w:trPr>
          <w:tblHeader w:val="true"/>
        </w:trPr>
        <w:tc>
          <w:tcPr>
            <w:tcW w:type="dxa" w:w="100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3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424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Description of change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CR ref.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0.1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2026-10-27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Initial draft created from toolkit template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N/A</w:t>
            </w:r>
          </w:p>
        </w:tc>
      </w:tr>
      <w:tr>
        <w:tc>
          <w:tcPr>
            <w:tcW w:type="dxa" w:w="10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Review &amp; 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60"/>
        <w:gridCol w:w="2304"/>
        <w:gridCol w:w="2015"/>
        <w:gridCol w:w="1296"/>
        <w:gridCol w:w="2015"/>
      </w:tblGrid>
      <w:tr>
        <w:trPr>
          <w:tblHeader w:val="true"/>
        </w:trPr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Approve / Reject</w:t>
            </w:r>
          </w:p>
        </w:tc>
      </w:tr>
      <w:tr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Submitted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[Reviewer role]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Reviewed</w:t>
            </w:r>
          </w:p>
        </w:tc>
      </w:tr>
    </w:tbl>
    <w:p>
      <w:pPr>
        <w:spacing w:after="40"/>
      </w:pPr>
    </w:p>
    <w:p>
      <w:pPr>
        <w:pStyle w:val="Heading2"/>
      </w:pPr>
      <w:r>
        <w:t>Distribution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456"/>
        <w:gridCol w:w="2880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 / Group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Purpose (Action / Information)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Steering Committee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Governance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Information</w:t>
            </w:r>
          </w:p>
        </w:tc>
      </w:tr>
      <w:tr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Core project team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Delivery</w:t>
            </w:r>
          </w:p>
        </w:tc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Action</w:t>
            </w:r>
          </w:p>
        </w:tc>
      </w:tr>
    </w:tbl>
    <w:p>
      <w:pPr>
        <w:spacing w:after="40"/>
      </w:pPr>
    </w:p>
    <w:p>
      <w:r>
        <w:rPr>
          <w:i/>
          <w:color w:val="6B7785"/>
          <w:sz w:val="17"/>
        </w:rPr>
        <w:t>Versioning: 0.x = draft; 1.0 = first approved baseline; 1.x = minor (no baseline impact); 2.0+ = major (requires an approved Change Request, doc 20).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Right-click and choose ‘Update Field’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Purpose &amp; Approach</w:t>
      </w:r>
    </w:p>
    <w:p>
      <w:r>
        <w:rPr>
          <w:b w:val="0"/>
        </w:rPr>
        <w:t>This plan covers human (team) and physical resources. Responsibility assignments are detailed in the RACI Matrix (doc 14); resource costs in the Project Budget (doc 09).</w:t>
      </w:r>
    </w:p>
    <w:p>
      <w:pPr>
        <w:pStyle w:val="Heading1"/>
      </w:pPr>
      <w:r>
        <w:t>2. Project Organization</w:t>
      </w:r>
    </w:p>
    <w:p>
      <w:pPr>
        <w:ind w:left="170"/>
        <w:pBdr>
          <w:left w:val="single" w:sz="12" w:space="8" w:color="13807E"/>
        </w:pBdr>
      </w:pPr>
      <w:r>
        <w:rPr>
          <w:b/>
          <w:color w:val="2F6E9E"/>
          <w:sz w:val="18"/>
        </w:rPr>
        <w:t xml:space="preserve">Guidance: </w:t>
      </w:r>
      <w:r>
        <w:rPr>
          <w:i/>
          <w:color w:val="2F6E9E"/>
          <w:sz w:val="18"/>
        </w:rPr>
        <w:t>Insert or link the project organization chart (Sponsor → Steering Committee → Project Manager → workstream leads → team members).</w:t>
      </w:r>
    </w:p>
    <w:p>
      <w:r>
        <w:rPr>
          <w:color w:val="6B7785"/>
        </w:rPr>
        <w:t>[Organization chart]</w:t>
      </w:r>
    </w:p>
    <w:p>
      <w:pPr>
        <w:pStyle w:val="Heading1"/>
      </w:pPr>
      <w:r>
        <w:t>3. Roles, Responsibilities &amp; Competencies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72"/>
        <w:gridCol w:w="2736"/>
        <w:gridCol w:w="2015"/>
        <w:gridCol w:w="2015"/>
        <w:gridCol w:w="1152"/>
      </w:tblGrid>
      <w:tr>
        <w:trPr>
          <w:tblHeader w:val="true"/>
        </w:trPr>
        <w:tc>
          <w:tcPr>
            <w:tcW w:type="dxa" w:w="187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Role</w:t>
            </w:r>
          </w:p>
        </w:tc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Responsibilities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Authority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Required competencies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Allocation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Project Sponsor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Business case, funding, escalations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Approves baselines &amp; reserve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Executive leadership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10%</w:t>
            </w:r>
          </w:p>
        </w:tc>
      </w:tr>
      <w:tr>
        <w:tc>
          <w:tcPr>
            <w:tcW w:type="dxa" w:w="18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Project Manager</w:t>
            </w:r>
          </w:p>
        </w:tc>
        <w:tc>
          <w:tcPr>
            <w:tcW w:type="dxa" w:w="273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Integrated planning, control, reporting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Within delegated tolerances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PMP, stakeholder mgmt</w:t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100%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Business Analyst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Requirements, traceability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Requirement sign-off prep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Elicitation, modelling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[ ]%</w:t>
            </w:r>
          </w:p>
        </w:tc>
      </w:tr>
      <w:tr>
        <w:tc>
          <w:tcPr>
            <w:tcW w:type="dxa" w:w="18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Technical Lead</w:t>
            </w:r>
          </w:p>
        </w:tc>
        <w:tc>
          <w:tcPr>
            <w:tcW w:type="dxa" w:w="273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Solution design, technical quality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Technical decisions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[Domain expertise]</w:t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[ ]%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QA Lead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Quality assurance &amp; testing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Accept/reject test results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Test management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[ ]%</w:t>
            </w:r>
          </w:p>
        </w:tc>
      </w:tr>
      <w:tr>
        <w:tc>
          <w:tcPr>
            <w:tcW w:type="dxa" w:w="18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[Role]</w:t>
            </w:r>
          </w:p>
        </w:tc>
        <w:tc>
          <w:tcPr>
            <w:tcW w:type="dxa" w:w="273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Resource Estimation &amp; Acquisition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15"/>
        <w:gridCol w:w="576"/>
        <w:gridCol w:w="2160"/>
        <w:gridCol w:w="1152"/>
        <w:gridCol w:w="1152"/>
        <w:gridCol w:w="2736"/>
      </w:tblGrid>
      <w:tr>
        <w:trPr>
          <w:tblHeader w:val="true"/>
        </w:trPr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Role / resource</w:t>
            </w:r>
          </w:p>
        </w:tc>
        <w:tc>
          <w:tcPr>
            <w:tcW w:type="dxa" w:w="57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Source (internal / contract)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Start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End</w:t>
            </w:r>
          </w:p>
        </w:tc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Acquisition method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[Role]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[Internal – dept]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[date]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[date]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[Functional manager agreement]</w:t>
            </w:r>
          </w:p>
        </w:tc>
      </w:tr>
      <w:tr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[Role]</w:t>
            </w:r>
          </w:p>
        </w:tc>
        <w:tc>
          <w:tcPr>
            <w:tcW w:type="dxa" w:w="57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[Contractor]</w:t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73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[Procurement – doc 18]</w:t>
            </w:r>
          </w:p>
        </w:tc>
      </w:tr>
    </w:tbl>
    <w:p>
      <w:pPr>
        <w:spacing w:after="40"/>
      </w:pPr>
    </w:p>
    <w:p>
      <w:pPr>
        <w:pStyle w:val="Heading1"/>
      </w:pPr>
      <w:r>
        <w:t>5. Physical Resources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04"/>
        <w:gridCol w:w="2160"/>
        <w:gridCol w:w="720"/>
        <w:gridCol w:w="1728"/>
        <w:gridCol w:w="1440"/>
        <w:gridCol w:w="1440"/>
      </w:tblGrid>
      <w:tr>
        <w:trPr>
          <w:tblHeader w:val="true"/>
        </w:trPr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Resource</w:t>
            </w:r>
          </w:p>
        </w:tc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Specification</w:t>
            </w:r>
          </w:p>
        </w:tc>
        <w:tc>
          <w:tcPr>
            <w:tcW w:type="dxa" w:w="72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172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Needed from / to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Source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[Equipment / facility / licence]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7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72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72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Resource Calendars &amp; Release</w:t>
      </w:r>
    </w:p>
    <w:p>
      <w:pPr>
        <w:pStyle w:val="ListBullet"/>
      </w:pPr>
      <w:r>
        <w:t>Availability, holidays and part-time allocations are recorded in the scheduling tool.</w:t>
      </w:r>
    </w:p>
    <w:p>
      <w:pPr>
        <w:pStyle w:val="ListBullet"/>
      </w:pPr>
      <w:r>
        <w:t>Onboarding checklist: access, induction, project orientation, safety briefing, tools.</w:t>
      </w:r>
    </w:p>
    <w:p>
      <w:pPr>
        <w:pStyle w:val="ListBullet"/>
      </w:pPr>
      <w:r>
        <w:t>Release: knowledge transfer, performance feedback to functional manager, access revoked, assets returned.</w:t>
      </w:r>
    </w:p>
    <w:p>
      <w:pPr>
        <w:pStyle w:val="Heading1"/>
      </w:pPr>
      <w:r>
        <w:t>7. Team Development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2"/>
        <w:gridCol w:w="4031"/>
        <w:gridCol w:w="1728"/>
        <w:gridCol w:w="1440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Need</w:t>
            </w:r>
          </w:p>
        </w:tc>
        <w:tc>
          <w:tcPr>
            <w:tcW w:type="dxa" w:w="403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Training / development action</w:t>
            </w:r>
          </w:p>
        </w:tc>
        <w:tc>
          <w:tcPr>
            <w:tcW w:type="dxa" w:w="172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Who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[Skill gap]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[Course / coaching / pairing]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[Name]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[Date]</w:t>
            </w:r>
          </w:p>
        </w:tc>
      </w:tr>
    </w:tbl>
    <w:p>
      <w:pPr>
        <w:spacing w:after="40"/>
      </w:pPr>
    </w:p>
    <w:p>
      <w:pPr>
        <w:pStyle w:val="Heading2"/>
      </w:pPr>
      <w:r>
        <w:t>Team Charter &amp; Ground Rules</w:t>
      </w:r>
    </w:p>
    <w:p>
      <w:pPr>
        <w:ind w:left="170"/>
        <w:pBdr>
          <w:left w:val="single" w:sz="12" w:space="8" w:color="13807E"/>
        </w:pBdr>
      </w:pPr>
      <w:r>
        <w:rPr>
          <w:b/>
          <w:color w:val="2F6E9E"/>
          <w:sz w:val="18"/>
        </w:rPr>
        <w:t xml:space="preserve">Guidance: </w:t>
      </w:r>
      <w:r>
        <w:rPr>
          <w:i/>
          <w:color w:val="2F6E9E"/>
          <w:sz w:val="18"/>
        </w:rPr>
        <w:t>PMBOK 8 principle 'Build empowered teams': agree values, working agreements, decision-making and communication norms with the team.</w:t>
      </w:r>
    </w:p>
    <w:p>
      <w:pPr>
        <w:pStyle w:val="ListBullet"/>
      </w:pPr>
      <w:r>
        <w:t>Core hours and response times: [ ]</w:t>
      </w:r>
    </w:p>
    <w:p>
      <w:pPr>
        <w:pStyle w:val="ListBullet"/>
      </w:pPr>
      <w:r>
        <w:t>Decision-making: [consensus / consult-then-decide]</w:t>
      </w:r>
    </w:p>
    <w:p>
      <w:pPr>
        <w:pStyle w:val="ListBullet"/>
      </w:pPr>
      <w:r>
        <w:t>Meeting etiquette: agenda, timebox, actions recorded</w:t>
      </w:r>
    </w:p>
    <w:p>
      <w:pPr>
        <w:pStyle w:val="ListBullet"/>
      </w:pPr>
      <w:r>
        <w:t>Psychological safety and respectful challenge</w:t>
      </w:r>
    </w:p>
    <w:p>
      <w:pPr>
        <w:pStyle w:val="Heading1"/>
      </w:pPr>
      <w:r>
        <w:t>8. Recognition, Performance &amp; Conflict</w:t>
      </w:r>
    </w:p>
    <w:p>
      <w:pPr>
        <w:pStyle w:val="ListBullet"/>
      </w:pPr>
      <w:r>
        <w:rPr>
          <w:b/>
        </w:rPr>
        <w:t xml:space="preserve">Recognition: </w:t>
      </w:r>
      <w:r>
        <w:t>[Milestone celebrations, peer recognition, input to performance reviews]</w:t>
      </w:r>
    </w:p>
    <w:p>
      <w:pPr>
        <w:pStyle w:val="ListBullet"/>
      </w:pPr>
      <w:r>
        <w:rPr>
          <w:b/>
        </w:rPr>
        <w:t xml:space="preserve">Performance: </w:t>
      </w:r>
      <w:r>
        <w:t>PM provides input to functional managers each [quarter]</w:t>
      </w:r>
    </w:p>
    <w:p>
      <w:pPr>
        <w:pStyle w:val="ListBullet"/>
      </w:pPr>
      <w:r>
        <w:rPr>
          <w:b/>
        </w:rPr>
        <w:t xml:space="preserve">Conflict resolution: </w:t>
      </w:r>
      <w:r>
        <w:t>Collaborate/problem-solve first; escalate to Sponsor if unresolved in [5] days</w:t>
      </w:r>
    </w:p>
    <w:p>
      <w:pPr>
        <w:pStyle w:val="Heading1"/>
      </w:pPr>
      <w:r>
        <w:t>9. Health, Safety &amp; Compliance</w:t>
      </w:r>
    </w:p>
    <w:p>
      <w:r>
        <w:rPr>
          <w:color w:val="6B7785"/>
        </w:rPr>
        <w:t>[Applicable HSE requirements, site access rules, labour agreements]</w:t>
      </w:r>
    </w:p>
    <w:p>
      <w:pPr>
        <w:pStyle w:val="Heading1"/>
      </w:pPr>
      <w:r>
        <w:t>10. Approval</w:t>
      </w:r>
    </w:p>
    <w:p>
      <w:r>
        <w:rPr>
          <w:b w:val="0"/>
        </w:rPr>
        <w:t>By signing below, the approvers confirm they have reviewed this document and accept it as the baseline for the project. Subsequent baseline changes follow integrated change control.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2"/>
        <w:gridCol w:w="2880"/>
        <w:gridCol w:w="2880"/>
        <w:gridCol w:w="1440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24" w:bottom="1152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792" w:val="right"/>
      </w:tabs>
    </w:pPr>
    <w:r>
      <w:rPr>
        <w:color w:val="6B7785"/>
        <w:sz w:val="16"/>
      </w:rPr>
      <w:t>[Organization Name]  •  Classification: Internal  •  PMI Predictive Project Management Toolkit</w:t>
    </w:r>
    <w:r>
      <w:rPr>
        <w:color w:val="6B7785"/>
        <w:sz w:val="16"/>
      </w:rPr>
      <w:tab/>
      <w:t xml:space="preserve">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B7785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792" w:val="right"/>
      </w:tabs>
      <w:pBdr>
        <w:bottom w:val="single" w:sz="8" w:space="4" w:color="13807E"/>
      </w:pBdr>
    </w:pPr>
    <w:r/>
    <w:r>
      <w:rPr>
        <w:color w:val="6B7785"/>
        <w:sz w:val="17"/>
      </w:rPr>
      <w:t>[Project Name]  |  Resource Management Plan</w:t>
    </w:r>
    <w:r>
      <w:rPr>
        <w:b/>
        <w:color w:val="1F3A5F"/>
        <w:sz w:val="17"/>
      </w:rPr>
      <w:tab/>
      <w:t>PRJ-2026-001-RMP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E2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cs="Calibri" w:eastAsia="Calibri"/>
      <w:b/>
      <w:bCs/>
      <w:i w:val="0"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cs="Calibri" w:eastAsia="Calibri"/>
      <w:b/>
      <w:bCs/>
      <w:i w:val="0"/>
      <w:color w:val="1380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cs="Calibri" w:eastAsia="Calibri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13 - Resource Management Plan</dc:title>
  <dc:subject>[Project Name]</dc:subject>
  <dc:creator>[Project Manager]</dc:creator>
  <cp:keywords>PRJ-2026-001-RMP; PMBOK 8; Resources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PMI Predictive Project Management Toolkit</cp:category>
</cp:coreProperties>
</file>