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13807E"/>
          <w:sz w:val="20"/>
        </w:rPr>
        <w:t>[ORGANIZATION NAME]</w:t>
      </w:r>
    </w:p>
    <w:p>
      <w:r>
        <w:rPr>
          <w:color w:val="6B7785"/>
          <w:sz w:val="20"/>
        </w:rPr>
        <w:t>DOCUMENT 15</w:t>
      </w:r>
    </w:p>
    <w:p>
      <w:pPr>
        <w:spacing w:after="40"/>
      </w:pPr>
      <w:r>
        <w:rPr>
          <w:b/>
          <w:color w:val="1F3A5F"/>
          <w:sz w:val="60"/>
        </w:rPr>
        <w:t>Risk Management Plan</w:t>
      </w:r>
    </w:p>
    <w:p>
      <w:pPr>
        <w:pBdr>
          <w:bottom w:val="single" w:sz="18" w:space="4" w:color="1F3A5F"/>
        </w:pBdr>
      </w:pPr>
      <w:r>
        <w:rPr>
          <w:color w:val="13807E"/>
          <w:sz w:val="32"/>
        </w:rPr>
        <w:t>[Project Name]</w:t>
      </w:r>
    </w:p>
    <w:p>
      <w:pPr>
        <w:spacing w:before="200"/>
      </w:pPr>
      <w:r>
        <w:rPr>
          <w:i/>
          <w:color w:val="6B7785"/>
          <w:sz w:val="22"/>
        </w:rPr>
        <w:t>Defines how risk management activities will be structured and performed, including scales, thresholds and the 5×5 probability-impact matrix used in the Risk Register (doc 16).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36"/>
        <w:gridCol w:w="4896"/>
      </w:tblGrid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name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Name]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PRJ-2026-001-RKP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2026-10-27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Sponsor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Sponsor]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Manager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Manager]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Approver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</w:tbl>
    <w:p/>
    <w:p>
      <w:r>
        <w:rPr>
          <w:color w:val="6B7785"/>
          <w:sz w:val="17"/>
        </w:rPr>
        <w:t>PMI Predictive Project Management Toolkit  •  Aligned to the PMBOK® Guide – Eighth Edition</w:t>
      </w:r>
    </w:p>
    <w:p>
      <w:r>
        <w:rPr>
          <w:color w:val="6B7785"/>
          <w:sz w:val="17"/>
        </w:rPr>
        <w:t>PMBOK 8 alignment — Performance domain(s): Risk  |  Focus area(s): Planning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PRJ-2026-001-RKP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title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Risk Management Plan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/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Name] / PRJ-2026-001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Current version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Owner / Author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Manager]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Approver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Classification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File location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[SharePoint / repository path]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Next review date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[yyyy-mm-dd]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7"/>
        <w:gridCol w:w="1368"/>
        <w:gridCol w:w="2015"/>
        <w:gridCol w:w="4248"/>
        <w:gridCol w:w="1152"/>
      </w:tblGrid>
      <w:tr>
        <w:trPr>
          <w:tblHeader w:val="true"/>
        </w:trPr>
        <w:tc>
          <w:tcPr>
            <w:tcW w:type="dxa" w:w="10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42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 of change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CR ref.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2026-10-27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Initial draft created from toolkit template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N/A</w:t>
            </w:r>
          </w:p>
        </w:tc>
      </w:tr>
      <w:tr>
        <w:tc>
          <w:tcPr>
            <w:tcW w:type="dxa" w:w="10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Review &amp;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60"/>
        <w:gridCol w:w="2304"/>
        <w:gridCol w:w="2015"/>
        <w:gridCol w:w="1296"/>
        <w:gridCol w:w="2015"/>
      </w:tblGrid>
      <w:tr>
        <w:trPr>
          <w:tblHeader w:val="true"/>
        </w:trPr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 / Reject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Submitted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[Reviewer role]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Reviewed</w:t>
            </w:r>
          </w:p>
        </w:tc>
      </w:tr>
    </w:tbl>
    <w:p>
      <w:pPr>
        <w:spacing w:after="40"/>
      </w:pPr>
    </w:p>
    <w:p>
      <w:pPr>
        <w:pStyle w:val="Heading2"/>
      </w:pPr>
      <w:r>
        <w:t>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56"/>
        <w:gridCol w:w="2880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 / Group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Purpose (Action / Information)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Information</w:t>
            </w:r>
          </w:p>
        </w:tc>
      </w:tr>
      <w:tr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Core project team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Delivery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Action</w:t>
            </w:r>
          </w:p>
        </w:tc>
      </w:tr>
    </w:tbl>
    <w:p>
      <w:pPr>
        <w:spacing w:after="40"/>
      </w:pPr>
    </w:p>
    <w:p>
      <w:r>
        <w:rPr>
          <w:i/>
          <w:color w:val="6B7785"/>
          <w:sz w:val="17"/>
        </w:rPr>
        <w:t>Versioning: 0.x = draft; 1.0 = first approved baseline; 1.x = minor (no baseline impact); 2.0+ = major (requires an approved Change Request, doc 20).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and choose ‘Update Field’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Methodology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04"/>
        <w:gridCol w:w="5183"/>
        <w:gridCol w:w="2304"/>
      </w:tblGrid>
      <w:tr>
        <w:trPr>
          <w:tblHeader w:val="true"/>
        </w:trPr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Process</w:t>
            </w:r>
          </w:p>
        </w:tc>
        <w:tc>
          <w:tcPr>
            <w:tcW w:type="dxa" w:w="518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Approach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Identify risks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Workshops, checklists (RBS), assumption analysis, SWOT, expert interviews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Planning + ongoing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Qualitative analysis</w:t>
            </w:r>
          </w:p>
        </w:tc>
        <w:tc>
          <w:tcPr>
            <w:tcW w:type="dxa" w:w="518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Probability × impact on 5×5 matrix; proximity; urgency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On identification, monthly review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Quantitative analysis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EMV, three-point estimates, Monte Carlo (if project size warrants)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Baseline &amp; major changes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Plan responses</w:t>
            </w:r>
          </w:p>
        </w:tc>
        <w:tc>
          <w:tcPr>
            <w:tcW w:type="dxa" w:w="518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Strategy + owner + actions + due date + residual score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Within [5] days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Implement &amp; monitor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Track triggers, actions, new/closed risks; risk audits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Weekly / monthly</w:t>
            </w:r>
          </w:p>
        </w:tc>
      </w:tr>
    </w:tbl>
    <w:p>
      <w:pPr>
        <w:spacing w:after="40"/>
      </w:pPr>
    </w:p>
    <w:p>
      <w:pPr>
        <w:pStyle w:val="Heading1"/>
      </w:pPr>
      <w:r>
        <w:t>2.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720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720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Sets risk appetite; owns escalated risks; releases management reserve</w:t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720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Owns this plan and register; facilitates reviews; reports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Risk owner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Monitors trigger, implements responses, reports status</w:t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Team members</w:t>
            </w:r>
          </w:p>
        </w:tc>
        <w:tc>
          <w:tcPr>
            <w:tcW w:type="dxa" w:w="720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Identify and report risks continuously</w:t>
            </w:r>
          </w:p>
        </w:tc>
      </w:tr>
    </w:tbl>
    <w:p>
      <w:pPr>
        <w:spacing w:after="40"/>
      </w:pPr>
    </w:p>
    <w:p>
      <w:pPr>
        <w:pStyle w:val="Heading1"/>
      </w:pPr>
      <w:r>
        <w:t>3. Risk Breakdown Structure (Categories)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rPr>
          <w:tblHeader w:val="true"/>
        </w:trPr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691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Technical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Requirements, technology, complexity, interfaces, performance, quality</w:t>
            </w:r>
          </w:p>
        </w:tc>
      </w:tr>
      <w:tr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External</w:t>
            </w:r>
          </w:p>
        </w:tc>
        <w:tc>
          <w:tcPr>
            <w:tcW w:type="dxa" w:w="69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Vendors, regulatory, market, weather, client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Organizational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Resources, funding, priorities, dependencies on other projects</w:t>
            </w:r>
          </w:p>
        </w:tc>
      </w:tr>
      <w:tr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management</w:t>
            </w:r>
          </w:p>
        </w:tc>
        <w:tc>
          <w:tcPr>
            <w:tcW w:type="dxa" w:w="69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Estimating, planning, control, communication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Health, safety &amp; environment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Site safety, environmental compliance, sustainability</w:t>
            </w:r>
          </w:p>
        </w:tc>
      </w:tr>
    </w:tbl>
    <w:p>
      <w:pPr>
        <w:spacing w:after="40"/>
      </w:pPr>
    </w:p>
    <w:p>
      <w:pPr>
        <w:pStyle w:val="Heading1"/>
      </w:pPr>
      <w:r>
        <w:t>4. Probability Scale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52"/>
        <w:gridCol w:w="2304"/>
        <w:gridCol w:w="6335"/>
      </w:tblGrid>
      <w:tr>
        <w:trPr>
          <w:tblHeader w:val="true"/>
        </w:trPr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Level</w:t>
            </w:r>
          </w:p>
        </w:tc>
        <w:tc>
          <w:tcPr>
            <w:tcW w:type="dxa" w:w="63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Very high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&gt; 80%</w:t>
            </w:r>
          </w:p>
        </w:tc>
      </w:tr>
      <w:tr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633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61% – 80%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41% – 60%</w:t>
            </w:r>
          </w:p>
        </w:tc>
      </w:tr>
      <w:tr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633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21% – 40%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Very low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≤ 20%</w:t>
            </w:r>
          </w:p>
        </w:tc>
      </w:tr>
    </w:tbl>
    <w:p>
      <w:pPr>
        <w:spacing w:after="40"/>
      </w:pPr>
    </w:p>
    <w:p>
      <w:pPr>
        <w:pStyle w:val="Heading1"/>
      </w:pPr>
      <w:r>
        <w:t>5. Impact Scale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83"/>
        <w:gridCol w:w="1583"/>
        <w:gridCol w:w="2015"/>
        <w:gridCol w:w="2304"/>
        <w:gridCol w:w="2304"/>
      </w:tblGrid>
      <w:tr>
        <w:trPr>
          <w:tblHeader w:val="true"/>
        </w:trPr>
        <w:tc>
          <w:tcPr>
            <w:tcW w:type="dxa" w:w="158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Score</w:t>
            </w:r>
          </w:p>
        </w:tc>
        <w:tc>
          <w:tcPr>
            <w:tcW w:type="dxa" w:w="158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Cost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Schedule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Scope / quality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Safety / reputation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5 Very high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&gt; 20% BAC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&gt; 20% / misses gate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Product unusable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Serious injury / national media</w:t>
            </w:r>
          </w:p>
        </w:tc>
      </w:tr>
      <w:tr>
        <w:tc>
          <w:tcPr>
            <w:tcW w:type="dxa" w:w="158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4 High</w:t>
            </w:r>
          </w:p>
        </w:tc>
        <w:tc>
          <w:tcPr>
            <w:tcW w:type="dxa" w:w="158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10–20%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10–20%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Unacceptable to sponsor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Lost-time injury / regulator action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3 Medium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5–10%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5–10%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Major areas affected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Medical aid / local media</w:t>
            </w:r>
          </w:p>
        </w:tc>
      </w:tr>
      <w:tr>
        <w:tc>
          <w:tcPr>
            <w:tcW w:type="dxa" w:w="158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2 Low</w:t>
            </w:r>
          </w:p>
        </w:tc>
        <w:tc>
          <w:tcPr>
            <w:tcW w:type="dxa" w:w="158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1–5%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1–5%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Minor areas affected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First aid / internal complaint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1 Very low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&lt; 1%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&lt; 1%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Barely noticeable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Negligible</w:t>
            </w:r>
          </w:p>
        </w:tc>
      </w:tr>
    </w:tbl>
    <w:p>
      <w:pPr>
        <w:spacing w:after="40"/>
      </w:pPr>
    </w:p>
    <w:p>
      <w:pPr>
        <w:pStyle w:val="Heading1"/>
      </w:pPr>
      <w:r>
        <w:t>6. Probability × Impact Matrix (5×5)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152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 \ I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5</w:t>
            </w:r>
          </w:p>
        </w:tc>
        <w:tc>
          <w:tcPr>
            <w:tcW w:type="dxa" w:w="1440"/>
            <w:vAlign w:val="center"/>
            <w:shd w:val="clear" w:color="auto" w:fill="E0A100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E2A36"/>
                <w:sz w:val="19"/>
              </w:rPr>
              <w:t>5</w:t>
            </w:r>
          </w:p>
        </w:tc>
        <w:tc>
          <w:tcPr>
            <w:tcW w:type="dxa" w:w="1440"/>
            <w:vAlign w:val="center"/>
            <w:shd w:val="clear" w:color="auto" w:fill="E67E22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10</w:t>
            </w:r>
          </w:p>
        </w:tc>
        <w:tc>
          <w:tcPr>
            <w:tcW w:type="dxa" w:w="1440"/>
            <w:vAlign w:val="center"/>
            <w:shd w:val="clear" w:color="auto" w:fill="E67E22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15</w:t>
            </w:r>
          </w:p>
        </w:tc>
        <w:tc>
          <w:tcPr>
            <w:tcW w:type="dxa" w:w="1440"/>
            <w:vAlign w:val="center"/>
            <w:shd w:val="clear" w:color="auto" w:fill="C0392B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20</w:t>
            </w:r>
          </w:p>
        </w:tc>
        <w:tc>
          <w:tcPr>
            <w:tcW w:type="dxa" w:w="1440"/>
            <w:vAlign w:val="center"/>
            <w:shd w:val="clear" w:color="auto" w:fill="C0392B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25</w:t>
            </w:r>
          </w:p>
        </w:tc>
      </w:tr>
      <w:tr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440"/>
            <w:vAlign w:val="center"/>
            <w:shd w:val="clear" w:color="auto" w:fill="2E8B57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440"/>
            <w:vAlign w:val="center"/>
            <w:shd w:val="clear" w:color="auto" w:fill="E0A100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E2A36"/>
                <w:sz w:val="19"/>
              </w:rPr>
              <w:t>8</w:t>
            </w:r>
          </w:p>
        </w:tc>
        <w:tc>
          <w:tcPr>
            <w:tcW w:type="dxa" w:w="1440"/>
            <w:vAlign w:val="center"/>
            <w:shd w:val="clear" w:color="auto" w:fill="E67E22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12</w:t>
            </w:r>
          </w:p>
        </w:tc>
        <w:tc>
          <w:tcPr>
            <w:tcW w:type="dxa" w:w="1440"/>
            <w:vAlign w:val="center"/>
            <w:shd w:val="clear" w:color="auto" w:fill="C0392B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16</w:t>
            </w:r>
          </w:p>
        </w:tc>
        <w:tc>
          <w:tcPr>
            <w:tcW w:type="dxa" w:w="1440"/>
            <w:vAlign w:val="center"/>
            <w:shd w:val="clear" w:color="auto" w:fill="C0392B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20</w:t>
            </w:r>
          </w:p>
        </w:tc>
      </w:tr>
      <w:tr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440"/>
            <w:vAlign w:val="center"/>
            <w:shd w:val="clear" w:color="auto" w:fill="2E8B57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440"/>
            <w:vAlign w:val="center"/>
            <w:shd w:val="clear" w:color="auto" w:fill="E0A100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E2A36"/>
                <w:sz w:val="19"/>
              </w:rPr>
              <w:t>6</w:t>
            </w:r>
          </w:p>
        </w:tc>
        <w:tc>
          <w:tcPr>
            <w:tcW w:type="dxa" w:w="1440"/>
            <w:vAlign w:val="center"/>
            <w:shd w:val="clear" w:color="auto" w:fill="E0A100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E2A36"/>
                <w:sz w:val="19"/>
              </w:rPr>
              <w:t>9</w:t>
            </w:r>
          </w:p>
        </w:tc>
        <w:tc>
          <w:tcPr>
            <w:tcW w:type="dxa" w:w="1440"/>
            <w:vAlign w:val="center"/>
            <w:shd w:val="clear" w:color="auto" w:fill="E67E22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12</w:t>
            </w:r>
          </w:p>
        </w:tc>
        <w:tc>
          <w:tcPr>
            <w:tcW w:type="dxa" w:w="1440"/>
            <w:vAlign w:val="center"/>
            <w:shd w:val="clear" w:color="auto" w:fill="E67E22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15</w:t>
            </w:r>
          </w:p>
        </w:tc>
      </w:tr>
      <w:tr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440"/>
            <w:vAlign w:val="center"/>
            <w:shd w:val="clear" w:color="auto" w:fill="2E8B57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440"/>
            <w:vAlign w:val="center"/>
            <w:shd w:val="clear" w:color="auto" w:fill="2E8B57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440"/>
            <w:vAlign w:val="center"/>
            <w:shd w:val="clear" w:color="auto" w:fill="E0A100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E2A36"/>
                <w:sz w:val="19"/>
              </w:rPr>
              <w:t>6</w:t>
            </w:r>
          </w:p>
        </w:tc>
        <w:tc>
          <w:tcPr>
            <w:tcW w:type="dxa" w:w="1440"/>
            <w:vAlign w:val="center"/>
            <w:shd w:val="clear" w:color="auto" w:fill="E0A100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E2A36"/>
                <w:sz w:val="19"/>
              </w:rPr>
              <w:t>8</w:t>
            </w:r>
          </w:p>
        </w:tc>
        <w:tc>
          <w:tcPr>
            <w:tcW w:type="dxa" w:w="1440"/>
            <w:vAlign w:val="center"/>
            <w:shd w:val="clear" w:color="auto" w:fill="E67E22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10</w:t>
            </w:r>
          </w:p>
        </w:tc>
      </w:tr>
      <w:tr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440"/>
            <w:vAlign w:val="center"/>
            <w:shd w:val="clear" w:color="auto" w:fill="2E8B57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440"/>
            <w:vAlign w:val="center"/>
            <w:shd w:val="clear" w:color="auto" w:fill="2E8B57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440"/>
            <w:vAlign w:val="center"/>
            <w:shd w:val="clear" w:color="auto" w:fill="2E8B57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440"/>
            <w:vAlign w:val="center"/>
            <w:shd w:val="clear" w:color="auto" w:fill="2E8B57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440"/>
            <w:vAlign w:val="center"/>
            <w:shd w:val="clear" w:color="auto" w:fill="E0A100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E2A36"/>
                <w:sz w:val="19"/>
              </w:rPr>
              <w:t>5</w:t>
            </w:r>
          </w:p>
        </w:tc>
      </w:tr>
    </w:tbl>
    <w:p>
      <w:r>
        <w:rPr>
          <w:b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40"/>
        <w:gridCol w:w="1440"/>
        <w:gridCol w:w="6912"/>
      </w:tblGrid>
      <w:tr>
        <w:trPr>
          <w:tblHeader w:val="true"/>
        </w:trPr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691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16 – 25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Critical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Escalate to Sponsor/Steering Committee within 24 h; response plan mandatory; weekly review</w:t>
            </w:r>
          </w:p>
        </w:tc>
      </w:tr>
      <w:tr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10 – 15</w:t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69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Response plan within 5 days; PM reviews weekly; report in status report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 – 9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Response plan; monitor monthly</w:t>
            </w:r>
          </w:p>
        </w:tc>
      </w:tr>
      <w:tr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– 4</w:t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69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Accept and monitor via watch list</w:t>
            </w:r>
          </w:p>
        </w:tc>
      </w:tr>
    </w:tbl>
    <w:p>
      <w:pPr>
        <w:spacing w:after="40"/>
      </w:pPr>
    </w:p>
    <w:p>
      <w:pPr>
        <w:pStyle w:val="Heading1"/>
      </w:pPr>
      <w:r>
        <w:t>7. Risk Appetite &amp; Thresholds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Overall appetite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[Averse / Cautious / Balanced / Open]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Cost threshold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Risks with EMV &gt; CAD [ ] require Sponsor visibility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Schedule threshold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Any risk threatening a gate milestone is escalated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Safety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Zero tolerance — all safety risks treated as at least High</w:t>
            </w:r>
          </w:p>
        </w:tc>
      </w:tr>
    </w:tbl>
    <w:p>
      <w:pPr>
        <w:spacing w:after="40"/>
      </w:pPr>
    </w:p>
    <w:p>
      <w:pPr>
        <w:pStyle w:val="Heading1"/>
      </w:pPr>
      <w:r>
        <w:t>8. Response Strategies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04"/>
        <w:gridCol w:w="2015"/>
        <w:gridCol w:w="5472"/>
      </w:tblGrid>
      <w:tr>
        <w:trPr>
          <w:tblHeader w:val="true"/>
        </w:trPr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Threats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Opportunities</w:t>
            </w:r>
          </w:p>
        </w:tc>
        <w:tc>
          <w:tcPr>
            <w:tcW w:type="dxa" w:w="547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Escalate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Escalate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Outside PM authority / project scope — hand to appropriate owner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Avoid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Exploit</w:t>
            </w:r>
          </w:p>
        </w:tc>
        <w:tc>
          <w:tcPr>
            <w:tcW w:type="dxa" w:w="54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Eliminate the threat / ensure the opportunity occurs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Transfer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Share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Shift ownership to a third party (insurance, contract) / partner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Mitigate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Enhance</w:t>
            </w:r>
          </w:p>
        </w:tc>
        <w:tc>
          <w:tcPr>
            <w:tcW w:type="dxa" w:w="54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Reduce / increase probability or impact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Accept (active/passive)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Accept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Acknowledge; set contingency reserve or no action</w:t>
            </w:r>
          </w:p>
        </w:tc>
      </w:tr>
    </w:tbl>
    <w:p>
      <w:pPr>
        <w:spacing w:after="40"/>
      </w:pPr>
    </w:p>
    <w:p>
      <w:pPr>
        <w:pStyle w:val="Heading1"/>
      </w:pPr>
      <w:r>
        <w:t>9. Contingency &amp; Reserves</w:t>
      </w:r>
    </w:p>
    <w:p>
      <w:r>
        <w:rPr>
          <w:b w:val="0"/>
        </w:rPr>
        <w:t>Contingency reserve is derived from the EMV of quantified risks and held in the cost baseline (doc 09). Management reserve is held by the Sponsor and released via Change Request.</w:t>
      </w:r>
    </w:p>
    <w:p>
      <w:pPr>
        <w:pStyle w:val="Heading1"/>
      </w:pPr>
      <w:r>
        <w:t>10. Reporting &amp; Tracking</w:t>
      </w:r>
    </w:p>
    <w:p>
      <w:pPr>
        <w:pStyle w:val="ListBullet"/>
      </w:pPr>
      <w:r>
        <w:t>Top risks (score ≥ 10) reported in each Project Status Report (doc 22).</w:t>
      </w:r>
    </w:p>
    <w:p>
      <w:pPr>
        <w:pStyle w:val="ListBullet"/>
      </w:pPr>
      <w:r>
        <w:t>Risk register reviewed weekly by PM, monthly in full with team; risk audit at each gate.</w:t>
      </w:r>
    </w:p>
    <w:p>
      <w:pPr>
        <w:pStyle w:val="ListBullet"/>
      </w:pPr>
      <w:r>
        <w:t>Materialized risks move to the Issues tab of the RAID Log (doc 19).</w:t>
      </w:r>
    </w:p>
    <w:p>
      <w:pPr>
        <w:pStyle w:val="Heading1"/>
      </w:pPr>
      <w:r>
        <w:t>11. Approval</w:t>
      </w:r>
    </w:p>
    <w:p>
      <w:r>
        <w:rPr>
          <w:b w:val="0"/>
        </w:rPr>
        <w:t>By signing below, the approvers confirm they have reviewed this document and accept it as the baseline for the project. Subsequent baseline changes follow integrated change control.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2880"/>
        <w:gridCol w:w="2880"/>
        <w:gridCol w:w="144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24" w:bottom="1152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792" w:val="right"/>
      </w:tabs>
    </w:pPr>
    <w:r>
      <w:rPr>
        <w:color w:val="6B7785"/>
        <w:sz w:val="16"/>
      </w:rPr>
      <w:t>[Organization Name]  •  Classification: Internal  •  PMI Predictive Project Management Toolkit</w:t>
    </w:r>
    <w:r>
      <w:rPr>
        <w:color w:val="6B7785"/>
        <w:sz w:val="16"/>
      </w:rPr>
      <w:tab/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785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792" w:val="right"/>
      </w:tabs>
      <w:pBdr>
        <w:bottom w:val="single" w:sz="8" w:space="4" w:color="13807E"/>
      </w:pBdr>
    </w:pPr>
    <w:r/>
    <w:r>
      <w:rPr>
        <w:color w:val="6B7785"/>
        <w:sz w:val="17"/>
      </w:rPr>
      <w:t>[Project Name]  |  Risk Management Plan</w:t>
    </w:r>
    <w:r>
      <w:rPr>
        <w:b/>
        <w:color w:val="1F3A5F"/>
        <w:sz w:val="17"/>
      </w:rPr>
      <w:tab/>
      <w:t>PRJ-2026-001-RKP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E2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 w:eastAsia="Calibri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 w:eastAsia="Calibri"/>
      <w:b/>
      <w:bCs/>
      <w:i w:val="0"/>
      <w:color w:val="1380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 w:eastAsia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15 - Risk Management Plan</dc:title>
  <dc:subject>[Project Name]</dc:subject>
  <dc:creator>[Project Manager]</dc:creator>
  <cp:keywords>PRJ-2026-001-RKP; PMBOK 8; Risk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PMI Predictive Project Management Toolkit</cp:category>
</cp:coreProperties>
</file>