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rFonts w:ascii="Aptos" w:hAnsi="Aptos"/>
          <w:b/>
          <w:color w:val="167A72"/>
          <w:sz w:val="18"/>
        </w:rPr>
        <w:t>TRAIT D’UNION STUDIO</w:t>
      </w:r>
    </w:p>
    <w:p>
      <w:pPr>
        <w:pStyle w:val="Title"/>
        <w:spacing w:before="360"/>
      </w:pPr>
      <w:r>
        <w:rPr>
          <w:rFonts w:ascii="Aptos Display" w:hAnsi="Aptos Display"/>
          <w:b/>
          <w:color w:val="17263C"/>
          <w:sz w:val="50"/>
        </w:rPr>
        <w:t>Cahier des charges</w:t>
      </w:r>
    </w:p>
    <w:p>
      <w:pPr>
        <w:pStyle w:val="Subtitle"/>
      </w:pPr>
      <w:r>
        <w:rPr>
          <w:rFonts w:ascii="Aptos Display" w:hAnsi="Aptos Display"/>
          <w:color w:val="667085"/>
          <w:sz w:val="24"/>
        </w:rPr>
        <w:t>Bibliothèque modulaire de briques de pilotage, de gestion et de comptabilité</w:t>
      </w:r>
    </w:p>
    <w:tbl>
      <w:tblPr>
        <w:tblW w:type="auto" w:w="0"/>
        <w:jc w:val="center"/>
        <w:tblLayout w:type="fixed"/>
        <w:tblLook w:firstColumn="1" w:firstRow="1" w:lastColumn="0" w:lastRow="0" w:noHBand="0" w:noVBand="1" w:val="04A0"/>
      </w:tblPr>
      <w:tblGrid>
        <w:gridCol w:w="9866"/>
      </w:tblGrid>
      <w:tr>
        <w:trPr>
          <w:tblHeader w:val="true"/>
        </w:trPr>
        <w:tc>
          <w:tcPr>
            <w:tcW w:type="dxa" w:w="9864"/>
            <w:shd w:fill="E7F4F1"/>
            <w:tcMar>
              <w:top w:w="120" w:type="dxa"/>
              <w:start w:w="150" w:type="dxa"/>
              <w:bottom w:w="120" w:type="dxa"/>
              <w:end w:w="150" w:type="dxa"/>
            </w:tcMar>
          </w:tcPr>
          <w:p>
            <w:pPr>
              <w:spacing w:after="40"/>
            </w:pPr>
            <w:r>
              <w:rPr>
                <w:rFonts w:ascii="Aptos" w:hAnsi="Aptos"/>
                <w:b/>
                <w:color w:val="167A72"/>
                <w:sz w:val="19"/>
              </w:rPr>
              <w:t>Finalité du programme</w:t>
            </w:r>
          </w:p>
          <w:p>
            <w:pPr>
              <w:spacing w:after="0"/>
            </w:pPr>
            <w:r>
              <w:rPr>
                <w:rFonts w:ascii="Aptos" w:hAnsi="Aptos"/>
                <w:color w:val="17263C"/>
                <w:sz w:val="18"/>
              </w:rPr>
              <w:t>Constituer un socle Django neutre, assemblable et documenté permettant de livrer plus rapidement des plateformes métier propres à chaque client, sans exposer de marque technique du studio dans le code ou dans les interfaces livrées.</w:t>
            </w:r>
          </w:p>
        </w:tc>
      </w:tr>
    </w:tbl>
    <w:p>
      <w:pPr>
        <w:spacing w:after="0"/>
      </w:pP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81"/>
            <w:shd w:fill="E7F4F1"/>
            <w:tcMar>
              <w:top w:w="80" w:type="dxa"/>
              <w:start w:w="100" w:type="dxa"/>
              <w:bottom w:w="80" w:type="dxa"/>
              <w:end w:w="100" w:type="dxa"/>
            </w:tcMar>
            <w:vAlign w:val="center"/>
          </w:tcPr>
          <w:p>
            <w:pPr>
              <w:spacing w:after="0"/>
            </w:pPr>
            <w:r>
              <w:rPr>
                <w:rFonts w:ascii="Aptos" w:hAnsi="Aptos"/>
                <w:b/>
                <w:color w:val="17263C"/>
                <w:sz w:val="16"/>
              </w:rPr>
              <w:t>Élément</w:t>
            </w:r>
          </w:p>
        </w:tc>
        <w:tc>
          <w:tcPr>
            <w:tcW w:type="dxa" w:w="7483"/>
            <w:shd w:fill="E7F4F1"/>
            <w:tcMar>
              <w:top w:w="80" w:type="dxa"/>
              <w:start w:w="100" w:type="dxa"/>
              <w:bottom w:w="80" w:type="dxa"/>
              <w:end w:w="100" w:type="dxa"/>
            </w:tcMar>
            <w:vAlign w:val="center"/>
          </w:tcPr>
          <w:p>
            <w:pPr>
              <w:spacing w:after="0"/>
            </w:pPr>
            <w:r>
              <w:rPr>
                <w:rFonts w:ascii="Aptos" w:hAnsi="Aptos"/>
                <w:b/>
                <w:color w:val="17263C"/>
                <w:sz w:val="16"/>
              </w:rPr>
              <w:t>Valeur</w:t>
            </w:r>
          </w:p>
        </w:tc>
      </w:tr>
      <w:tr>
        <w:tc>
          <w:tcPr>
            <w:tcW w:type="dxa" w:w="2381"/>
            <w:tcMar>
              <w:top w:w="80" w:type="dxa"/>
              <w:start w:w="100" w:type="dxa"/>
              <w:bottom w:w="80" w:type="dxa"/>
              <w:end w:w="100" w:type="dxa"/>
            </w:tcMar>
            <w:vAlign w:val="top"/>
          </w:tcPr>
          <w:p>
            <w:pPr>
              <w:spacing w:after="0"/>
            </w:pPr>
            <w:r>
              <w:rPr>
                <w:rFonts w:ascii="Aptos" w:hAnsi="Aptos"/>
                <w:color w:val="17263C"/>
                <w:sz w:val="16"/>
              </w:rPr>
              <w:t>Document</w:t>
            </w:r>
          </w:p>
        </w:tc>
        <w:tc>
          <w:tcPr>
            <w:tcW w:type="dxa" w:w="7483"/>
            <w:tcMar>
              <w:top w:w="80" w:type="dxa"/>
              <w:start w:w="100" w:type="dxa"/>
              <w:bottom w:w="80" w:type="dxa"/>
              <w:end w:w="100" w:type="dxa"/>
            </w:tcMar>
            <w:vAlign w:val="top"/>
          </w:tcPr>
          <w:p>
            <w:pPr>
              <w:spacing w:after="0"/>
            </w:pPr>
            <w:r>
              <w:rPr>
                <w:rFonts w:ascii="Aptos" w:hAnsi="Aptos"/>
                <w:color w:val="17263C"/>
                <w:sz w:val="16"/>
              </w:rPr>
              <w:t>Cahier des charges fonctionnel et technique</w:t>
            </w:r>
          </w:p>
        </w:tc>
      </w:tr>
      <w:tr>
        <w:tc>
          <w:tcPr>
            <w:tcW w:type="dxa" w:w="2381"/>
            <w:tcMar>
              <w:top w:w="80" w:type="dxa"/>
              <w:start w:w="100" w:type="dxa"/>
              <w:bottom w:w="80" w:type="dxa"/>
              <w:end w:w="100" w:type="dxa"/>
            </w:tcMar>
            <w:vAlign w:val="top"/>
          </w:tcPr>
          <w:p>
            <w:pPr>
              <w:spacing w:after="0"/>
            </w:pPr>
            <w:r>
              <w:rPr>
                <w:rFonts w:ascii="Aptos" w:hAnsi="Aptos"/>
                <w:color w:val="17263C"/>
                <w:sz w:val="16"/>
              </w:rPr>
              <w:t>Version</w:t>
            </w:r>
          </w:p>
        </w:tc>
        <w:tc>
          <w:tcPr>
            <w:tcW w:type="dxa" w:w="7483"/>
            <w:tcMar>
              <w:top w:w="80" w:type="dxa"/>
              <w:start w:w="100" w:type="dxa"/>
              <w:bottom w:w="80" w:type="dxa"/>
              <w:end w:w="100" w:type="dxa"/>
            </w:tcMar>
            <w:vAlign w:val="top"/>
          </w:tcPr>
          <w:p>
            <w:pPr>
              <w:spacing w:after="0"/>
            </w:pPr>
            <w:r>
              <w:rPr>
                <w:rFonts w:ascii="Aptos" w:hAnsi="Aptos"/>
                <w:color w:val="17263C"/>
                <w:sz w:val="16"/>
              </w:rPr>
              <w:t>2.0 — conception greenfield</w:t>
            </w:r>
          </w:p>
        </w:tc>
      </w:tr>
      <w:tr>
        <w:tc>
          <w:tcPr>
            <w:tcW w:type="dxa" w:w="2381"/>
            <w:tcMar>
              <w:top w:w="80" w:type="dxa"/>
              <w:start w:w="100" w:type="dxa"/>
              <w:bottom w:w="80" w:type="dxa"/>
              <w:end w:w="100" w:type="dxa"/>
            </w:tcMar>
            <w:vAlign w:val="top"/>
          </w:tcPr>
          <w:p>
            <w:pPr>
              <w:spacing w:after="0"/>
            </w:pPr>
            <w:r>
              <w:rPr>
                <w:rFonts w:ascii="Aptos" w:hAnsi="Aptos"/>
                <w:color w:val="17263C"/>
                <w:sz w:val="16"/>
              </w:rPr>
              <w:t>Date</w:t>
            </w:r>
          </w:p>
        </w:tc>
        <w:tc>
          <w:tcPr>
            <w:tcW w:type="dxa" w:w="7483"/>
            <w:tcMar>
              <w:top w:w="80" w:type="dxa"/>
              <w:start w:w="100" w:type="dxa"/>
              <w:bottom w:w="80" w:type="dxa"/>
              <w:end w:w="100" w:type="dxa"/>
            </w:tcMar>
            <w:vAlign w:val="top"/>
          </w:tcPr>
          <w:p>
            <w:pPr>
              <w:spacing w:after="0"/>
            </w:pPr>
            <w:r>
              <w:rPr>
                <w:rFonts w:ascii="Aptos" w:hAnsi="Aptos"/>
                <w:color w:val="17263C"/>
                <w:sz w:val="16"/>
              </w:rPr>
              <w:t>18 juillet 2026</w:t>
            </w:r>
          </w:p>
        </w:tc>
      </w:tr>
      <w:tr>
        <w:tc>
          <w:tcPr>
            <w:tcW w:type="dxa" w:w="2381"/>
            <w:tcMar>
              <w:top w:w="80" w:type="dxa"/>
              <w:start w:w="100" w:type="dxa"/>
              <w:bottom w:w="80" w:type="dxa"/>
              <w:end w:w="100" w:type="dxa"/>
            </w:tcMar>
            <w:vAlign w:val="top"/>
          </w:tcPr>
          <w:p>
            <w:pPr>
              <w:spacing w:after="0"/>
            </w:pPr>
            <w:r>
              <w:rPr>
                <w:rFonts w:ascii="Aptos" w:hAnsi="Aptos"/>
                <w:color w:val="17263C"/>
                <w:sz w:val="16"/>
              </w:rPr>
              <w:t>Périmètre</w:t>
            </w:r>
          </w:p>
        </w:tc>
        <w:tc>
          <w:tcPr>
            <w:tcW w:type="dxa" w:w="7483"/>
            <w:tcMar>
              <w:top w:w="80" w:type="dxa"/>
              <w:start w:w="100" w:type="dxa"/>
              <w:bottom w:w="80" w:type="dxa"/>
              <w:end w:w="100" w:type="dxa"/>
            </w:tcMar>
            <w:vAlign w:val="top"/>
          </w:tcPr>
          <w:p>
            <w:pPr>
              <w:spacing w:after="0"/>
            </w:pPr>
            <w:r>
              <w:rPr>
                <w:rFonts w:ascii="Aptos" w:hAnsi="Aptos"/>
                <w:color w:val="17263C"/>
                <w:sz w:val="16"/>
              </w:rPr>
              <w:t>Briques transversales, pilotage, gestion, finance et comptabilité</w:t>
            </w:r>
          </w:p>
        </w:tc>
      </w:tr>
      <w:tr>
        <w:tc>
          <w:tcPr>
            <w:tcW w:type="dxa" w:w="2381"/>
            <w:tcMar>
              <w:top w:w="80" w:type="dxa"/>
              <w:start w:w="100" w:type="dxa"/>
              <w:bottom w:w="80" w:type="dxa"/>
              <w:end w:w="100" w:type="dxa"/>
            </w:tcMar>
            <w:vAlign w:val="top"/>
          </w:tcPr>
          <w:p>
            <w:pPr>
              <w:spacing w:after="0"/>
            </w:pPr>
            <w:r>
              <w:rPr>
                <w:rFonts w:ascii="Aptos" w:hAnsi="Aptos"/>
                <w:color w:val="17263C"/>
                <w:sz w:val="16"/>
              </w:rPr>
              <w:t>Approche</w:t>
            </w:r>
          </w:p>
        </w:tc>
        <w:tc>
          <w:tcPr>
            <w:tcW w:type="dxa" w:w="7483"/>
            <w:tcMar>
              <w:top w:w="80" w:type="dxa"/>
              <w:start w:w="100" w:type="dxa"/>
              <w:bottom w:w="80" w:type="dxa"/>
              <w:end w:w="100" w:type="dxa"/>
            </w:tcMar>
            <w:vAlign w:val="top"/>
          </w:tcPr>
          <w:p>
            <w:pPr>
              <w:spacing w:after="0"/>
            </w:pPr>
            <w:r>
              <w:rPr>
                <w:rFonts w:ascii="Aptos" w:hAnsi="Aptos"/>
                <w:color w:val="17263C"/>
                <w:sz w:val="16"/>
              </w:rPr>
              <w:t>Construction neuve, sans reprise de code, de modèle ou de contrainte technique antérieure</w:t>
            </w:r>
          </w:p>
        </w:tc>
      </w:tr>
      <w:tr>
        <w:tc>
          <w:tcPr>
            <w:tcW w:type="dxa" w:w="2381"/>
            <w:tcMar>
              <w:top w:w="80" w:type="dxa"/>
              <w:start w:w="100" w:type="dxa"/>
              <w:bottom w:w="80" w:type="dxa"/>
              <w:end w:w="100" w:type="dxa"/>
            </w:tcMar>
            <w:vAlign w:val="top"/>
          </w:tcPr>
          <w:p>
            <w:pPr>
              <w:spacing w:after="0"/>
            </w:pPr>
            <w:r>
              <w:rPr>
                <w:rFonts w:ascii="Aptos" w:hAnsi="Aptos"/>
                <w:color w:val="17263C"/>
                <w:sz w:val="16"/>
              </w:rPr>
              <w:t>Public cible</w:t>
            </w:r>
          </w:p>
        </w:tc>
        <w:tc>
          <w:tcPr>
            <w:tcW w:type="dxa" w:w="7483"/>
            <w:tcMar>
              <w:top w:w="80" w:type="dxa"/>
              <w:start w:w="100" w:type="dxa"/>
              <w:bottom w:w="80" w:type="dxa"/>
              <w:end w:w="100" w:type="dxa"/>
            </w:tcMar>
            <w:vAlign w:val="top"/>
          </w:tcPr>
          <w:p>
            <w:pPr>
              <w:spacing w:after="0"/>
            </w:pPr>
            <w:r>
              <w:rPr>
                <w:rFonts w:ascii="Aptos" w:hAnsi="Aptos"/>
                <w:color w:val="17263C"/>
                <w:sz w:val="16"/>
              </w:rPr>
              <w:t>Direction de projet, architecte logiciel, développeurs, testeurs et futurs intégrateurs</w:t>
            </w:r>
          </w:p>
        </w:tc>
      </w:tr>
    </w:tbl>
    <w:p>
      <w:pPr>
        <w:spacing w:after="0"/>
      </w:pPr>
    </w:p>
    <w:p/>
    <w:p>
      <w:r>
        <w:rPr>
          <w:rFonts w:ascii="Aptos" w:hAnsi="Aptos"/>
          <w:b/>
          <w:color w:val="667085"/>
        </w:rPr>
        <w:t xml:space="preserve">Statut : </w:t>
      </w:r>
      <w:r>
        <w:rPr>
          <w:rFonts w:ascii="Aptos" w:hAnsi="Aptos"/>
          <w:color w:val="667085"/>
        </w:rPr>
        <w:t>document directeur. Les règles fiscales, comptables et sectorielles devront être validées avant toute mise en production par les professionnels compétents du client.</w:t>
      </w:r>
    </w:p>
    <w:p>
      <w:r>
        <w:br w:type="page"/>
      </w:r>
    </w:p>
    <w:p>
      <w:pPr>
        <w:pStyle w:val="Heading1"/>
      </w:pPr>
      <w:r>
        <w:t>Sommaire</w:t>
      </w:r>
    </w:p>
    <w:p>
      <w:pPr>
        <w:spacing w:after="40"/>
        <w:ind w:left="408" w:hanging="295"/>
      </w:pPr>
      <w:r>
        <w:rPr>
          <w:rFonts w:ascii="Aptos" w:hAnsi="Aptos"/>
          <w:b/>
          <w:color w:val="245C7C"/>
          <w:sz w:val="18"/>
        </w:rPr>
        <w:t xml:space="preserve">1. </w:t>
      </w:r>
      <w:r>
        <w:rPr>
          <w:rFonts w:ascii="Aptos" w:hAnsi="Aptos"/>
          <w:sz w:val="18"/>
        </w:rPr>
        <w:t>Synthèse et décisions structurantes</w:t>
      </w:r>
    </w:p>
    <w:p>
      <w:pPr>
        <w:spacing w:after="40"/>
        <w:ind w:left="408" w:hanging="295"/>
      </w:pPr>
      <w:r>
        <w:rPr>
          <w:rFonts w:ascii="Aptos" w:hAnsi="Aptos"/>
          <w:b/>
          <w:color w:val="245C7C"/>
          <w:sz w:val="18"/>
        </w:rPr>
        <w:t xml:space="preserve">2. </w:t>
      </w:r>
      <w:r>
        <w:rPr>
          <w:rFonts w:ascii="Aptos" w:hAnsi="Aptos"/>
          <w:sz w:val="18"/>
        </w:rPr>
        <w:t>Cadre de construction greenfield</w:t>
      </w:r>
    </w:p>
    <w:p>
      <w:pPr>
        <w:spacing w:after="40"/>
        <w:ind w:left="408" w:hanging="295"/>
      </w:pPr>
      <w:r>
        <w:rPr>
          <w:rFonts w:ascii="Aptos" w:hAnsi="Aptos"/>
          <w:b/>
          <w:color w:val="245C7C"/>
          <w:sz w:val="18"/>
        </w:rPr>
        <w:t xml:space="preserve">3. </w:t>
      </w:r>
      <w:r>
        <w:rPr>
          <w:rFonts w:ascii="Aptos" w:hAnsi="Aptos"/>
          <w:sz w:val="18"/>
        </w:rPr>
        <w:t>Périmètre, utilisateurs et principes fonctionnels</w:t>
      </w:r>
    </w:p>
    <w:p>
      <w:pPr>
        <w:spacing w:after="40"/>
        <w:ind w:left="408" w:hanging="295"/>
      </w:pPr>
      <w:r>
        <w:rPr>
          <w:rFonts w:ascii="Aptos" w:hAnsi="Aptos"/>
          <w:b/>
          <w:color w:val="245C7C"/>
          <w:sz w:val="18"/>
        </w:rPr>
        <w:t xml:space="preserve">4. </w:t>
      </w:r>
      <w:r>
        <w:rPr>
          <w:rFonts w:ascii="Aptos" w:hAnsi="Aptos"/>
          <w:sz w:val="18"/>
        </w:rPr>
        <w:t>Architecture cible et conventions de développement</w:t>
      </w:r>
    </w:p>
    <w:p>
      <w:pPr>
        <w:spacing w:after="40"/>
        <w:ind w:left="408" w:hanging="295"/>
      </w:pPr>
      <w:r>
        <w:rPr>
          <w:rFonts w:ascii="Aptos" w:hAnsi="Aptos"/>
          <w:b/>
          <w:color w:val="245C7C"/>
          <w:sz w:val="18"/>
        </w:rPr>
        <w:t xml:space="preserve">5. </w:t>
      </w:r>
      <w:r>
        <w:rPr>
          <w:rFonts w:ascii="Aptos" w:hAnsi="Aptos"/>
          <w:sz w:val="18"/>
        </w:rPr>
        <w:t>Catalogue des briques transversales</w:t>
      </w:r>
    </w:p>
    <w:p>
      <w:pPr>
        <w:spacing w:after="40"/>
        <w:ind w:left="408" w:hanging="295"/>
      </w:pPr>
      <w:r>
        <w:rPr>
          <w:rFonts w:ascii="Aptos" w:hAnsi="Aptos"/>
          <w:b/>
          <w:color w:val="245C7C"/>
          <w:sz w:val="18"/>
        </w:rPr>
        <w:t xml:space="preserve">6. </w:t>
      </w:r>
      <w:r>
        <w:rPr>
          <w:rFonts w:ascii="Aptos" w:hAnsi="Aptos"/>
          <w:sz w:val="18"/>
        </w:rPr>
        <w:t>Catalogue des briques de pilotage</w:t>
      </w:r>
    </w:p>
    <w:p>
      <w:pPr>
        <w:spacing w:after="40"/>
        <w:ind w:left="408" w:hanging="295"/>
      </w:pPr>
      <w:r>
        <w:rPr>
          <w:rFonts w:ascii="Aptos" w:hAnsi="Aptos"/>
          <w:b/>
          <w:color w:val="245C7C"/>
          <w:sz w:val="18"/>
        </w:rPr>
        <w:t xml:space="preserve">7. </w:t>
      </w:r>
      <w:r>
        <w:rPr>
          <w:rFonts w:ascii="Aptos" w:hAnsi="Aptos"/>
          <w:sz w:val="18"/>
        </w:rPr>
        <w:t>Catalogue des briques de gestion</w:t>
      </w:r>
    </w:p>
    <w:p>
      <w:pPr>
        <w:spacing w:after="40"/>
        <w:ind w:left="408" w:hanging="295"/>
      </w:pPr>
      <w:r>
        <w:rPr>
          <w:rFonts w:ascii="Aptos" w:hAnsi="Aptos"/>
          <w:b/>
          <w:color w:val="245C7C"/>
          <w:sz w:val="18"/>
        </w:rPr>
        <w:t xml:space="preserve">8. </w:t>
      </w:r>
      <w:r>
        <w:rPr>
          <w:rFonts w:ascii="Aptos" w:hAnsi="Aptos"/>
          <w:sz w:val="18"/>
        </w:rPr>
        <w:t>Catalogue des briques financières et comptables</w:t>
      </w:r>
    </w:p>
    <w:p>
      <w:pPr>
        <w:spacing w:after="40"/>
        <w:ind w:left="408" w:hanging="295"/>
      </w:pPr>
      <w:r>
        <w:rPr>
          <w:rFonts w:ascii="Aptos" w:hAnsi="Aptos"/>
          <w:b/>
          <w:color w:val="245C7C"/>
          <w:sz w:val="18"/>
        </w:rPr>
        <w:t xml:space="preserve">9. </w:t>
      </w:r>
      <w:r>
        <w:rPr>
          <w:rFonts w:ascii="Aptos" w:hAnsi="Aptos"/>
          <w:sz w:val="18"/>
        </w:rPr>
        <w:t>Exigences d’interface, d’API et d’intégration</w:t>
      </w:r>
    </w:p>
    <w:p>
      <w:pPr>
        <w:spacing w:after="40"/>
        <w:ind w:left="408" w:hanging="295"/>
      </w:pPr>
      <w:r>
        <w:rPr>
          <w:rFonts w:ascii="Aptos" w:hAnsi="Aptos"/>
          <w:b/>
          <w:color w:val="245C7C"/>
          <w:sz w:val="18"/>
        </w:rPr>
        <w:t xml:space="preserve">10. </w:t>
      </w:r>
      <w:r>
        <w:rPr>
          <w:rFonts w:ascii="Aptos" w:hAnsi="Aptos"/>
          <w:sz w:val="18"/>
        </w:rPr>
        <w:t>Sécurité, conformité, performance et exploitation</w:t>
      </w:r>
    </w:p>
    <w:p>
      <w:pPr>
        <w:spacing w:after="40"/>
        <w:ind w:left="408" w:hanging="295"/>
      </w:pPr>
      <w:r>
        <w:rPr>
          <w:rFonts w:ascii="Aptos" w:hAnsi="Aptos"/>
          <w:b/>
          <w:color w:val="245C7C"/>
          <w:sz w:val="18"/>
        </w:rPr>
        <w:t xml:space="preserve">11. </w:t>
      </w:r>
      <w:r>
        <w:rPr>
          <w:rFonts w:ascii="Aptos" w:hAnsi="Aptos"/>
          <w:sz w:val="18"/>
        </w:rPr>
        <w:t>Qualité, tests, documentation et critères de recette</w:t>
      </w:r>
    </w:p>
    <w:p>
      <w:pPr>
        <w:spacing w:after="40"/>
        <w:ind w:left="408" w:hanging="295"/>
      </w:pPr>
      <w:r>
        <w:rPr>
          <w:rFonts w:ascii="Aptos" w:hAnsi="Aptos"/>
          <w:b/>
          <w:color w:val="245C7C"/>
          <w:sz w:val="18"/>
        </w:rPr>
        <w:t xml:space="preserve">12. </w:t>
      </w:r>
      <w:r>
        <w:rPr>
          <w:rFonts w:ascii="Aptos" w:hAnsi="Aptos"/>
          <w:sz w:val="18"/>
        </w:rPr>
        <w:t>Découpage de réalisation, livrables et gouvernance</w:t>
      </w:r>
    </w:p>
    <w:p>
      <w:pPr>
        <w:spacing w:after="40"/>
        <w:ind w:left="408" w:hanging="295"/>
      </w:pPr>
      <w:r>
        <w:rPr>
          <w:rFonts w:ascii="Aptos" w:hAnsi="Aptos"/>
          <w:b/>
          <w:color w:val="245C7C"/>
          <w:sz w:val="18"/>
        </w:rPr>
        <w:t xml:space="preserve">13. </w:t>
      </w:r>
      <w:r>
        <w:rPr>
          <w:rFonts w:ascii="Aptos" w:hAnsi="Aptos"/>
          <w:sz w:val="18"/>
        </w:rPr>
        <w:t>Annexes : dépendances, règles communes et sources</w:t>
      </w:r>
    </w:p>
    <w:p>
      <w:pPr>
        <w:pStyle w:val="Heading1"/>
      </w:pPr>
      <w:r>
        <w:t>1. Synthèse et décisions structurantes</w:t>
      </w:r>
    </w:p>
    <w:p>
      <w:r>
        <w:rPr>
          <w:rFonts w:ascii="Aptos" w:hAnsi="Aptos"/>
          <w:color w:val="17263C"/>
        </w:rPr>
        <w:t>Le programme vise une bibliothèque de capacités métier et non un ERP monolithique. Chaque capacité doit pouvoir être intégrée dans un projet client avec ses modèles, migrations, services, permissions, écrans, composants HTMX, API, tâches asynchrones, exports, tests et documentation. Le projet client conserve sa propre identité, son propre vocabulaire et son propre déploiement.</w:t>
      </w:r>
    </w:p>
    <w:p>
      <w:r>
        <w:rPr>
          <w:rFonts w:ascii="Aptos" w:hAnsi="Aptos"/>
          <w:color w:val="17263C"/>
        </w:rPr>
        <w:t>Le programme repart d’une base vierge. Aucun code, modèle de données, nom de package, historique de migration ou choix d’architecture antérieur n’est repris par défaut. Les décisions sont guidées uniquement par les besoins génériques, la maintenabilité, la sécurité, l’intégrabilité et les obligations applicables aux futurs projets clients.</w:t>
      </w:r>
    </w:p>
    <w:tbl>
      <w:tblPr>
        <w:tblW w:type="auto" w:w="0"/>
        <w:jc w:val="center"/>
        <w:tblLayout w:type="fixed"/>
        <w:tblLook w:firstColumn="1" w:firstRow="1" w:lastColumn="0" w:lastRow="0" w:noHBand="0" w:noVBand="1" w:val="04A0"/>
      </w:tblPr>
      <w:tblGrid>
        <w:gridCol w:w="9866"/>
      </w:tblGrid>
      <w:tr>
        <w:trPr>
          <w:tblHeader w:val="true"/>
        </w:trPr>
        <w:tc>
          <w:tcPr>
            <w:tcW w:type="dxa" w:w="9864"/>
            <w:shd w:fill="EAF2F7"/>
            <w:tcMar>
              <w:top w:w="120" w:type="dxa"/>
              <w:start w:w="150" w:type="dxa"/>
              <w:bottom w:w="120" w:type="dxa"/>
              <w:end w:w="150" w:type="dxa"/>
            </w:tcMar>
          </w:tcPr>
          <w:p>
            <w:pPr>
              <w:spacing w:after="40"/>
            </w:pPr>
            <w:r>
              <w:rPr>
                <w:rFonts w:ascii="Aptos" w:hAnsi="Aptos"/>
                <w:b/>
                <w:color w:val="245C7C"/>
                <w:sz w:val="19"/>
              </w:rPr>
              <w:t>Décision d’architecture</w:t>
            </w:r>
          </w:p>
          <w:p>
            <w:pPr>
              <w:spacing w:after="0"/>
            </w:pPr>
            <w:r>
              <w:rPr>
                <w:rFonts w:ascii="Aptos" w:hAnsi="Aptos"/>
                <w:color w:val="17263C"/>
                <w:sz w:val="18"/>
              </w:rPr>
              <w:t>Adopter un monolithe modulaire Django : une base de données transactionnelle, des applications métier séparées par contrats explicites, et des adaptateurs pour les services externes. Les microservices ne seront introduits que si une contrainte mesurée de charge, d’isolation ou de responsabilité l’exige.</w:t>
            </w:r>
          </w:p>
        </w:tc>
      </w:tr>
    </w:tbl>
    <w:p>
      <w:pPr>
        <w:spacing w:after="0"/>
      </w:pP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7"/>
            <w:shd w:fill="EAF2F7"/>
            <w:tcMar>
              <w:top w:w="80" w:type="dxa"/>
              <w:start w:w="100" w:type="dxa"/>
              <w:bottom w:w="80" w:type="dxa"/>
              <w:end w:w="100" w:type="dxa"/>
            </w:tcMar>
            <w:vAlign w:val="center"/>
          </w:tcPr>
          <w:p>
            <w:pPr>
              <w:spacing w:after="0"/>
            </w:pPr>
            <w:r>
              <w:rPr>
                <w:rFonts w:ascii="Aptos" w:hAnsi="Aptos"/>
                <w:b/>
                <w:color w:val="17263C"/>
                <w:sz w:val="16"/>
              </w:rPr>
              <w:t>Décision</w:t>
            </w:r>
          </w:p>
        </w:tc>
        <w:tc>
          <w:tcPr>
            <w:tcW w:type="dxa" w:w="7596"/>
            <w:shd w:fill="EAF2F7"/>
            <w:tcMar>
              <w:top w:w="80" w:type="dxa"/>
              <w:start w:w="100" w:type="dxa"/>
              <w:bottom w:w="80" w:type="dxa"/>
              <w:end w:w="100" w:type="dxa"/>
            </w:tcMar>
            <w:vAlign w:val="center"/>
          </w:tcPr>
          <w:p>
            <w:pPr>
              <w:spacing w:after="0"/>
            </w:pPr>
            <w:r>
              <w:rPr>
                <w:rFonts w:ascii="Aptos" w:hAnsi="Aptos"/>
                <w:b/>
                <w:color w:val="17263C"/>
                <w:sz w:val="16"/>
              </w:rPr>
              <w:t>Exigence retenue</w:t>
            </w:r>
          </w:p>
        </w:tc>
      </w:tr>
      <w:tr>
        <w:tc>
          <w:tcPr>
            <w:tcW w:type="dxa" w:w="2267"/>
            <w:tcMar>
              <w:top w:w="80" w:type="dxa"/>
              <w:start w:w="100" w:type="dxa"/>
              <w:bottom w:w="80" w:type="dxa"/>
              <w:end w:w="100" w:type="dxa"/>
            </w:tcMar>
            <w:vAlign w:val="top"/>
          </w:tcPr>
          <w:p>
            <w:pPr>
              <w:spacing w:after="0"/>
            </w:pPr>
            <w:r>
              <w:rPr>
                <w:rFonts w:ascii="Aptos" w:hAnsi="Aptos"/>
                <w:color w:val="17263C"/>
                <w:sz w:val="16"/>
              </w:rPr>
              <w:t>Neutralité</w:t>
            </w:r>
          </w:p>
        </w:tc>
        <w:tc>
          <w:tcPr>
            <w:tcW w:type="dxa" w:w="7596"/>
            <w:tcMar>
              <w:top w:w="80" w:type="dxa"/>
              <w:start w:w="100" w:type="dxa"/>
              <w:bottom w:w="80" w:type="dxa"/>
              <w:end w:w="100" w:type="dxa"/>
            </w:tcMar>
            <w:vAlign w:val="top"/>
          </w:tcPr>
          <w:p>
            <w:pPr>
              <w:spacing w:after="0"/>
            </w:pPr>
            <w:r>
              <w:rPr>
                <w:rFonts w:ascii="Aptos" w:hAnsi="Aptos"/>
                <w:color w:val="17263C"/>
                <w:sz w:val="16"/>
              </w:rPr>
              <w:t>Aucun préfixe, domaine, logo ou libellé Trait d’Union dans le code et les interfaces remis au client.</w:t>
            </w:r>
          </w:p>
        </w:tc>
      </w:tr>
      <w:tr>
        <w:tc>
          <w:tcPr>
            <w:tcW w:type="dxa" w:w="2267"/>
            <w:tcMar>
              <w:top w:w="80" w:type="dxa"/>
              <w:start w:w="100" w:type="dxa"/>
              <w:bottom w:w="80" w:type="dxa"/>
              <w:end w:w="100" w:type="dxa"/>
            </w:tcMar>
            <w:vAlign w:val="top"/>
          </w:tcPr>
          <w:p>
            <w:pPr>
              <w:spacing w:after="0"/>
            </w:pPr>
            <w:r>
              <w:rPr>
                <w:rFonts w:ascii="Aptos" w:hAnsi="Aptos"/>
                <w:color w:val="17263C"/>
                <w:sz w:val="16"/>
              </w:rPr>
              <w:t>Assemblage</w:t>
            </w:r>
          </w:p>
        </w:tc>
        <w:tc>
          <w:tcPr>
            <w:tcW w:type="dxa" w:w="7596"/>
            <w:tcMar>
              <w:top w:w="80" w:type="dxa"/>
              <w:start w:w="100" w:type="dxa"/>
              <w:bottom w:w="80" w:type="dxa"/>
              <w:end w:w="100" w:type="dxa"/>
            </w:tcMar>
            <w:vAlign w:val="top"/>
          </w:tcPr>
          <w:p>
            <w:pPr>
              <w:spacing w:after="0"/>
            </w:pPr>
            <w:r>
              <w:rPr>
                <w:rFonts w:ascii="Aptos" w:hAnsi="Aptos"/>
                <w:color w:val="17263C"/>
                <w:sz w:val="16"/>
              </w:rPr>
              <w:t>Activation des capacités par configuration ; dépendances déclarées et vérifiables.</w:t>
            </w:r>
          </w:p>
        </w:tc>
      </w:tr>
      <w:tr>
        <w:tc>
          <w:tcPr>
            <w:tcW w:type="dxa" w:w="2267"/>
            <w:tcMar>
              <w:top w:w="80" w:type="dxa"/>
              <w:start w:w="100" w:type="dxa"/>
              <w:bottom w:w="80" w:type="dxa"/>
              <w:end w:w="100" w:type="dxa"/>
            </w:tcMar>
            <w:vAlign w:val="top"/>
          </w:tcPr>
          <w:p>
            <w:pPr>
              <w:spacing w:after="0"/>
            </w:pPr>
            <w:r>
              <w:rPr>
                <w:rFonts w:ascii="Aptos" w:hAnsi="Aptos"/>
                <w:color w:val="17263C"/>
                <w:sz w:val="16"/>
              </w:rPr>
              <w:t>Déploiement</w:t>
            </w:r>
          </w:p>
        </w:tc>
        <w:tc>
          <w:tcPr>
            <w:tcW w:type="dxa" w:w="7596"/>
            <w:tcMar>
              <w:top w:w="80" w:type="dxa"/>
              <w:start w:w="100" w:type="dxa"/>
              <w:bottom w:w="80" w:type="dxa"/>
              <w:end w:w="100" w:type="dxa"/>
            </w:tcMar>
            <w:vAlign w:val="top"/>
          </w:tcPr>
          <w:p>
            <w:pPr>
              <w:spacing w:after="0"/>
            </w:pPr>
            <w:r>
              <w:rPr>
                <w:rFonts w:ascii="Aptos" w:hAnsi="Aptos"/>
                <w:color w:val="17263C"/>
                <w:sz w:val="16"/>
              </w:rPr>
              <w:t>Un dépôt et un environnement propres à chaque client ; prise en charge facultative de plusieurs entités dans un même déploiement.</w:t>
            </w:r>
          </w:p>
        </w:tc>
      </w:tr>
      <w:tr>
        <w:tc>
          <w:tcPr>
            <w:tcW w:type="dxa" w:w="2267"/>
            <w:tcMar>
              <w:top w:w="80" w:type="dxa"/>
              <w:start w:w="100" w:type="dxa"/>
              <w:bottom w:w="80" w:type="dxa"/>
              <w:end w:w="100" w:type="dxa"/>
            </w:tcMar>
            <w:vAlign w:val="top"/>
          </w:tcPr>
          <w:p>
            <w:pPr>
              <w:spacing w:after="0"/>
            </w:pPr>
            <w:r>
              <w:rPr>
                <w:rFonts w:ascii="Aptos" w:hAnsi="Aptos"/>
                <w:color w:val="17263C"/>
                <w:sz w:val="16"/>
              </w:rPr>
              <w:t>Socle</w:t>
            </w:r>
          </w:p>
        </w:tc>
        <w:tc>
          <w:tcPr>
            <w:tcW w:type="dxa" w:w="7596"/>
            <w:tcMar>
              <w:top w:w="80" w:type="dxa"/>
              <w:start w:w="100" w:type="dxa"/>
              <w:bottom w:w="80" w:type="dxa"/>
              <w:end w:w="100" w:type="dxa"/>
            </w:tcMar>
            <w:vAlign w:val="top"/>
          </w:tcPr>
          <w:p>
            <w:pPr>
              <w:spacing w:after="0"/>
            </w:pPr>
            <w:r>
              <w:rPr>
                <w:rFonts w:ascii="Aptos" w:hAnsi="Aptos"/>
                <w:color w:val="17263C"/>
                <w:sz w:val="16"/>
              </w:rPr>
              <w:t>Django 5.2 LTS comme cible initiale, PostgreSQL, rendu serveur, HTMX et Alpine.js lorsque nécessaire.</w:t>
            </w:r>
          </w:p>
        </w:tc>
      </w:tr>
      <w:tr>
        <w:tc>
          <w:tcPr>
            <w:tcW w:type="dxa" w:w="2267"/>
            <w:tcMar>
              <w:top w:w="80" w:type="dxa"/>
              <w:start w:w="100" w:type="dxa"/>
              <w:bottom w:w="80" w:type="dxa"/>
              <w:end w:w="100" w:type="dxa"/>
            </w:tcMar>
            <w:vAlign w:val="top"/>
          </w:tcPr>
          <w:p>
            <w:pPr>
              <w:spacing w:after="0"/>
            </w:pPr>
            <w:r>
              <w:rPr>
                <w:rFonts w:ascii="Aptos" w:hAnsi="Aptos"/>
                <w:color w:val="17263C"/>
                <w:sz w:val="16"/>
              </w:rPr>
              <w:t>Métier</w:t>
            </w:r>
          </w:p>
        </w:tc>
        <w:tc>
          <w:tcPr>
            <w:tcW w:type="dxa" w:w="7596"/>
            <w:tcMar>
              <w:top w:w="80" w:type="dxa"/>
              <w:start w:w="100" w:type="dxa"/>
              <w:bottom w:w="80" w:type="dxa"/>
              <w:end w:w="100" w:type="dxa"/>
            </w:tcMar>
            <w:vAlign w:val="top"/>
          </w:tcPr>
          <w:p>
            <w:pPr>
              <w:spacing w:after="0"/>
            </w:pPr>
            <w:r>
              <w:rPr>
                <w:rFonts w:ascii="Aptos" w:hAnsi="Aptos"/>
                <w:color w:val="17263C"/>
                <w:sz w:val="16"/>
              </w:rPr>
              <w:t>Logique critique dans des services explicites ; les vues et les modèles restent minces.</w:t>
            </w:r>
          </w:p>
        </w:tc>
      </w:tr>
      <w:tr>
        <w:tc>
          <w:tcPr>
            <w:tcW w:type="dxa" w:w="2267"/>
            <w:tcMar>
              <w:top w:w="80" w:type="dxa"/>
              <w:start w:w="100" w:type="dxa"/>
              <w:bottom w:w="80" w:type="dxa"/>
              <w:end w:w="100" w:type="dxa"/>
            </w:tcMar>
            <w:vAlign w:val="top"/>
          </w:tcPr>
          <w:p>
            <w:pPr>
              <w:spacing w:after="0"/>
            </w:pPr>
            <w:r>
              <w:rPr>
                <w:rFonts w:ascii="Aptos" w:hAnsi="Aptos"/>
                <w:color w:val="17263C"/>
                <w:sz w:val="16"/>
              </w:rPr>
              <w:t>Finance</w:t>
            </w:r>
          </w:p>
        </w:tc>
        <w:tc>
          <w:tcPr>
            <w:tcW w:type="dxa" w:w="7596"/>
            <w:tcMar>
              <w:top w:w="80" w:type="dxa"/>
              <w:start w:w="100" w:type="dxa"/>
              <w:bottom w:w="80" w:type="dxa"/>
              <w:end w:w="100" w:type="dxa"/>
            </w:tcMar>
            <w:vAlign w:val="top"/>
          </w:tcPr>
          <w:p>
            <w:pPr>
              <w:spacing w:after="0"/>
            </w:pPr>
            <w:r>
              <w:rPr>
                <w:rFonts w:ascii="Aptos" w:hAnsi="Aptos"/>
                <w:color w:val="17263C"/>
                <w:sz w:val="16"/>
              </w:rPr>
              <w:t>Documents émis et écritures validées immuables ; correction par avoir, contrepassation ou écriture d’extourne.</w:t>
            </w:r>
          </w:p>
        </w:tc>
      </w:tr>
      <w:tr>
        <w:tc>
          <w:tcPr>
            <w:tcW w:type="dxa" w:w="2267"/>
            <w:tcMar>
              <w:top w:w="80" w:type="dxa"/>
              <w:start w:w="100" w:type="dxa"/>
              <w:bottom w:w="80" w:type="dxa"/>
              <w:end w:w="100" w:type="dxa"/>
            </w:tcMar>
            <w:vAlign w:val="top"/>
          </w:tcPr>
          <w:p>
            <w:pPr>
              <w:spacing w:after="0"/>
            </w:pPr>
            <w:r>
              <w:rPr>
                <w:rFonts w:ascii="Aptos" w:hAnsi="Aptos"/>
                <w:color w:val="17263C"/>
                <w:sz w:val="16"/>
              </w:rPr>
              <w:t>Intégrations</w:t>
            </w:r>
          </w:p>
        </w:tc>
        <w:tc>
          <w:tcPr>
            <w:tcW w:type="dxa" w:w="7596"/>
            <w:tcMar>
              <w:top w:w="80" w:type="dxa"/>
              <w:start w:w="100" w:type="dxa"/>
              <w:bottom w:w="80" w:type="dxa"/>
              <w:end w:w="100" w:type="dxa"/>
            </w:tcMar>
            <w:vAlign w:val="top"/>
          </w:tcPr>
          <w:p>
            <w:pPr>
              <w:spacing w:after="0"/>
            </w:pPr>
            <w:r>
              <w:rPr>
                <w:rFonts w:ascii="Aptos" w:hAnsi="Aptos"/>
                <w:color w:val="17263C"/>
                <w:sz w:val="16"/>
              </w:rPr>
              <w:t>Architecture par ports/adaptateurs, idempotence et journalisation des échanges.</w:t>
            </w:r>
          </w:p>
        </w:tc>
      </w:tr>
      <w:tr>
        <w:tc>
          <w:tcPr>
            <w:tcW w:type="dxa" w:w="2267"/>
            <w:tcMar>
              <w:top w:w="80" w:type="dxa"/>
              <w:start w:w="100" w:type="dxa"/>
              <w:bottom w:w="80" w:type="dxa"/>
              <w:end w:w="100" w:type="dxa"/>
            </w:tcMar>
            <w:vAlign w:val="top"/>
          </w:tcPr>
          <w:p>
            <w:pPr>
              <w:spacing w:after="0"/>
            </w:pPr>
            <w:r>
              <w:rPr>
                <w:rFonts w:ascii="Aptos" w:hAnsi="Aptos"/>
                <w:color w:val="17263C"/>
                <w:sz w:val="16"/>
              </w:rPr>
              <w:t>Qualité</w:t>
            </w:r>
          </w:p>
        </w:tc>
        <w:tc>
          <w:tcPr>
            <w:tcW w:type="dxa" w:w="7596"/>
            <w:tcMar>
              <w:top w:w="80" w:type="dxa"/>
              <w:start w:w="100" w:type="dxa"/>
              <w:bottom w:w="80" w:type="dxa"/>
              <w:end w:w="100" w:type="dxa"/>
            </w:tcMar>
            <w:vAlign w:val="top"/>
          </w:tcPr>
          <w:p>
            <w:pPr>
              <w:spacing w:after="0"/>
            </w:pPr>
            <w:r>
              <w:rPr>
                <w:rFonts w:ascii="Aptos" w:hAnsi="Aptos"/>
                <w:color w:val="17263C"/>
                <w:sz w:val="16"/>
              </w:rPr>
              <w:t>Aucune brique déclarée disponible sans migrations, tests, documentation, exemple et critères de recette passants.</w:t>
            </w:r>
          </w:p>
        </w:tc>
      </w:tr>
    </w:tbl>
    <w:p>
      <w:pPr>
        <w:spacing w:after="0"/>
      </w:pPr>
    </w:p>
    <w:p>
      <w:pPr>
        <w:pStyle w:val="Heading1"/>
      </w:pPr>
      <w:r>
        <w:t>2. Cadre de construction greenfield</w:t>
      </w:r>
    </w:p>
    <w:p>
      <w:pPr>
        <w:pStyle w:val="Heading2"/>
      </w:pPr>
      <w:r>
        <w:t>2.1 Hypothèses de départ</w:t>
      </w:r>
    </w:p>
    <w:p>
      <w:pPr>
        <w:pStyle w:val="ListBullet"/>
      </w:pPr>
      <w:r>
        <w:rPr>
          <w:rFonts w:ascii="Aptos" w:hAnsi="Aptos"/>
          <w:sz w:val="18"/>
        </w:rPr>
        <w:t>Le code source est créé dans un dépôt neuf, avec un historique Git propre et une gouvernance définie dès le premier commit.</w:t>
      </w:r>
    </w:p>
    <w:p>
      <w:pPr>
        <w:pStyle w:val="ListBullet"/>
      </w:pPr>
      <w:r>
        <w:rPr>
          <w:rFonts w:ascii="Aptos" w:hAnsi="Aptos"/>
          <w:sz w:val="18"/>
        </w:rPr>
        <w:t>Aucune compatibilité ascendante, reprise de données ou migration depuis une application antérieure n’est exigée dans le socle générique.</w:t>
      </w:r>
    </w:p>
    <w:p>
      <w:pPr>
        <w:pStyle w:val="ListBullet"/>
      </w:pPr>
      <w:r>
        <w:rPr>
          <w:rFonts w:ascii="Aptos" w:hAnsi="Aptos"/>
          <w:sz w:val="18"/>
        </w:rPr>
        <w:t>Le premier schéma de données est conçu à partir des invariants métier et non d’écrans ou de tables préexistants.</w:t>
      </w:r>
    </w:p>
    <w:p>
      <w:pPr>
        <w:pStyle w:val="ListBullet"/>
      </w:pPr>
      <w:r>
        <w:rPr>
          <w:rFonts w:ascii="Aptos" w:hAnsi="Aptos"/>
          <w:sz w:val="18"/>
        </w:rPr>
        <w:t>Chaque projet client installe uniquement les capacités nécessaires et conserve ses extensions, son identité visuelle et son vocabulaire hors du noyau partagé.</w:t>
      </w:r>
    </w:p>
    <w:p>
      <w:pPr>
        <w:pStyle w:val="ListBullet"/>
      </w:pPr>
      <w:r>
        <w:rPr>
          <w:rFonts w:ascii="Aptos" w:hAnsi="Aptos"/>
          <w:sz w:val="18"/>
        </w:rPr>
        <w:t>Les données de démonstration sont fictives ; aucune donnée client réelle n’est incluse dans le dépôt commun.</w:t>
      </w:r>
    </w:p>
    <w:p>
      <w:pPr>
        <w:pStyle w:val="ListBullet"/>
      </w:pPr>
      <w:r>
        <w:rPr>
          <w:rFonts w:ascii="Aptos" w:hAnsi="Aptos"/>
          <w:sz w:val="18"/>
        </w:rPr>
        <w:t>Le noyau peut évoluer par versions publiées, mais ne dépend jamais d’un projet client particulier.</w:t>
      </w:r>
    </w:p>
    <w:p>
      <w:pPr>
        <w:pStyle w:val="Heading2"/>
      </w:pPr>
      <w:r>
        <w:t>2.2 Principes de conception initiale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0"/>
            <w:shd w:fill="EAF2F7"/>
            <w:tcMar>
              <w:top w:w="80" w:type="dxa"/>
              <w:start w:w="100" w:type="dxa"/>
              <w:bottom w:w="80" w:type="dxa"/>
              <w:end w:w="100" w:type="dxa"/>
            </w:tcMar>
            <w:vAlign w:val="center"/>
          </w:tcPr>
          <w:p>
            <w:pPr>
              <w:spacing w:after="0"/>
            </w:pPr>
            <w:r>
              <w:rPr>
                <w:rFonts w:ascii="Aptos" w:hAnsi="Aptos"/>
                <w:b/>
                <w:color w:val="17263C"/>
                <w:sz w:val="16"/>
              </w:rPr>
              <w:t>Sujet</w:t>
            </w:r>
          </w:p>
        </w:tc>
        <w:tc>
          <w:tcPr>
            <w:tcW w:type="dxa" w:w="4535"/>
            <w:shd w:fill="EAF2F7"/>
            <w:tcMar>
              <w:top w:w="80" w:type="dxa"/>
              <w:start w:w="100" w:type="dxa"/>
              <w:bottom w:w="80" w:type="dxa"/>
              <w:end w:w="100" w:type="dxa"/>
            </w:tcMar>
            <w:vAlign w:val="center"/>
          </w:tcPr>
          <w:p>
            <w:pPr>
              <w:spacing w:after="0"/>
            </w:pPr>
            <w:r>
              <w:rPr>
                <w:rFonts w:ascii="Aptos" w:hAnsi="Aptos"/>
                <w:b/>
                <w:color w:val="17263C"/>
                <w:sz w:val="16"/>
              </w:rPr>
              <w:t>Décision greenfield</w:t>
            </w:r>
          </w:p>
        </w:tc>
        <w:tc>
          <w:tcPr>
            <w:tcW w:type="dxa" w:w="3628"/>
            <w:shd w:fill="EAF2F7"/>
            <w:tcMar>
              <w:top w:w="80" w:type="dxa"/>
              <w:start w:w="100" w:type="dxa"/>
              <w:bottom w:w="80" w:type="dxa"/>
              <w:end w:w="100" w:type="dxa"/>
            </w:tcMar>
            <w:vAlign w:val="center"/>
          </w:tcPr>
          <w:p>
            <w:pPr>
              <w:spacing w:after="0"/>
            </w:pPr>
            <w:r>
              <w:rPr>
                <w:rFonts w:ascii="Aptos" w:hAnsi="Aptos"/>
                <w:b/>
                <w:color w:val="17263C"/>
                <w:sz w:val="16"/>
              </w:rPr>
              <w:t>Résultat attendu</w:t>
            </w:r>
          </w:p>
        </w:tc>
      </w:tr>
      <w:tr>
        <w:tc>
          <w:tcPr>
            <w:tcW w:type="dxa" w:w="1700"/>
            <w:tcMar>
              <w:top w:w="80" w:type="dxa"/>
              <w:start w:w="100" w:type="dxa"/>
              <w:bottom w:w="80" w:type="dxa"/>
              <w:end w:w="100" w:type="dxa"/>
            </w:tcMar>
            <w:vAlign w:val="top"/>
          </w:tcPr>
          <w:p>
            <w:pPr>
              <w:spacing w:after="0"/>
            </w:pPr>
            <w:r>
              <w:rPr>
                <w:rFonts w:ascii="Aptos" w:hAnsi="Aptos"/>
                <w:color w:val="17263C"/>
                <w:sz w:val="16"/>
              </w:rPr>
              <w:t>Dépôt</w:t>
            </w:r>
          </w:p>
        </w:tc>
        <w:tc>
          <w:tcPr>
            <w:tcW w:type="dxa" w:w="4535"/>
            <w:tcMar>
              <w:top w:w="80" w:type="dxa"/>
              <w:start w:w="100" w:type="dxa"/>
              <w:bottom w:w="80" w:type="dxa"/>
              <w:end w:w="100" w:type="dxa"/>
            </w:tcMar>
            <w:vAlign w:val="top"/>
          </w:tcPr>
          <w:p>
            <w:pPr>
              <w:spacing w:after="0"/>
            </w:pPr>
            <w:r>
              <w:rPr>
                <w:rFonts w:ascii="Aptos" w:hAnsi="Aptos"/>
                <w:color w:val="17263C"/>
                <w:sz w:val="16"/>
              </w:rPr>
              <w:t>Dépôt privé ou public neuf, nom neutre, protection de la branche principale et revue obligatoire.</w:t>
            </w:r>
          </w:p>
        </w:tc>
        <w:tc>
          <w:tcPr>
            <w:tcW w:type="dxa" w:w="3628"/>
            <w:tcMar>
              <w:top w:w="80" w:type="dxa"/>
              <w:start w:w="100" w:type="dxa"/>
              <w:bottom w:w="80" w:type="dxa"/>
              <w:end w:w="100" w:type="dxa"/>
            </w:tcMar>
            <w:vAlign w:val="top"/>
          </w:tcPr>
          <w:p>
            <w:pPr>
              <w:spacing w:after="0"/>
            </w:pPr>
            <w:r>
              <w:rPr>
                <w:rFonts w:ascii="Aptos" w:hAnsi="Aptos"/>
                <w:color w:val="17263C"/>
                <w:sz w:val="16"/>
              </w:rPr>
              <w:t>Traçabilité et qualité dès l’origine.</w:t>
            </w:r>
          </w:p>
        </w:tc>
      </w:tr>
      <w:tr>
        <w:tc>
          <w:tcPr>
            <w:tcW w:type="dxa" w:w="1700"/>
            <w:tcMar>
              <w:top w:w="80" w:type="dxa"/>
              <w:start w:w="100" w:type="dxa"/>
              <w:bottom w:w="80" w:type="dxa"/>
              <w:end w:w="100" w:type="dxa"/>
            </w:tcMar>
            <w:vAlign w:val="top"/>
          </w:tcPr>
          <w:p>
            <w:pPr>
              <w:spacing w:after="0"/>
            </w:pPr>
            <w:r>
              <w:rPr>
                <w:rFonts w:ascii="Aptos" w:hAnsi="Aptos"/>
                <w:color w:val="17263C"/>
                <w:sz w:val="16"/>
              </w:rPr>
              <w:t>Packaging</w:t>
            </w:r>
          </w:p>
        </w:tc>
        <w:tc>
          <w:tcPr>
            <w:tcW w:type="dxa" w:w="4535"/>
            <w:tcMar>
              <w:top w:w="80" w:type="dxa"/>
              <w:start w:w="100" w:type="dxa"/>
              <w:bottom w:w="80" w:type="dxa"/>
              <w:end w:w="100" w:type="dxa"/>
            </w:tcMar>
            <w:vAlign w:val="top"/>
          </w:tcPr>
          <w:p>
            <w:pPr>
              <w:spacing w:after="0"/>
            </w:pPr>
            <w:r>
              <w:rPr>
                <w:rFonts w:ascii="Aptos" w:hAnsi="Aptos"/>
                <w:color w:val="17263C"/>
                <w:sz w:val="16"/>
              </w:rPr>
              <w:t>Un namespace Python neutre et des applications Django séparées par domaine.</w:t>
            </w:r>
          </w:p>
        </w:tc>
        <w:tc>
          <w:tcPr>
            <w:tcW w:type="dxa" w:w="3628"/>
            <w:tcMar>
              <w:top w:w="80" w:type="dxa"/>
              <w:start w:w="100" w:type="dxa"/>
              <w:bottom w:w="80" w:type="dxa"/>
              <w:end w:w="100" w:type="dxa"/>
            </w:tcMar>
            <w:vAlign w:val="top"/>
          </w:tcPr>
          <w:p>
            <w:pPr>
              <w:spacing w:after="0"/>
            </w:pPr>
            <w:r>
              <w:rPr>
                <w:rFonts w:ascii="Aptos" w:hAnsi="Aptos"/>
                <w:color w:val="17263C"/>
                <w:sz w:val="16"/>
              </w:rPr>
              <w:t>Imports stables, absence de collision et installation sélective.</w:t>
            </w:r>
          </w:p>
        </w:tc>
      </w:tr>
      <w:tr>
        <w:tc>
          <w:tcPr>
            <w:tcW w:type="dxa" w:w="1700"/>
            <w:tcMar>
              <w:top w:w="80" w:type="dxa"/>
              <w:start w:w="100" w:type="dxa"/>
              <w:bottom w:w="80" w:type="dxa"/>
              <w:end w:w="100" w:type="dxa"/>
            </w:tcMar>
            <w:vAlign w:val="top"/>
          </w:tcPr>
          <w:p>
            <w:pPr>
              <w:spacing w:after="0"/>
            </w:pPr>
            <w:r>
              <w:rPr>
                <w:rFonts w:ascii="Aptos" w:hAnsi="Aptos"/>
                <w:color w:val="17263C"/>
                <w:sz w:val="16"/>
              </w:rPr>
              <w:t>Données</w:t>
            </w:r>
          </w:p>
        </w:tc>
        <w:tc>
          <w:tcPr>
            <w:tcW w:type="dxa" w:w="4535"/>
            <w:tcMar>
              <w:top w:w="80" w:type="dxa"/>
              <w:start w:w="100" w:type="dxa"/>
              <w:bottom w:w="80" w:type="dxa"/>
              <w:end w:w="100" w:type="dxa"/>
            </w:tcMar>
            <w:vAlign w:val="top"/>
          </w:tcPr>
          <w:p>
            <w:pPr>
              <w:spacing w:after="0"/>
            </w:pPr>
            <w:r>
              <w:rPr>
                <w:rFonts w:ascii="Aptos" w:hAnsi="Aptos"/>
                <w:color w:val="17263C"/>
                <w:sz w:val="16"/>
              </w:rPr>
              <w:t>PostgreSQL comme base de référence ; contraintes métier exprimées en base et dans les services.</w:t>
            </w:r>
          </w:p>
        </w:tc>
        <w:tc>
          <w:tcPr>
            <w:tcW w:type="dxa" w:w="3628"/>
            <w:tcMar>
              <w:top w:w="80" w:type="dxa"/>
              <w:start w:w="100" w:type="dxa"/>
              <w:bottom w:w="80" w:type="dxa"/>
              <w:end w:w="100" w:type="dxa"/>
            </w:tcMar>
            <w:vAlign w:val="top"/>
          </w:tcPr>
          <w:p>
            <w:pPr>
              <w:spacing w:after="0"/>
            </w:pPr>
            <w:r>
              <w:rPr>
                <w:rFonts w:ascii="Aptos" w:hAnsi="Aptos"/>
                <w:color w:val="17263C"/>
                <w:sz w:val="16"/>
              </w:rPr>
              <w:t>Intégrité transactionnelle et comportement reproductible.</w:t>
            </w:r>
          </w:p>
        </w:tc>
      </w:tr>
      <w:tr>
        <w:tc>
          <w:tcPr>
            <w:tcW w:type="dxa" w:w="1700"/>
            <w:tcMar>
              <w:top w:w="80" w:type="dxa"/>
              <w:start w:w="100" w:type="dxa"/>
              <w:bottom w:w="80" w:type="dxa"/>
              <w:end w:w="100" w:type="dxa"/>
            </w:tcMar>
            <w:vAlign w:val="top"/>
          </w:tcPr>
          <w:p>
            <w:pPr>
              <w:spacing w:after="0"/>
            </w:pPr>
            <w:r>
              <w:rPr>
                <w:rFonts w:ascii="Aptos" w:hAnsi="Aptos"/>
                <w:color w:val="17263C"/>
                <w:sz w:val="16"/>
              </w:rPr>
              <w:t>Interface</w:t>
            </w:r>
          </w:p>
        </w:tc>
        <w:tc>
          <w:tcPr>
            <w:tcW w:type="dxa" w:w="4535"/>
            <w:tcMar>
              <w:top w:w="80" w:type="dxa"/>
              <w:start w:w="100" w:type="dxa"/>
              <w:bottom w:w="80" w:type="dxa"/>
              <w:end w:w="100" w:type="dxa"/>
            </w:tcMar>
            <w:vAlign w:val="top"/>
          </w:tcPr>
          <w:p>
            <w:pPr>
              <w:spacing w:after="0"/>
            </w:pPr>
            <w:r>
              <w:rPr>
                <w:rFonts w:ascii="Aptos" w:hAnsi="Aptos"/>
                <w:color w:val="17263C"/>
                <w:sz w:val="16"/>
              </w:rPr>
              <w:t>Rendu serveur accessible, HTMX pour les interactions ciblées et Alpine.js pour l’état local léger.</w:t>
            </w:r>
          </w:p>
        </w:tc>
        <w:tc>
          <w:tcPr>
            <w:tcW w:type="dxa" w:w="3628"/>
            <w:tcMar>
              <w:top w:w="80" w:type="dxa"/>
              <w:start w:w="100" w:type="dxa"/>
              <w:bottom w:w="80" w:type="dxa"/>
              <w:end w:w="100" w:type="dxa"/>
            </w:tcMar>
            <w:vAlign w:val="top"/>
          </w:tcPr>
          <w:p>
            <w:pPr>
              <w:spacing w:after="0"/>
            </w:pPr>
            <w:r>
              <w:rPr>
                <w:rFonts w:ascii="Aptos" w:hAnsi="Aptos"/>
                <w:color w:val="17263C"/>
                <w:sz w:val="16"/>
              </w:rPr>
              <w:t>Interface rapide sans dépendance à une SPA globale.</w:t>
            </w:r>
          </w:p>
        </w:tc>
      </w:tr>
      <w:tr>
        <w:tc>
          <w:tcPr>
            <w:tcW w:type="dxa" w:w="1700"/>
            <w:tcMar>
              <w:top w:w="80" w:type="dxa"/>
              <w:start w:w="100" w:type="dxa"/>
              <w:bottom w:w="80" w:type="dxa"/>
              <w:end w:w="100" w:type="dxa"/>
            </w:tcMar>
            <w:vAlign w:val="top"/>
          </w:tcPr>
          <w:p>
            <w:pPr>
              <w:spacing w:after="0"/>
            </w:pPr>
            <w:r>
              <w:rPr>
                <w:rFonts w:ascii="Aptos" w:hAnsi="Aptos"/>
                <w:color w:val="17263C"/>
                <w:sz w:val="16"/>
              </w:rPr>
              <w:t>Asynchrone</w:t>
            </w:r>
          </w:p>
        </w:tc>
        <w:tc>
          <w:tcPr>
            <w:tcW w:type="dxa" w:w="4535"/>
            <w:tcMar>
              <w:top w:w="80" w:type="dxa"/>
              <w:start w:w="100" w:type="dxa"/>
              <w:bottom w:w="80" w:type="dxa"/>
              <w:end w:w="100" w:type="dxa"/>
            </w:tcMar>
            <w:vAlign w:val="top"/>
          </w:tcPr>
          <w:p>
            <w:pPr>
              <w:spacing w:after="0"/>
            </w:pPr>
            <w:r>
              <w:rPr>
                <w:rFonts w:ascii="Aptos" w:hAnsi="Aptos"/>
                <w:color w:val="17263C"/>
                <w:sz w:val="16"/>
              </w:rPr>
              <w:t>Tâches et événements introduits derrière des interfaces ; Redis/Celery uniquement pour les modules qui le nécessitent.</w:t>
            </w:r>
          </w:p>
        </w:tc>
        <w:tc>
          <w:tcPr>
            <w:tcW w:type="dxa" w:w="3628"/>
            <w:tcMar>
              <w:top w:w="80" w:type="dxa"/>
              <w:start w:w="100" w:type="dxa"/>
              <w:bottom w:w="80" w:type="dxa"/>
              <w:end w:w="100" w:type="dxa"/>
            </w:tcMar>
            <w:vAlign w:val="top"/>
          </w:tcPr>
          <w:p>
            <w:pPr>
              <w:spacing w:after="0"/>
            </w:pPr>
            <w:r>
              <w:rPr>
                <w:rFonts w:ascii="Aptos" w:hAnsi="Aptos"/>
                <w:color w:val="17263C"/>
                <w:sz w:val="16"/>
              </w:rPr>
              <w:t>Socle minimal et montée en charge maîtrisée.</w:t>
            </w:r>
          </w:p>
        </w:tc>
      </w:tr>
      <w:tr>
        <w:tc>
          <w:tcPr>
            <w:tcW w:type="dxa" w:w="1700"/>
            <w:tcMar>
              <w:top w:w="80" w:type="dxa"/>
              <w:start w:w="100" w:type="dxa"/>
              <w:bottom w:w="80" w:type="dxa"/>
              <w:end w:w="100" w:type="dxa"/>
            </w:tcMar>
            <w:vAlign w:val="top"/>
          </w:tcPr>
          <w:p>
            <w:pPr>
              <w:spacing w:after="0"/>
            </w:pPr>
            <w:r>
              <w:rPr>
                <w:rFonts w:ascii="Aptos" w:hAnsi="Aptos"/>
                <w:color w:val="17263C"/>
                <w:sz w:val="16"/>
              </w:rPr>
              <w:t>Personnalisation</w:t>
            </w:r>
          </w:p>
        </w:tc>
        <w:tc>
          <w:tcPr>
            <w:tcW w:type="dxa" w:w="4535"/>
            <w:tcMar>
              <w:top w:w="80" w:type="dxa"/>
              <w:start w:w="100" w:type="dxa"/>
              <w:bottom w:w="80" w:type="dxa"/>
              <w:end w:w="100" w:type="dxa"/>
            </w:tcMar>
            <w:vAlign w:val="top"/>
          </w:tcPr>
          <w:p>
            <w:pPr>
              <w:spacing w:after="0"/>
            </w:pPr>
            <w:r>
              <w:rPr>
                <w:rFonts w:ascii="Aptos" w:hAnsi="Aptos"/>
                <w:color w:val="17263C"/>
                <w:sz w:val="16"/>
              </w:rPr>
              <w:t>Thème, libellés, workflows et adaptateurs configurables ; extensions client hors du noyau.</w:t>
            </w:r>
          </w:p>
        </w:tc>
        <w:tc>
          <w:tcPr>
            <w:tcW w:type="dxa" w:w="3628"/>
            <w:tcMar>
              <w:top w:w="80" w:type="dxa"/>
              <w:start w:w="100" w:type="dxa"/>
              <w:bottom w:w="80" w:type="dxa"/>
              <w:end w:w="100" w:type="dxa"/>
            </w:tcMar>
            <w:vAlign w:val="top"/>
          </w:tcPr>
          <w:p>
            <w:pPr>
              <w:spacing w:after="0"/>
            </w:pPr>
            <w:r>
              <w:rPr>
                <w:rFonts w:ascii="Aptos" w:hAnsi="Aptos"/>
                <w:color w:val="17263C"/>
                <w:sz w:val="16"/>
              </w:rPr>
              <w:t>Produit livré au nom du client sans fork permanent.</w:t>
            </w:r>
          </w:p>
        </w:tc>
      </w:tr>
      <w:tr>
        <w:tc>
          <w:tcPr>
            <w:tcW w:type="dxa" w:w="1700"/>
            <w:tcMar>
              <w:top w:w="80" w:type="dxa"/>
              <w:start w:w="100" w:type="dxa"/>
              <w:bottom w:w="80" w:type="dxa"/>
              <w:end w:w="100" w:type="dxa"/>
            </w:tcMar>
            <w:vAlign w:val="top"/>
          </w:tcPr>
          <w:p>
            <w:pPr>
              <w:spacing w:after="0"/>
            </w:pPr>
            <w:r>
              <w:rPr>
                <w:rFonts w:ascii="Aptos" w:hAnsi="Aptos"/>
                <w:color w:val="17263C"/>
                <w:sz w:val="16"/>
              </w:rPr>
              <w:t>Qualité</w:t>
            </w:r>
          </w:p>
        </w:tc>
        <w:tc>
          <w:tcPr>
            <w:tcW w:type="dxa" w:w="4535"/>
            <w:tcMar>
              <w:top w:w="80" w:type="dxa"/>
              <w:start w:w="100" w:type="dxa"/>
              <w:bottom w:w="80" w:type="dxa"/>
              <w:end w:w="100" w:type="dxa"/>
            </w:tcMar>
            <w:vAlign w:val="top"/>
          </w:tcPr>
          <w:p>
            <w:pPr>
              <w:spacing w:after="0"/>
            </w:pPr>
            <w:r>
              <w:rPr>
                <w:rFonts w:ascii="Aptos" w:hAnsi="Aptos"/>
                <w:color w:val="17263C"/>
                <w:sz w:val="16"/>
              </w:rPr>
              <w:t>Tests, typage, lint, sécurité et documentation bloquants dans la CI selon des seuils versionnés.</w:t>
            </w:r>
          </w:p>
        </w:tc>
        <w:tc>
          <w:tcPr>
            <w:tcW w:type="dxa" w:w="3628"/>
            <w:tcMar>
              <w:top w:w="80" w:type="dxa"/>
              <w:start w:w="100" w:type="dxa"/>
              <w:bottom w:w="80" w:type="dxa"/>
              <w:end w:w="100" w:type="dxa"/>
            </w:tcMar>
            <w:vAlign w:val="top"/>
          </w:tcPr>
          <w:p>
            <w:pPr>
              <w:spacing w:after="0"/>
            </w:pPr>
            <w:r>
              <w:rPr>
                <w:rFonts w:ascii="Aptos" w:hAnsi="Aptos"/>
                <w:color w:val="17263C"/>
                <w:sz w:val="16"/>
              </w:rPr>
              <w:t>Chaque version publiée est installable et vérifiable.</w:t>
            </w:r>
          </w:p>
        </w:tc>
      </w:tr>
      <w:tr>
        <w:tc>
          <w:tcPr>
            <w:tcW w:type="dxa" w:w="1700"/>
            <w:tcMar>
              <w:top w:w="80" w:type="dxa"/>
              <w:start w:w="100" w:type="dxa"/>
              <w:bottom w:w="80" w:type="dxa"/>
              <w:end w:w="100" w:type="dxa"/>
            </w:tcMar>
            <w:vAlign w:val="top"/>
          </w:tcPr>
          <w:p>
            <w:pPr>
              <w:spacing w:after="0"/>
            </w:pPr>
            <w:r>
              <w:rPr>
                <w:rFonts w:ascii="Aptos" w:hAnsi="Aptos"/>
                <w:color w:val="17263C"/>
                <w:sz w:val="16"/>
              </w:rPr>
              <w:t>Évolution</w:t>
            </w:r>
          </w:p>
        </w:tc>
        <w:tc>
          <w:tcPr>
            <w:tcW w:type="dxa" w:w="4535"/>
            <w:tcMar>
              <w:top w:w="80" w:type="dxa"/>
              <w:start w:w="100" w:type="dxa"/>
              <w:bottom w:w="80" w:type="dxa"/>
              <w:end w:w="100" w:type="dxa"/>
            </w:tcMar>
            <w:vAlign w:val="top"/>
          </w:tcPr>
          <w:p>
            <w:pPr>
              <w:spacing w:after="0"/>
            </w:pPr>
            <w:r>
              <w:rPr>
                <w:rFonts w:ascii="Aptos" w:hAnsi="Aptos"/>
                <w:color w:val="17263C"/>
                <w:sz w:val="16"/>
              </w:rPr>
              <w:t>Versionnement sémantique, changelog, politique de dépréciation et guides de montée de version.</w:t>
            </w:r>
          </w:p>
        </w:tc>
        <w:tc>
          <w:tcPr>
            <w:tcW w:type="dxa" w:w="3628"/>
            <w:tcMar>
              <w:top w:w="80" w:type="dxa"/>
              <w:start w:w="100" w:type="dxa"/>
              <w:bottom w:w="80" w:type="dxa"/>
              <w:end w:w="100" w:type="dxa"/>
            </w:tcMar>
            <w:vAlign w:val="top"/>
          </w:tcPr>
          <w:p>
            <w:pPr>
              <w:spacing w:after="0"/>
            </w:pPr>
            <w:r>
              <w:rPr>
                <w:rFonts w:ascii="Aptos" w:hAnsi="Aptos"/>
                <w:color w:val="17263C"/>
                <w:sz w:val="16"/>
              </w:rPr>
              <w:t>Mises à jour client prévisibles.</w:t>
            </w:r>
          </w:p>
        </w:tc>
      </w:tr>
    </w:tbl>
    <w:p>
      <w:pPr>
        <w:spacing w:after="0"/>
      </w:pPr>
    </w:p>
    <w:p>
      <w:pPr>
        <w:pStyle w:val="Heading2"/>
      </w:pPr>
      <w:r>
        <w:t>2.3 Socle technique à initialiser</w:t>
      </w:r>
    </w:p>
    <w:p>
      <w:pPr>
        <w:spacing w:after="40"/>
        <w:ind w:left="408" w:hanging="295"/>
      </w:pPr>
      <w:r>
        <w:rPr>
          <w:rFonts w:ascii="Aptos" w:hAnsi="Aptos"/>
          <w:b/>
          <w:color w:val="245C7C"/>
          <w:sz w:val="18"/>
        </w:rPr>
        <w:t xml:space="preserve">1. </w:t>
      </w:r>
      <w:r>
        <w:rPr>
          <w:rFonts w:ascii="Aptos" w:hAnsi="Aptos"/>
          <w:sz w:val="18"/>
        </w:rPr>
        <w:t>Créer le dépôt, la licence, les règles de contribution, les propriétaires de code et les modèles d’issue et de pull request.</w:t>
      </w:r>
    </w:p>
    <w:p>
      <w:pPr>
        <w:spacing w:after="40"/>
        <w:ind w:left="408" w:hanging="295"/>
      </w:pPr>
      <w:r>
        <w:rPr>
          <w:rFonts w:ascii="Aptos" w:hAnsi="Aptos"/>
          <w:b/>
          <w:color w:val="245C7C"/>
          <w:sz w:val="18"/>
        </w:rPr>
        <w:t xml:space="preserve">2. </w:t>
      </w:r>
      <w:r>
        <w:rPr>
          <w:rFonts w:ascii="Aptos" w:hAnsi="Aptos"/>
          <w:sz w:val="18"/>
        </w:rPr>
        <w:t>Initialiser un pyproject.toml unique, le namespace neutre, les environnements de développement et la gestion verrouillée des dépendances.</w:t>
      </w:r>
    </w:p>
    <w:p>
      <w:pPr>
        <w:spacing w:after="40"/>
        <w:ind w:left="408" w:hanging="295"/>
      </w:pPr>
      <w:r>
        <w:rPr>
          <w:rFonts w:ascii="Aptos" w:hAnsi="Aptos"/>
          <w:b/>
          <w:color w:val="245C7C"/>
          <w:sz w:val="18"/>
        </w:rPr>
        <w:t xml:space="preserve">3. </w:t>
      </w:r>
      <w:r>
        <w:rPr>
          <w:rFonts w:ascii="Aptos" w:hAnsi="Aptos"/>
          <w:sz w:val="18"/>
        </w:rPr>
        <w:t>Configurer Django 5.2 LTS, PostgreSQL, les paramètres par environnement, les secrets externes et les contrôles de démarrage.</w:t>
      </w:r>
    </w:p>
    <w:p>
      <w:pPr>
        <w:spacing w:after="40"/>
        <w:ind w:left="408" w:hanging="295"/>
      </w:pPr>
      <w:r>
        <w:rPr>
          <w:rFonts w:ascii="Aptos" w:hAnsi="Aptos"/>
          <w:b/>
          <w:color w:val="245C7C"/>
          <w:sz w:val="18"/>
        </w:rPr>
        <w:t xml:space="preserve">4. </w:t>
      </w:r>
      <w:r>
        <w:rPr>
          <w:rFonts w:ascii="Aptos" w:hAnsi="Aptos"/>
          <w:sz w:val="18"/>
        </w:rPr>
        <w:t>Créer les applications de fondation avec AppConfig, migrations initiales, URLs, interfaces publiques et règles de dépendance.</w:t>
      </w:r>
    </w:p>
    <w:p>
      <w:pPr>
        <w:spacing w:after="40"/>
        <w:ind w:left="408" w:hanging="295"/>
      </w:pPr>
      <w:r>
        <w:rPr>
          <w:rFonts w:ascii="Aptos" w:hAnsi="Aptos"/>
          <w:b/>
          <w:color w:val="245C7C"/>
          <w:sz w:val="18"/>
        </w:rPr>
        <w:t xml:space="preserve">5. </w:t>
      </w:r>
      <w:r>
        <w:rPr>
          <w:rFonts w:ascii="Aptos" w:hAnsi="Aptos"/>
          <w:sz w:val="18"/>
        </w:rPr>
        <w:t>Fournir un projet de référence exécutable avec données fictives et profils local, test, intégration et production.</w:t>
      </w:r>
    </w:p>
    <w:p>
      <w:pPr>
        <w:spacing w:after="40"/>
        <w:ind w:left="408" w:hanging="295"/>
      </w:pPr>
      <w:r>
        <w:rPr>
          <w:rFonts w:ascii="Aptos" w:hAnsi="Aptos"/>
          <w:b/>
          <w:color w:val="245C7C"/>
          <w:sz w:val="18"/>
        </w:rPr>
        <w:t xml:space="preserve">6. </w:t>
      </w:r>
      <w:r>
        <w:rPr>
          <w:rFonts w:ascii="Aptos" w:hAnsi="Aptos"/>
          <w:sz w:val="18"/>
        </w:rPr>
        <w:t>Mettre en place formatage, lint, typage, tests, analyse de dépendances, contrôle des migrations et analyse de sécurité dans la CI.</w:t>
      </w:r>
    </w:p>
    <w:p>
      <w:pPr>
        <w:spacing w:after="40"/>
        <w:ind w:left="408" w:hanging="295"/>
      </w:pPr>
      <w:r>
        <w:rPr>
          <w:rFonts w:ascii="Aptos" w:hAnsi="Aptos"/>
          <w:b/>
          <w:color w:val="245C7C"/>
          <w:sz w:val="18"/>
        </w:rPr>
        <w:t xml:space="preserve">7. </w:t>
      </w:r>
      <w:r>
        <w:rPr>
          <w:rFonts w:ascii="Aptos" w:hAnsi="Aptos"/>
          <w:sz w:val="18"/>
        </w:rPr>
        <w:t>Créer la documentation d’architecture, les ADR, le catalogue de composants, le guide de contribution et le processus de release.</w:t>
      </w:r>
    </w:p>
    <w:p>
      <w:pPr>
        <w:spacing w:after="40"/>
        <w:ind w:left="408" w:hanging="295"/>
      </w:pPr>
      <w:r>
        <w:rPr>
          <w:rFonts w:ascii="Aptos" w:hAnsi="Aptos"/>
          <w:b/>
          <w:color w:val="245C7C"/>
          <w:sz w:val="18"/>
        </w:rPr>
        <w:t xml:space="preserve">8. </w:t>
      </w:r>
      <w:r>
        <w:rPr>
          <w:rFonts w:ascii="Aptos" w:hAnsi="Aptos"/>
          <w:sz w:val="18"/>
        </w:rPr>
        <w:t>Publier une première version 0.1.0 limitée au socle initial, sans annoncer de brique métier non recettée.</w:t>
      </w:r>
    </w:p>
    <w:p>
      <w:pPr>
        <w:pStyle w:val="Heading2"/>
      </w:pPr>
      <w:r>
        <w:t>2.4 Conditions de sortie de l’initialisation</w:t>
      </w:r>
    </w:p>
    <w:p>
      <w:pPr>
        <w:pStyle w:val="ListBullet"/>
      </w:pPr>
      <w:r>
        <w:rPr>
          <w:rFonts w:ascii="Aptos" w:hAnsi="Aptos"/>
          <w:sz w:val="18"/>
        </w:rPr>
        <w:t>installation reproductible sur une machine vierge à partir de la documentation ;</w:t>
      </w:r>
    </w:p>
    <w:p>
      <w:pPr>
        <w:pStyle w:val="ListBullet"/>
      </w:pPr>
      <w:r>
        <w:rPr>
          <w:rFonts w:ascii="Aptos" w:hAnsi="Aptos"/>
          <w:sz w:val="18"/>
        </w:rPr>
        <w:t>démarrage local et exécution des tests sans dépendre d’un service client ;</w:t>
      </w:r>
    </w:p>
    <w:p>
      <w:pPr>
        <w:pStyle w:val="ListBullet"/>
      </w:pPr>
      <w:r>
        <w:rPr>
          <w:rFonts w:ascii="Aptos" w:hAnsi="Aptos"/>
          <w:sz w:val="18"/>
        </w:rPr>
        <w:t>création de la base depuis zéro avec toutes les migrations appliquées ;</w:t>
      </w:r>
    </w:p>
    <w:p>
      <w:pPr>
        <w:pStyle w:val="ListBullet"/>
      </w:pPr>
      <w:r>
        <w:rPr>
          <w:rFonts w:ascii="Aptos" w:hAnsi="Aptos"/>
          <w:sz w:val="18"/>
        </w:rPr>
        <w:t>pipeline CI vert sur la matrice de versions retenue ;</w:t>
      </w:r>
    </w:p>
    <w:p>
      <w:pPr>
        <w:pStyle w:val="ListBullet"/>
      </w:pPr>
      <w:r>
        <w:rPr>
          <w:rFonts w:ascii="Aptos" w:hAnsi="Aptos"/>
          <w:sz w:val="18"/>
        </w:rPr>
        <w:t>aucune marque du studio ni secret en dur dans le code livré ;</w:t>
      </w:r>
    </w:p>
    <w:p>
      <w:pPr>
        <w:pStyle w:val="ListBullet"/>
      </w:pPr>
      <w:r>
        <w:rPr>
          <w:rFonts w:ascii="Aptos" w:hAnsi="Aptos"/>
          <w:sz w:val="18"/>
        </w:rPr>
        <w:t>publication et réinstallation du paquet dans le projet de référence ;</w:t>
      </w:r>
    </w:p>
    <w:p>
      <w:pPr>
        <w:pStyle w:val="ListBullet"/>
      </w:pPr>
      <w:r>
        <w:rPr>
          <w:rFonts w:ascii="Aptos" w:hAnsi="Aptos"/>
          <w:sz w:val="18"/>
        </w:rPr>
        <w:t>sauvegarde, restauration et journalisation minimale démontrées ;</w:t>
      </w:r>
    </w:p>
    <w:p>
      <w:pPr>
        <w:pStyle w:val="ListBullet"/>
      </w:pPr>
      <w:r>
        <w:rPr>
          <w:rFonts w:ascii="Aptos" w:hAnsi="Aptos"/>
          <w:sz w:val="18"/>
        </w:rPr>
        <w:t>architecture et périmètre de la version cohérents avec le code publié.</w:t>
      </w:r>
    </w:p>
    <w:p>
      <w:pPr>
        <w:pStyle w:val="Heading1"/>
      </w:pPr>
      <w:r>
        <w:t>3. Périmètre, utilisateurs et principes fonctionnels</w:t>
      </w:r>
    </w:p>
    <w:p>
      <w:pPr>
        <w:pStyle w:val="Heading2"/>
      </w:pPr>
      <w:r>
        <w:t>3.1 Objectifs</w:t>
      </w:r>
    </w:p>
    <w:p>
      <w:pPr>
        <w:pStyle w:val="ListBullet"/>
      </w:pPr>
      <w:r>
        <w:rPr>
          <w:rFonts w:ascii="Aptos" w:hAnsi="Aptos"/>
          <w:sz w:val="18"/>
        </w:rPr>
        <w:t>Réduire le temps de conception des fonctionnalités transversales récurrentes.</w:t>
      </w:r>
    </w:p>
    <w:p>
      <w:pPr>
        <w:pStyle w:val="ListBullet"/>
      </w:pPr>
      <w:r>
        <w:rPr>
          <w:rFonts w:ascii="Aptos" w:hAnsi="Aptos"/>
          <w:sz w:val="18"/>
        </w:rPr>
        <w:t>Éviter les duplications de règles de calcul, de sécurité et d’interface entre projets.</w:t>
      </w:r>
    </w:p>
    <w:p>
      <w:pPr>
        <w:pStyle w:val="ListBullet"/>
      </w:pPr>
      <w:r>
        <w:rPr>
          <w:rFonts w:ascii="Aptos" w:hAnsi="Aptos"/>
          <w:sz w:val="18"/>
        </w:rPr>
        <w:t>Permettre une adaptation fine au vocabulaire et aux processus du client.</w:t>
      </w:r>
    </w:p>
    <w:p>
      <w:pPr>
        <w:pStyle w:val="ListBullet"/>
      </w:pPr>
      <w:r>
        <w:rPr>
          <w:rFonts w:ascii="Aptos" w:hAnsi="Aptos"/>
          <w:sz w:val="18"/>
        </w:rPr>
        <w:t>Garantir une traçabilité compatible avec les usages de gestion et de comptabilité.</w:t>
      </w:r>
    </w:p>
    <w:p>
      <w:pPr>
        <w:pStyle w:val="ListBullet"/>
      </w:pPr>
      <w:r>
        <w:rPr>
          <w:rFonts w:ascii="Aptos" w:hAnsi="Aptos"/>
          <w:sz w:val="18"/>
        </w:rPr>
        <w:t>Offrir une progression de la gestion simple vers la pré-comptabilité puis, si nécessaire, vers la comptabilité générale.</w:t>
      </w:r>
    </w:p>
    <w:p>
      <w:pPr>
        <w:pStyle w:val="ListBullet"/>
      </w:pPr>
      <w:r>
        <w:rPr>
          <w:rFonts w:ascii="Aptos" w:hAnsi="Aptos"/>
          <w:sz w:val="18"/>
        </w:rPr>
        <w:t>Produire des briques testées indépendamment et intégrées dans un projet de référence.</w:t>
      </w:r>
    </w:p>
    <w:p>
      <w:pPr>
        <w:pStyle w:val="Heading2"/>
      </w:pPr>
      <w:r>
        <w:t>3.2 Utilisateurs génériques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7"/>
            <w:shd w:fill="EAF2F7"/>
            <w:tcMar>
              <w:top w:w="80" w:type="dxa"/>
              <w:start w:w="100" w:type="dxa"/>
              <w:bottom w:w="80" w:type="dxa"/>
              <w:end w:w="100" w:type="dxa"/>
            </w:tcMar>
            <w:vAlign w:val="center"/>
          </w:tcPr>
          <w:p>
            <w:pPr>
              <w:spacing w:after="0"/>
            </w:pPr>
            <w:r>
              <w:rPr>
                <w:rFonts w:ascii="Aptos" w:hAnsi="Aptos"/>
                <w:b/>
                <w:color w:val="17263C"/>
                <w:sz w:val="16"/>
              </w:rPr>
              <w:t>Profil</w:t>
            </w:r>
          </w:p>
        </w:tc>
        <w:tc>
          <w:tcPr>
            <w:tcW w:type="dxa" w:w="7596"/>
            <w:shd w:fill="EAF2F7"/>
            <w:tcMar>
              <w:top w:w="80" w:type="dxa"/>
              <w:start w:w="100" w:type="dxa"/>
              <w:bottom w:w="80" w:type="dxa"/>
              <w:end w:w="100" w:type="dxa"/>
            </w:tcMar>
            <w:vAlign w:val="center"/>
          </w:tcPr>
          <w:p>
            <w:pPr>
              <w:spacing w:after="0"/>
            </w:pPr>
            <w:r>
              <w:rPr>
                <w:rFonts w:ascii="Aptos" w:hAnsi="Aptos"/>
                <w:b/>
                <w:color w:val="17263C"/>
                <w:sz w:val="16"/>
              </w:rPr>
              <w:t>Besoins principaux</w:t>
            </w:r>
          </w:p>
        </w:tc>
      </w:tr>
      <w:tr>
        <w:tc>
          <w:tcPr>
            <w:tcW w:type="dxa" w:w="2267"/>
            <w:tcMar>
              <w:top w:w="80" w:type="dxa"/>
              <w:start w:w="100" w:type="dxa"/>
              <w:bottom w:w="80" w:type="dxa"/>
              <w:end w:w="100" w:type="dxa"/>
            </w:tcMar>
            <w:vAlign w:val="top"/>
          </w:tcPr>
          <w:p>
            <w:pPr>
              <w:spacing w:after="0"/>
            </w:pPr>
            <w:r>
              <w:rPr>
                <w:rFonts w:ascii="Aptos" w:hAnsi="Aptos"/>
                <w:color w:val="17263C"/>
                <w:sz w:val="16"/>
              </w:rPr>
              <w:t>Dirigeant</w:t>
            </w:r>
          </w:p>
        </w:tc>
        <w:tc>
          <w:tcPr>
            <w:tcW w:type="dxa" w:w="7596"/>
            <w:tcMar>
              <w:top w:w="80" w:type="dxa"/>
              <w:start w:w="100" w:type="dxa"/>
              <w:bottom w:w="80" w:type="dxa"/>
              <w:end w:w="100" w:type="dxa"/>
            </w:tcMar>
            <w:vAlign w:val="top"/>
          </w:tcPr>
          <w:p>
            <w:pPr>
              <w:spacing w:after="0"/>
            </w:pPr>
            <w:r>
              <w:rPr>
                <w:rFonts w:ascii="Aptos" w:hAnsi="Aptos"/>
                <w:color w:val="17263C"/>
                <w:sz w:val="16"/>
              </w:rPr>
              <w:t>Vue consolidée, objectifs, trésorerie, marges, risques et décisions.</w:t>
            </w:r>
          </w:p>
        </w:tc>
      </w:tr>
      <w:tr>
        <w:tc>
          <w:tcPr>
            <w:tcW w:type="dxa" w:w="2267"/>
            <w:tcMar>
              <w:top w:w="80" w:type="dxa"/>
              <w:start w:w="100" w:type="dxa"/>
              <w:bottom w:w="80" w:type="dxa"/>
              <w:end w:w="100" w:type="dxa"/>
            </w:tcMar>
            <w:vAlign w:val="top"/>
          </w:tcPr>
          <w:p>
            <w:pPr>
              <w:spacing w:after="0"/>
            </w:pPr>
            <w:r>
              <w:rPr>
                <w:rFonts w:ascii="Aptos" w:hAnsi="Aptos"/>
                <w:color w:val="17263C"/>
                <w:sz w:val="16"/>
              </w:rPr>
              <w:t>Responsable administratif</w:t>
            </w:r>
          </w:p>
        </w:tc>
        <w:tc>
          <w:tcPr>
            <w:tcW w:type="dxa" w:w="7596"/>
            <w:tcMar>
              <w:top w:w="80" w:type="dxa"/>
              <w:start w:w="100" w:type="dxa"/>
              <w:bottom w:w="80" w:type="dxa"/>
              <w:end w:w="100" w:type="dxa"/>
            </w:tcMar>
            <w:vAlign w:val="top"/>
          </w:tcPr>
          <w:p>
            <w:pPr>
              <w:spacing w:after="0"/>
            </w:pPr>
            <w:r>
              <w:rPr>
                <w:rFonts w:ascii="Aptos" w:hAnsi="Aptos"/>
                <w:color w:val="17263C"/>
                <w:sz w:val="16"/>
              </w:rPr>
              <w:t>Tiers, contrats, documents, validations, achats, factures et échéances.</w:t>
            </w:r>
          </w:p>
        </w:tc>
      </w:tr>
      <w:tr>
        <w:tc>
          <w:tcPr>
            <w:tcW w:type="dxa" w:w="2267"/>
            <w:tcMar>
              <w:top w:w="80" w:type="dxa"/>
              <w:start w:w="100" w:type="dxa"/>
              <w:bottom w:w="80" w:type="dxa"/>
              <w:end w:w="100" w:type="dxa"/>
            </w:tcMar>
            <w:vAlign w:val="top"/>
          </w:tcPr>
          <w:p>
            <w:pPr>
              <w:spacing w:after="0"/>
            </w:pPr>
            <w:r>
              <w:rPr>
                <w:rFonts w:ascii="Aptos" w:hAnsi="Aptos"/>
                <w:color w:val="17263C"/>
                <w:sz w:val="16"/>
              </w:rPr>
              <w:t>Responsable commercial</w:t>
            </w:r>
          </w:p>
        </w:tc>
        <w:tc>
          <w:tcPr>
            <w:tcW w:type="dxa" w:w="7596"/>
            <w:tcMar>
              <w:top w:w="80" w:type="dxa"/>
              <w:start w:w="100" w:type="dxa"/>
              <w:bottom w:w="80" w:type="dxa"/>
              <w:end w:w="100" w:type="dxa"/>
            </w:tcMar>
            <w:vAlign w:val="top"/>
          </w:tcPr>
          <w:p>
            <w:pPr>
              <w:spacing w:after="0"/>
            </w:pPr>
            <w:r>
              <w:rPr>
                <w:rFonts w:ascii="Aptos" w:hAnsi="Aptos"/>
                <w:color w:val="17263C"/>
                <w:sz w:val="16"/>
              </w:rPr>
              <w:t>Prospects, opportunités, devis, commandes, objectifs et prévisions.</w:t>
            </w:r>
          </w:p>
        </w:tc>
      </w:tr>
      <w:tr>
        <w:tc>
          <w:tcPr>
            <w:tcW w:type="dxa" w:w="2267"/>
            <w:tcMar>
              <w:top w:w="80" w:type="dxa"/>
              <w:start w:w="100" w:type="dxa"/>
              <w:bottom w:w="80" w:type="dxa"/>
              <w:end w:w="100" w:type="dxa"/>
            </w:tcMar>
            <w:vAlign w:val="top"/>
          </w:tcPr>
          <w:p>
            <w:pPr>
              <w:spacing w:after="0"/>
            </w:pPr>
            <w:r>
              <w:rPr>
                <w:rFonts w:ascii="Aptos" w:hAnsi="Aptos"/>
                <w:color w:val="17263C"/>
                <w:sz w:val="16"/>
              </w:rPr>
              <w:t>Responsable opérationnel</w:t>
            </w:r>
          </w:p>
        </w:tc>
        <w:tc>
          <w:tcPr>
            <w:tcW w:type="dxa" w:w="7596"/>
            <w:tcMar>
              <w:top w:w="80" w:type="dxa"/>
              <w:start w:w="100" w:type="dxa"/>
              <w:bottom w:w="80" w:type="dxa"/>
              <w:end w:w="100" w:type="dxa"/>
            </w:tcMar>
            <w:vAlign w:val="top"/>
          </w:tcPr>
          <w:p>
            <w:pPr>
              <w:spacing w:after="0"/>
            </w:pPr>
            <w:r>
              <w:rPr>
                <w:rFonts w:ascii="Aptos" w:hAnsi="Aptos"/>
                <w:color w:val="17263C"/>
                <w:sz w:val="16"/>
              </w:rPr>
              <w:t>Projets, planning, interventions, ressources, qualité et charge.</w:t>
            </w:r>
          </w:p>
        </w:tc>
      </w:tr>
      <w:tr>
        <w:tc>
          <w:tcPr>
            <w:tcW w:type="dxa" w:w="2267"/>
            <w:tcMar>
              <w:top w:w="80" w:type="dxa"/>
              <w:start w:w="100" w:type="dxa"/>
              <w:bottom w:w="80" w:type="dxa"/>
              <w:end w:w="100" w:type="dxa"/>
            </w:tcMar>
            <w:vAlign w:val="top"/>
          </w:tcPr>
          <w:p>
            <w:pPr>
              <w:spacing w:after="0"/>
            </w:pPr>
            <w:r>
              <w:rPr>
                <w:rFonts w:ascii="Aptos" w:hAnsi="Aptos"/>
                <w:color w:val="17263C"/>
                <w:sz w:val="16"/>
              </w:rPr>
              <w:t>Collaborateur</w:t>
            </w:r>
          </w:p>
        </w:tc>
        <w:tc>
          <w:tcPr>
            <w:tcW w:type="dxa" w:w="7596"/>
            <w:tcMar>
              <w:top w:w="80" w:type="dxa"/>
              <w:start w:w="100" w:type="dxa"/>
              <w:bottom w:w="80" w:type="dxa"/>
              <w:end w:w="100" w:type="dxa"/>
            </w:tcMar>
            <w:vAlign w:val="top"/>
          </w:tcPr>
          <w:p>
            <w:pPr>
              <w:spacing w:after="0"/>
            </w:pPr>
            <w:r>
              <w:rPr>
                <w:rFonts w:ascii="Aptos" w:hAnsi="Aptos"/>
                <w:color w:val="17263C"/>
                <w:sz w:val="16"/>
              </w:rPr>
              <w:t>Tâches, temps, documents, dépenses et notifications correspondant à ses droits.</w:t>
            </w:r>
          </w:p>
        </w:tc>
      </w:tr>
      <w:tr>
        <w:tc>
          <w:tcPr>
            <w:tcW w:type="dxa" w:w="2267"/>
            <w:tcMar>
              <w:top w:w="80" w:type="dxa"/>
              <w:start w:w="100" w:type="dxa"/>
              <w:bottom w:w="80" w:type="dxa"/>
              <w:end w:w="100" w:type="dxa"/>
            </w:tcMar>
            <w:vAlign w:val="top"/>
          </w:tcPr>
          <w:p>
            <w:pPr>
              <w:spacing w:after="0"/>
            </w:pPr>
            <w:r>
              <w:rPr>
                <w:rFonts w:ascii="Aptos" w:hAnsi="Aptos"/>
                <w:color w:val="17263C"/>
                <w:sz w:val="16"/>
              </w:rPr>
              <w:t>Comptable interne</w:t>
            </w:r>
          </w:p>
        </w:tc>
        <w:tc>
          <w:tcPr>
            <w:tcW w:type="dxa" w:w="7596"/>
            <w:tcMar>
              <w:top w:w="80" w:type="dxa"/>
              <w:start w:w="100" w:type="dxa"/>
              <w:bottom w:w="80" w:type="dxa"/>
              <w:end w:w="100" w:type="dxa"/>
            </w:tcMar>
            <w:vAlign w:val="top"/>
          </w:tcPr>
          <w:p>
            <w:pPr>
              <w:spacing w:after="0"/>
            </w:pPr>
            <w:r>
              <w:rPr>
                <w:rFonts w:ascii="Aptos" w:hAnsi="Aptos"/>
                <w:color w:val="17263C"/>
                <w:sz w:val="16"/>
              </w:rPr>
              <w:t>Journaux, écritures, lettrage, TVA, immobilisations, clôture et FEC.</w:t>
            </w:r>
          </w:p>
        </w:tc>
      </w:tr>
      <w:tr>
        <w:tc>
          <w:tcPr>
            <w:tcW w:type="dxa" w:w="2267"/>
            <w:tcMar>
              <w:top w:w="80" w:type="dxa"/>
              <w:start w:w="100" w:type="dxa"/>
              <w:bottom w:w="80" w:type="dxa"/>
              <w:end w:w="100" w:type="dxa"/>
            </w:tcMar>
            <w:vAlign w:val="top"/>
          </w:tcPr>
          <w:p>
            <w:pPr>
              <w:spacing w:after="0"/>
            </w:pPr>
            <w:r>
              <w:rPr>
                <w:rFonts w:ascii="Aptos" w:hAnsi="Aptos"/>
                <w:color w:val="17263C"/>
                <w:sz w:val="16"/>
              </w:rPr>
              <w:t>Cabinet comptable</w:t>
            </w:r>
          </w:p>
        </w:tc>
        <w:tc>
          <w:tcPr>
            <w:tcW w:type="dxa" w:w="7596"/>
            <w:tcMar>
              <w:top w:w="80" w:type="dxa"/>
              <w:start w:w="100" w:type="dxa"/>
              <w:bottom w:w="80" w:type="dxa"/>
              <w:end w:w="100" w:type="dxa"/>
            </w:tcMar>
            <w:vAlign w:val="top"/>
          </w:tcPr>
          <w:p>
            <w:pPr>
              <w:spacing w:after="0"/>
            </w:pPr>
            <w:r>
              <w:rPr>
                <w:rFonts w:ascii="Aptos" w:hAnsi="Aptos"/>
                <w:color w:val="17263C"/>
                <w:sz w:val="16"/>
              </w:rPr>
              <w:t>Accès limité, pièces, exports, contrôles, commentaires et périodes transmises.</w:t>
            </w:r>
          </w:p>
        </w:tc>
      </w:tr>
      <w:tr>
        <w:tc>
          <w:tcPr>
            <w:tcW w:type="dxa" w:w="2267"/>
            <w:tcMar>
              <w:top w:w="80" w:type="dxa"/>
              <w:start w:w="100" w:type="dxa"/>
              <w:bottom w:w="80" w:type="dxa"/>
              <w:end w:w="100" w:type="dxa"/>
            </w:tcMar>
            <w:vAlign w:val="top"/>
          </w:tcPr>
          <w:p>
            <w:pPr>
              <w:spacing w:after="0"/>
            </w:pPr>
            <w:r>
              <w:rPr>
                <w:rFonts w:ascii="Aptos" w:hAnsi="Aptos"/>
                <w:color w:val="17263C"/>
                <w:sz w:val="16"/>
              </w:rPr>
              <w:t>Client ou fournisseur</w:t>
            </w:r>
          </w:p>
        </w:tc>
        <w:tc>
          <w:tcPr>
            <w:tcW w:type="dxa" w:w="7596"/>
            <w:tcMar>
              <w:top w:w="80" w:type="dxa"/>
              <w:start w:w="100" w:type="dxa"/>
              <w:bottom w:w="80" w:type="dxa"/>
              <w:end w:w="100" w:type="dxa"/>
            </w:tcMar>
            <w:vAlign w:val="top"/>
          </w:tcPr>
          <w:p>
            <w:pPr>
              <w:spacing w:after="0"/>
            </w:pPr>
            <w:r>
              <w:rPr>
                <w:rFonts w:ascii="Aptos" w:hAnsi="Aptos"/>
                <w:color w:val="17263C"/>
                <w:sz w:val="16"/>
              </w:rPr>
              <w:t>Portail dédié, documents, validations, commandes, factures et échanges.</w:t>
            </w:r>
          </w:p>
        </w:tc>
      </w:tr>
      <w:tr>
        <w:tc>
          <w:tcPr>
            <w:tcW w:type="dxa" w:w="2267"/>
            <w:tcMar>
              <w:top w:w="80" w:type="dxa"/>
              <w:start w:w="100" w:type="dxa"/>
              <w:bottom w:w="80" w:type="dxa"/>
              <w:end w:w="100" w:type="dxa"/>
            </w:tcMar>
            <w:vAlign w:val="top"/>
          </w:tcPr>
          <w:p>
            <w:pPr>
              <w:spacing w:after="0"/>
            </w:pPr>
            <w:r>
              <w:rPr>
                <w:rFonts w:ascii="Aptos" w:hAnsi="Aptos"/>
                <w:color w:val="17263C"/>
                <w:sz w:val="16"/>
              </w:rPr>
              <w:t>Administrateur</w:t>
            </w:r>
          </w:p>
        </w:tc>
        <w:tc>
          <w:tcPr>
            <w:tcW w:type="dxa" w:w="7596"/>
            <w:tcMar>
              <w:top w:w="80" w:type="dxa"/>
              <w:start w:w="100" w:type="dxa"/>
              <w:bottom w:w="80" w:type="dxa"/>
              <w:end w:w="100" w:type="dxa"/>
            </w:tcMar>
            <w:vAlign w:val="top"/>
          </w:tcPr>
          <w:p>
            <w:pPr>
              <w:spacing w:after="0"/>
            </w:pPr>
            <w:r>
              <w:rPr>
                <w:rFonts w:ascii="Aptos" w:hAnsi="Aptos"/>
                <w:color w:val="17263C"/>
                <w:sz w:val="16"/>
              </w:rPr>
              <w:t>Paramétrage, rôles, workflows, référentiels, intégrations et audit.</w:t>
            </w:r>
          </w:p>
        </w:tc>
      </w:tr>
    </w:tbl>
    <w:p>
      <w:pPr>
        <w:spacing w:after="0"/>
      </w:pPr>
    </w:p>
    <w:p>
      <w:pPr>
        <w:pStyle w:val="Heading2"/>
      </w:pPr>
      <w:r>
        <w:t>3.3 Hors périmètre initial</w:t>
      </w:r>
    </w:p>
    <w:p>
      <w:pPr>
        <w:pStyle w:val="ListBullet"/>
      </w:pPr>
      <w:r>
        <w:rPr>
          <w:rFonts w:ascii="Aptos" w:hAnsi="Aptos"/>
          <w:sz w:val="18"/>
        </w:rPr>
        <w:t>Paie complète et déclarations sociales : prévoir des exports ou connecteurs vers un logiciel spécialisé.</w:t>
      </w:r>
    </w:p>
    <w:p>
      <w:pPr>
        <w:pStyle w:val="ListBullet"/>
      </w:pPr>
      <w:r>
        <w:rPr>
          <w:rFonts w:ascii="Aptos" w:hAnsi="Aptos"/>
          <w:sz w:val="18"/>
        </w:rPr>
        <w:t>Logiciel de caisse certifié et gestion de point de vente : traiter dans un programme distinct avec ses contraintes propres.</w:t>
      </w:r>
    </w:p>
    <w:p>
      <w:pPr>
        <w:pStyle w:val="ListBullet"/>
      </w:pPr>
      <w:r>
        <w:rPr>
          <w:rFonts w:ascii="Aptos" w:hAnsi="Aptos"/>
          <w:sz w:val="18"/>
        </w:rPr>
        <w:t>Télétransmission fiscale engageante : la première version prépare et exporte les données ; l’envoi dépend d’un prestataire et d’une validation métier.</w:t>
      </w:r>
    </w:p>
    <w:p>
      <w:pPr>
        <w:pStyle w:val="ListBullet"/>
      </w:pPr>
      <w:r>
        <w:rPr>
          <w:rFonts w:ascii="Aptos" w:hAnsi="Aptos"/>
          <w:sz w:val="18"/>
        </w:rPr>
        <w:t>Consolidation comptable de groupe selon des normes complexes, paie internationale et comptabilité bancaire.</w:t>
      </w:r>
    </w:p>
    <w:p>
      <w:pPr>
        <w:pStyle w:val="ListBullet"/>
      </w:pPr>
      <w:r>
        <w:rPr>
          <w:rFonts w:ascii="Aptos" w:hAnsi="Aptos"/>
          <w:sz w:val="18"/>
        </w:rPr>
        <w:t>Personnalisation métier spécifique à un secteur : elle sera réalisée dans le dépôt du client au-dessus des contrats d’extension prévus.</w:t>
      </w:r>
    </w:p>
    <w:p>
      <w:pPr>
        <w:pStyle w:val="Heading1"/>
      </w:pPr>
      <w:r>
        <w:t>4. Architecture cible et conventions de développement</w:t>
      </w:r>
    </w:p>
    <w:p>
      <w:pPr>
        <w:pStyle w:val="Heading2"/>
      </w:pPr>
      <w:r>
        <w:t>4.1 Organisation du code</w:t>
      </w:r>
    </w:p>
    <w:p>
      <w:r>
        <w:rPr>
          <w:rFonts w:ascii="Aptos" w:hAnsi="Aptos"/>
          <w:color w:val="17263C"/>
        </w:rPr>
        <w:t>La structure cible ci-dessous est normative. Le nom du projet client reste configurable ; les applications fonctionnelles conservent des noms neutres.</w:t>
      </w:r>
    </w:p>
    <w:p>
      <w:r>
        <w:rPr>
          <w:rFonts w:ascii="Aptos" w:hAnsi="Aptos"/>
          <w:color w:val="17263C"/>
        </w:rPr>
        <w:t>src/</w:t>
        <w:br/>
        <w:t xml:space="preserve">  platform/      organizations, accounts, permissions, audit, workflows, documents, notifications, configuration</w:t>
        <w:br/>
        <w:t xml:space="preserve">  management/    parties, crm, catalog, sales, purchases, inventory, projects, operations, planning, contracts</w:t>
        <w:br/>
        <w:t xml:space="preserve">  finance/       billing, payments, expenses, banking, cashflow, accounting, taxation, fixed_assets</w:t>
        <w:br/>
        <w:t xml:space="preserve">  steering/      dashboards, indicators, objectives, budgeting, forecasts, scenarios, risks, quality, reports</w:t>
        <w:br/>
        <w:t xml:space="preserve">  integrations/  electronic_invoicing, payment_providers, banks, email, sms, storage, webhooks</w:t>
        <w:br/>
        <w:t xml:space="preserve">  ui/            layouts, components, themes, templates, static</w:t>
        <w:br/>
        <w:t xml:space="preserve">  example_project/</w:t>
      </w:r>
    </w:p>
    <w:p>
      <w:pPr>
        <w:pStyle w:val="Heading2"/>
      </w:pPr>
      <w:r>
        <w:t>4.2 Règles de dépendance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0"/>
            <w:shd w:fill="EAF2F7"/>
            <w:tcMar>
              <w:top w:w="80" w:type="dxa"/>
              <w:start w:w="100" w:type="dxa"/>
              <w:bottom w:w="80" w:type="dxa"/>
              <w:end w:w="100" w:type="dxa"/>
            </w:tcMar>
            <w:vAlign w:val="center"/>
          </w:tcPr>
          <w:p>
            <w:pPr>
              <w:spacing w:after="0"/>
            </w:pPr>
            <w:r>
              <w:rPr>
                <w:rFonts w:ascii="Aptos" w:hAnsi="Aptos"/>
                <w:b/>
                <w:color w:val="17263C"/>
                <w:sz w:val="16"/>
              </w:rPr>
              <w:t>Couche</w:t>
            </w:r>
          </w:p>
        </w:tc>
        <w:tc>
          <w:tcPr>
            <w:tcW w:type="dxa" w:w="4081"/>
            <w:shd w:fill="EAF2F7"/>
            <w:tcMar>
              <w:top w:w="80" w:type="dxa"/>
              <w:start w:w="100" w:type="dxa"/>
              <w:bottom w:w="80" w:type="dxa"/>
              <w:end w:w="100" w:type="dxa"/>
            </w:tcMar>
            <w:vAlign w:val="center"/>
          </w:tcPr>
          <w:p>
            <w:pPr>
              <w:spacing w:after="0"/>
            </w:pPr>
            <w:r>
              <w:rPr>
                <w:rFonts w:ascii="Aptos" w:hAnsi="Aptos"/>
                <w:b/>
                <w:color w:val="17263C"/>
                <w:sz w:val="16"/>
              </w:rPr>
              <w:t>Peut dépendre de</w:t>
            </w:r>
          </w:p>
        </w:tc>
        <w:tc>
          <w:tcPr>
            <w:tcW w:type="dxa" w:w="4081"/>
            <w:shd w:fill="EAF2F7"/>
            <w:tcMar>
              <w:top w:w="80" w:type="dxa"/>
              <w:start w:w="100" w:type="dxa"/>
              <w:bottom w:w="80" w:type="dxa"/>
              <w:end w:w="100" w:type="dxa"/>
            </w:tcMar>
            <w:vAlign w:val="center"/>
          </w:tcPr>
          <w:p>
            <w:pPr>
              <w:spacing w:after="0"/>
            </w:pPr>
            <w:r>
              <w:rPr>
                <w:rFonts w:ascii="Aptos" w:hAnsi="Aptos"/>
                <w:b/>
                <w:color w:val="17263C"/>
                <w:sz w:val="16"/>
              </w:rPr>
              <w:t>Ne doit pas dépendre de</w:t>
            </w:r>
          </w:p>
        </w:tc>
      </w:tr>
      <w:tr>
        <w:tc>
          <w:tcPr>
            <w:tcW w:type="dxa" w:w="1700"/>
            <w:tcMar>
              <w:top w:w="80" w:type="dxa"/>
              <w:start w:w="100" w:type="dxa"/>
              <w:bottom w:w="80" w:type="dxa"/>
              <w:end w:w="100" w:type="dxa"/>
            </w:tcMar>
            <w:vAlign w:val="top"/>
          </w:tcPr>
          <w:p>
            <w:pPr>
              <w:spacing w:after="0"/>
            </w:pPr>
            <w:r>
              <w:rPr>
                <w:rFonts w:ascii="Aptos" w:hAnsi="Aptos"/>
                <w:color w:val="17263C"/>
                <w:sz w:val="16"/>
              </w:rPr>
              <w:t>platform</w:t>
            </w:r>
          </w:p>
        </w:tc>
        <w:tc>
          <w:tcPr>
            <w:tcW w:type="dxa" w:w="4081"/>
            <w:tcMar>
              <w:top w:w="80" w:type="dxa"/>
              <w:start w:w="100" w:type="dxa"/>
              <w:bottom w:w="80" w:type="dxa"/>
              <w:end w:w="100" w:type="dxa"/>
            </w:tcMar>
            <w:vAlign w:val="top"/>
          </w:tcPr>
          <w:p>
            <w:pPr>
              <w:spacing w:after="0"/>
            </w:pPr>
            <w:r>
              <w:rPr>
                <w:rFonts w:ascii="Aptos" w:hAnsi="Aptos"/>
                <w:color w:val="17263C"/>
                <w:sz w:val="16"/>
              </w:rPr>
              <w:t>Django et bibliothèques techniques minimales</w:t>
            </w:r>
          </w:p>
        </w:tc>
        <w:tc>
          <w:tcPr>
            <w:tcW w:type="dxa" w:w="4081"/>
            <w:tcMar>
              <w:top w:w="80" w:type="dxa"/>
              <w:start w:w="100" w:type="dxa"/>
              <w:bottom w:w="80" w:type="dxa"/>
              <w:end w:w="100" w:type="dxa"/>
            </w:tcMar>
            <w:vAlign w:val="top"/>
          </w:tcPr>
          <w:p>
            <w:pPr>
              <w:spacing w:after="0"/>
            </w:pPr>
            <w:r>
              <w:rPr>
                <w:rFonts w:ascii="Aptos" w:hAnsi="Aptos"/>
                <w:color w:val="17263C"/>
                <w:sz w:val="16"/>
              </w:rPr>
              <w:t>management, finance, steering ou intégrations métier</w:t>
            </w:r>
          </w:p>
        </w:tc>
      </w:tr>
      <w:tr>
        <w:tc>
          <w:tcPr>
            <w:tcW w:type="dxa" w:w="1700"/>
            <w:tcMar>
              <w:top w:w="80" w:type="dxa"/>
              <w:start w:w="100" w:type="dxa"/>
              <w:bottom w:w="80" w:type="dxa"/>
              <w:end w:w="100" w:type="dxa"/>
            </w:tcMar>
            <w:vAlign w:val="top"/>
          </w:tcPr>
          <w:p>
            <w:pPr>
              <w:spacing w:after="0"/>
            </w:pPr>
            <w:r>
              <w:rPr>
                <w:rFonts w:ascii="Aptos" w:hAnsi="Aptos"/>
                <w:color w:val="17263C"/>
                <w:sz w:val="16"/>
              </w:rPr>
              <w:t>management</w:t>
            </w:r>
          </w:p>
        </w:tc>
        <w:tc>
          <w:tcPr>
            <w:tcW w:type="dxa" w:w="4081"/>
            <w:tcMar>
              <w:top w:w="80" w:type="dxa"/>
              <w:start w:w="100" w:type="dxa"/>
              <w:bottom w:w="80" w:type="dxa"/>
              <w:end w:w="100" w:type="dxa"/>
            </w:tcMar>
            <w:vAlign w:val="top"/>
          </w:tcPr>
          <w:p>
            <w:pPr>
              <w:spacing w:after="0"/>
            </w:pPr>
            <w:r>
              <w:rPr>
                <w:rFonts w:ascii="Aptos" w:hAnsi="Aptos"/>
                <w:color w:val="17263C"/>
                <w:sz w:val="16"/>
              </w:rPr>
              <w:t>platform et contrats partagés</w:t>
            </w:r>
          </w:p>
        </w:tc>
        <w:tc>
          <w:tcPr>
            <w:tcW w:type="dxa" w:w="4081"/>
            <w:tcMar>
              <w:top w:w="80" w:type="dxa"/>
              <w:start w:w="100" w:type="dxa"/>
              <w:bottom w:w="80" w:type="dxa"/>
              <w:end w:w="100" w:type="dxa"/>
            </w:tcMar>
            <w:vAlign w:val="top"/>
          </w:tcPr>
          <w:p>
            <w:pPr>
              <w:spacing w:after="0"/>
            </w:pPr>
            <w:r>
              <w:rPr>
                <w:rFonts w:ascii="Aptos" w:hAnsi="Aptos"/>
                <w:color w:val="17263C"/>
                <w:sz w:val="16"/>
              </w:rPr>
              <w:t>implémentations de paiement, banque ou comptabilité</w:t>
            </w:r>
          </w:p>
        </w:tc>
      </w:tr>
      <w:tr>
        <w:tc>
          <w:tcPr>
            <w:tcW w:type="dxa" w:w="1700"/>
            <w:tcMar>
              <w:top w:w="80" w:type="dxa"/>
              <w:start w:w="100" w:type="dxa"/>
              <w:bottom w:w="80" w:type="dxa"/>
              <w:end w:w="100" w:type="dxa"/>
            </w:tcMar>
            <w:vAlign w:val="top"/>
          </w:tcPr>
          <w:p>
            <w:pPr>
              <w:spacing w:after="0"/>
            </w:pPr>
            <w:r>
              <w:rPr>
                <w:rFonts w:ascii="Aptos" w:hAnsi="Aptos"/>
                <w:color w:val="17263C"/>
                <w:sz w:val="16"/>
              </w:rPr>
              <w:t>finance</w:t>
            </w:r>
          </w:p>
        </w:tc>
        <w:tc>
          <w:tcPr>
            <w:tcW w:type="dxa" w:w="4081"/>
            <w:tcMar>
              <w:top w:w="80" w:type="dxa"/>
              <w:start w:w="100" w:type="dxa"/>
              <w:bottom w:w="80" w:type="dxa"/>
              <w:end w:w="100" w:type="dxa"/>
            </w:tcMar>
            <w:vAlign w:val="top"/>
          </w:tcPr>
          <w:p>
            <w:pPr>
              <w:spacing w:after="0"/>
            </w:pPr>
            <w:r>
              <w:rPr>
                <w:rFonts w:ascii="Aptos" w:hAnsi="Aptos"/>
                <w:color w:val="17263C"/>
                <w:sz w:val="16"/>
              </w:rPr>
              <w:t>platform et interfaces stables de management</w:t>
            </w:r>
          </w:p>
        </w:tc>
        <w:tc>
          <w:tcPr>
            <w:tcW w:type="dxa" w:w="4081"/>
            <w:tcMar>
              <w:top w:w="80" w:type="dxa"/>
              <w:start w:w="100" w:type="dxa"/>
              <w:bottom w:w="80" w:type="dxa"/>
              <w:end w:w="100" w:type="dxa"/>
            </w:tcMar>
            <w:vAlign w:val="top"/>
          </w:tcPr>
          <w:p>
            <w:pPr>
              <w:spacing w:after="0"/>
            </w:pPr>
            <w:r>
              <w:rPr>
                <w:rFonts w:ascii="Aptos" w:hAnsi="Aptos"/>
                <w:color w:val="17263C"/>
                <w:sz w:val="16"/>
              </w:rPr>
              <w:t>vues ou templates d’un autre domaine</w:t>
            </w:r>
          </w:p>
        </w:tc>
      </w:tr>
      <w:tr>
        <w:tc>
          <w:tcPr>
            <w:tcW w:type="dxa" w:w="1700"/>
            <w:tcMar>
              <w:top w:w="80" w:type="dxa"/>
              <w:start w:w="100" w:type="dxa"/>
              <w:bottom w:w="80" w:type="dxa"/>
              <w:end w:w="100" w:type="dxa"/>
            </w:tcMar>
            <w:vAlign w:val="top"/>
          </w:tcPr>
          <w:p>
            <w:pPr>
              <w:spacing w:after="0"/>
            </w:pPr>
            <w:r>
              <w:rPr>
                <w:rFonts w:ascii="Aptos" w:hAnsi="Aptos"/>
                <w:color w:val="17263C"/>
                <w:sz w:val="16"/>
              </w:rPr>
              <w:t>steering</w:t>
            </w:r>
          </w:p>
        </w:tc>
        <w:tc>
          <w:tcPr>
            <w:tcW w:type="dxa" w:w="4081"/>
            <w:tcMar>
              <w:top w:w="80" w:type="dxa"/>
              <w:start w:w="100" w:type="dxa"/>
              <w:bottom w:w="80" w:type="dxa"/>
              <w:end w:w="100" w:type="dxa"/>
            </w:tcMar>
            <w:vAlign w:val="top"/>
          </w:tcPr>
          <w:p>
            <w:pPr>
              <w:spacing w:after="0"/>
            </w:pPr>
            <w:r>
              <w:rPr>
                <w:rFonts w:ascii="Aptos" w:hAnsi="Aptos"/>
                <w:color w:val="17263C"/>
                <w:sz w:val="16"/>
              </w:rPr>
              <w:t>projections et sélecteurs publiés par les domaines</w:t>
            </w:r>
          </w:p>
        </w:tc>
        <w:tc>
          <w:tcPr>
            <w:tcW w:type="dxa" w:w="4081"/>
            <w:tcMar>
              <w:top w:w="80" w:type="dxa"/>
              <w:start w:w="100" w:type="dxa"/>
              <w:bottom w:w="80" w:type="dxa"/>
              <w:end w:w="100" w:type="dxa"/>
            </w:tcMar>
            <w:vAlign w:val="top"/>
          </w:tcPr>
          <w:p>
            <w:pPr>
              <w:spacing w:after="0"/>
            </w:pPr>
            <w:r>
              <w:rPr>
                <w:rFonts w:ascii="Aptos" w:hAnsi="Aptos"/>
                <w:color w:val="17263C"/>
                <w:sz w:val="16"/>
              </w:rPr>
              <w:t>écriture directe dans les tables métier</w:t>
            </w:r>
          </w:p>
        </w:tc>
      </w:tr>
      <w:tr>
        <w:tc>
          <w:tcPr>
            <w:tcW w:type="dxa" w:w="1700"/>
            <w:tcMar>
              <w:top w:w="80" w:type="dxa"/>
              <w:start w:w="100" w:type="dxa"/>
              <w:bottom w:w="80" w:type="dxa"/>
              <w:end w:w="100" w:type="dxa"/>
            </w:tcMar>
            <w:vAlign w:val="top"/>
          </w:tcPr>
          <w:p>
            <w:pPr>
              <w:spacing w:after="0"/>
            </w:pPr>
            <w:r>
              <w:rPr>
                <w:rFonts w:ascii="Aptos" w:hAnsi="Aptos"/>
                <w:color w:val="17263C"/>
                <w:sz w:val="16"/>
              </w:rPr>
              <w:t>integrations</w:t>
            </w:r>
          </w:p>
        </w:tc>
        <w:tc>
          <w:tcPr>
            <w:tcW w:type="dxa" w:w="4081"/>
            <w:tcMar>
              <w:top w:w="80" w:type="dxa"/>
              <w:start w:w="100" w:type="dxa"/>
              <w:bottom w:w="80" w:type="dxa"/>
              <w:end w:w="100" w:type="dxa"/>
            </w:tcMar>
            <w:vAlign w:val="top"/>
          </w:tcPr>
          <w:p>
            <w:pPr>
              <w:spacing w:after="0"/>
            </w:pPr>
            <w:r>
              <w:rPr>
                <w:rFonts w:ascii="Aptos" w:hAnsi="Aptos"/>
                <w:color w:val="17263C"/>
                <w:sz w:val="16"/>
              </w:rPr>
              <w:t>ports définis par les domaines</w:t>
            </w:r>
          </w:p>
        </w:tc>
        <w:tc>
          <w:tcPr>
            <w:tcW w:type="dxa" w:w="4081"/>
            <w:tcMar>
              <w:top w:w="80" w:type="dxa"/>
              <w:start w:w="100" w:type="dxa"/>
              <w:bottom w:w="80" w:type="dxa"/>
              <w:end w:w="100" w:type="dxa"/>
            </w:tcMar>
            <w:vAlign w:val="top"/>
          </w:tcPr>
          <w:p>
            <w:pPr>
              <w:spacing w:after="0"/>
            </w:pPr>
            <w:r>
              <w:rPr>
                <w:rFonts w:ascii="Aptos" w:hAnsi="Aptos"/>
                <w:color w:val="17263C"/>
                <w:sz w:val="16"/>
              </w:rPr>
              <w:t>logique de décision métier</w:t>
            </w:r>
          </w:p>
        </w:tc>
      </w:tr>
      <w:tr>
        <w:tc>
          <w:tcPr>
            <w:tcW w:type="dxa" w:w="1700"/>
            <w:tcMar>
              <w:top w:w="80" w:type="dxa"/>
              <w:start w:w="100" w:type="dxa"/>
              <w:bottom w:w="80" w:type="dxa"/>
              <w:end w:w="100" w:type="dxa"/>
            </w:tcMar>
            <w:vAlign w:val="top"/>
          </w:tcPr>
          <w:p>
            <w:pPr>
              <w:spacing w:after="0"/>
            </w:pPr>
            <w:r>
              <w:rPr>
                <w:rFonts w:ascii="Aptos" w:hAnsi="Aptos"/>
                <w:color w:val="17263C"/>
                <w:sz w:val="16"/>
              </w:rPr>
              <w:t>ui</w:t>
            </w:r>
          </w:p>
        </w:tc>
        <w:tc>
          <w:tcPr>
            <w:tcW w:type="dxa" w:w="4081"/>
            <w:tcMar>
              <w:top w:w="80" w:type="dxa"/>
              <w:start w:w="100" w:type="dxa"/>
              <w:bottom w:w="80" w:type="dxa"/>
              <w:end w:w="100" w:type="dxa"/>
            </w:tcMar>
            <w:vAlign w:val="top"/>
          </w:tcPr>
          <w:p>
            <w:pPr>
              <w:spacing w:after="0"/>
            </w:pPr>
            <w:r>
              <w:rPr>
                <w:rFonts w:ascii="Aptos" w:hAnsi="Aptos"/>
                <w:color w:val="17263C"/>
                <w:sz w:val="16"/>
              </w:rPr>
              <w:t>services d’application et politiques d’accès</w:t>
            </w:r>
          </w:p>
        </w:tc>
        <w:tc>
          <w:tcPr>
            <w:tcW w:type="dxa" w:w="4081"/>
            <w:tcMar>
              <w:top w:w="80" w:type="dxa"/>
              <w:start w:w="100" w:type="dxa"/>
              <w:bottom w:w="80" w:type="dxa"/>
              <w:end w:w="100" w:type="dxa"/>
            </w:tcMar>
            <w:vAlign w:val="top"/>
          </w:tcPr>
          <w:p>
            <w:pPr>
              <w:spacing w:after="0"/>
            </w:pPr>
            <w:r>
              <w:rPr>
                <w:rFonts w:ascii="Aptos" w:hAnsi="Aptos"/>
                <w:color w:val="17263C"/>
                <w:sz w:val="16"/>
              </w:rPr>
              <w:t>règles comptables embarquées dans les templates</w:t>
            </w:r>
          </w:p>
        </w:tc>
      </w:tr>
    </w:tbl>
    <w:p>
      <w:pPr>
        <w:spacing w:after="0"/>
      </w:pPr>
    </w:p>
    <w:p>
      <w:pPr>
        <w:pStyle w:val="Heading2"/>
      </w:pPr>
      <w:r>
        <w:t>4.3 Structure obligatoire d’une brique</w:t>
      </w:r>
    </w:p>
    <w:p>
      <w:pPr>
        <w:pStyle w:val="ListBullet"/>
      </w:pPr>
      <w:r>
        <w:rPr>
          <w:rFonts w:ascii="Aptos" w:hAnsi="Aptos"/>
          <w:sz w:val="18"/>
        </w:rPr>
        <w:t>apps.py et configuration stable de l’application.</w:t>
      </w:r>
    </w:p>
    <w:p>
      <w:pPr>
        <w:pStyle w:val="ListBullet"/>
      </w:pPr>
      <w:r>
        <w:rPr>
          <w:rFonts w:ascii="Aptos" w:hAnsi="Aptos"/>
          <w:sz w:val="18"/>
        </w:rPr>
        <w:t>models/ séparés par agrégat, contraintes SQL et migrations versionnées.</w:t>
      </w:r>
    </w:p>
    <w:p>
      <w:pPr>
        <w:pStyle w:val="ListBullet"/>
      </w:pPr>
      <w:r>
        <w:rPr>
          <w:rFonts w:ascii="Aptos" w:hAnsi="Aptos"/>
          <w:sz w:val="18"/>
        </w:rPr>
        <w:t>services/ pour les commandes métier transactionnelles.</w:t>
      </w:r>
    </w:p>
    <w:p>
      <w:pPr>
        <w:pStyle w:val="ListBullet"/>
      </w:pPr>
      <w:r>
        <w:rPr>
          <w:rFonts w:ascii="Aptos" w:hAnsi="Aptos"/>
          <w:sz w:val="18"/>
        </w:rPr>
        <w:t>selectors/ pour les lectures et agrégations optimisées.</w:t>
      </w:r>
    </w:p>
    <w:p>
      <w:pPr>
        <w:pStyle w:val="ListBullet"/>
      </w:pPr>
      <w:r>
        <w:rPr>
          <w:rFonts w:ascii="Aptos" w:hAnsi="Aptos"/>
          <w:sz w:val="18"/>
        </w:rPr>
        <w:t>policies/ pour les autorisations métier en complément des permissions Django.</w:t>
      </w:r>
    </w:p>
    <w:p>
      <w:pPr>
        <w:pStyle w:val="ListBullet"/>
      </w:pPr>
      <w:r>
        <w:rPr>
          <w:rFonts w:ascii="Aptos" w:hAnsi="Aptos"/>
          <w:sz w:val="18"/>
        </w:rPr>
        <w:t>forms/, views/, urls.py et templates/&lt;app&gt;/ pour le rendu serveur et HTMX.</w:t>
      </w:r>
    </w:p>
    <w:p>
      <w:pPr>
        <w:pStyle w:val="ListBullet"/>
      </w:pPr>
      <w:r>
        <w:rPr>
          <w:rFonts w:ascii="Aptos" w:hAnsi="Aptos"/>
          <w:sz w:val="18"/>
        </w:rPr>
        <w:t>api/ lorsque la capacité doit être exposée ; serializers, schémas et permissions dédiés.</w:t>
      </w:r>
    </w:p>
    <w:p>
      <w:pPr>
        <w:pStyle w:val="ListBullet"/>
      </w:pPr>
      <w:r>
        <w:rPr>
          <w:rFonts w:ascii="Aptos" w:hAnsi="Aptos"/>
          <w:sz w:val="18"/>
        </w:rPr>
        <w:t>tasks/ pour les traitements différés et idempotents.</w:t>
      </w:r>
    </w:p>
    <w:p>
      <w:pPr>
        <w:pStyle w:val="ListBullet"/>
      </w:pPr>
      <w:r>
        <w:rPr>
          <w:rFonts w:ascii="Aptos" w:hAnsi="Aptos"/>
          <w:sz w:val="18"/>
        </w:rPr>
        <w:t>integrations/ uniquement pour les adaptateurs propres à la brique.</w:t>
      </w:r>
    </w:p>
    <w:p>
      <w:pPr>
        <w:pStyle w:val="ListBullet"/>
      </w:pPr>
      <w:r>
        <w:rPr>
          <w:rFonts w:ascii="Aptos" w:hAnsi="Aptos"/>
          <w:sz w:val="18"/>
        </w:rPr>
        <w:t>tests/ avec factories, cas unitaires, intégration et tests de permissions.</w:t>
      </w:r>
    </w:p>
    <w:p>
      <w:pPr>
        <w:pStyle w:val="ListBullet"/>
      </w:pPr>
      <w:r>
        <w:rPr>
          <w:rFonts w:ascii="Aptos" w:hAnsi="Aptos"/>
          <w:sz w:val="18"/>
        </w:rPr>
        <w:t>README.md indiquant dépendances, installation, événements, réglages et exemples.</w:t>
      </w:r>
    </w:p>
    <w:p>
      <w:pPr>
        <w:pStyle w:val="Heading2"/>
      </w:pPr>
      <w:r>
        <w:t>4.4 Règles de modélisation communes</w:t>
      </w:r>
    </w:p>
    <w:p>
      <w:pPr>
        <w:pStyle w:val="ListBullet"/>
      </w:pPr>
      <w:r>
        <w:rPr>
          <w:rFonts w:ascii="Aptos" w:hAnsi="Aptos"/>
          <w:sz w:val="18"/>
        </w:rPr>
        <w:t>Identifiants UUID pour les objets exposés ; identifiants techniques internes autorisés lorsqu’ils apportent un bénéfice mesuré.</w:t>
      </w:r>
    </w:p>
    <w:p>
      <w:pPr>
        <w:pStyle w:val="ListBullet"/>
      </w:pPr>
      <w:r>
        <w:rPr>
          <w:rFonts w:ascii="Aptos" w:hAnsi="Aptos"/>
          <w:sz w:val="18"/>
        </w:rPr>
        <w:t>Tous les objets métier sont rattachés explicitement à une Organization lorsque le déploiement peut gérer plusieurs entités.</w:t>
      </w:r>
    </w:p>
    <w:p>
      <w:pPr>
        <w:pStyle w:val="ListBullet"/>
      </w:pPr>
      <w:r>
        <w:rPr>
          <w:rFonts w:ascii="Aptos" w:hAnsi="Aptos"/>
          <w:sz w:val="18"/>
        </w:rPr>
        <w:t>Les montants utilisent Decimal, jamais float ; la devise suit ISO 4217 et les règles d’arrondi sont centralisées.</w:t>
      </w:r>
    </w:p>
    <w:p>
      <w:pPr>
        <w:pStyle w:val="ListBullet"/>
      </w:pPr>
      <w:r>
        <w:rPr>
          <w:rFonts w:ascii="Aptos" w:hAnsi="Aptos"/>
          <w:sz w:val="18"/>
        </w:rPr>
        <w:t>Les numéros de documents sont générés transactionnellement, dans une séquence définie par entité, type de document et exercice.</w:t>
      </w:r>
    </w:p>
    <w:p>
      <w:pPr>
        <w:pStyle w:val="ListBullet"/>
      </w:pPr>
      <w:r>
        <w:rPr>
          <w:rFonts w:ascii="Aptos" w:hAnsi="Aptos"/>
          <w:sz w:val="18"/>
        </w:rPr>
        <w:t>Le soft delete est réservé aux objets non réglementaires. Une facture émise ou une écriture validée ne peut pas être supprimée.</w:t>
      </w:r>
    </w:p>
    <w:p>
      <w:pPr>
        <w:pStyle w:val="ListBullet"/>
      </w:pPr>
      <w:r>
        <w:rPr>
          <w:rFonts w:ascii="Aptos" w:hAnsi="Aptos"/>
          <w:sz w:val="18"/>
        </w:rPr>
        <w:t>Les statuts sont modifiés par services métier et transitions autorisées, non par mise à jour libre d’un champ.</w:t>
      </w:r>
    </w:p>
    <w:p>
      <w:pPr>
        <w:pStyle w:val="ListBullet"/>
      </w:pPr>
      <w:r>
        <w:rPr>
          <w:rFonts w:ascii="Aptos" w:hAnsi="Aptos"/>
          <w:sz w:val="18"/>
        </w:rPr>
        <w:t>Les snapshots conservent sur les documents émis les libellés, adresses, prix et taxes applicables au moment de l’émission.</w:t>
      </w:r>
    </w:p>
    <w:p>
      <w:pPr>
        <w:pStyle w:val="ListBullet"/>
      </w:pPr>
      <w:r>
        <w:rPr>
          <w:rFonts w:ascii="Aptos" w:hAnsi="Aptos"/>
          <w:sz w:val="18"/>
        </w:rPr>
        <w:t>Les dates sont stockées avec fuseau ; les dates comptables et dates d’exigibilité restent des champs distincts.</w:t>
      </w:r>
    </w:p>
    <w:p>
      <w:pPr>
        <w:pStyle w:val="ListBullet"/>
      </w:pPr>
      <w:r>
        <w:rPr>
          <w:rFonts w:ascii="Aptos" w:hAnsi="Aptos"/>
          <w:sz w:val="18"/>
        </w:rPr>
        <w:t>Les contraintes critiques sont doublées au niveau de la base de données lorsque PostgreSQL le permet.</w:t>
      </w:r>
    </w:p>
    <w:p>
      <w:pPr>
        <w:pStyle w:val="ListBullet"/>
      </w:pPr>
      <w:r>
        <w:rPr>
          <w:rFonts w:ascii="Aptos" w:hAnsi="Aptos"/>
          <w:sz w:val="18"/>
        </w:rPr>
        <w:t>Les signaux Django ne portent pas la logique financière critique ; ils sont limités aux effets secondaires non bloquants.</w:t>
      </w:r>
    </w:p>
    <w:p>
      <w:pPr>
        <w:pStyle w:val="Heading2"/>
      </w:pPr>
      <w:r>
        <w:t>4.5 Architecture événementielle interne</w:t>
      </w:r>
    </w:p>
    <w:p>
      <w:r>
        <w:rPr>
          <w:rFonts w:ascii="Aptos" w:hAnsi="Aptos"/>
          <w:color w:val="17263C"/>
        </w:rPr>
        <w:t>Les domaines publient des événements métier après validation transactionnelle : QuoteAccepted, InvoiceIssued, PaymentAllocated, JournalEntryPosted ou ContractRenewalDue. Une table outbox garantit la reprise des notifications, webhooks et synchronisations externes. Chaque consommateur doit être idempotent.</w:t>
      </w:r>
    </w:p>
    <w:p>
      <w:pPr>
        <w:pStyle w:val="Heading2"/>
      </w:pPr>
      <w:r>
        <w:t>4.6 Configuration et personnalisation client</w:t>
      </w:r>
    </w:p>
    <w:p>
      <w:pPr>
        <w:pStyle w:val="ListBullet"/>
      </w:pPr>
      <w:r>
        <w:rPr>
          <w:rFonts w:ascii="Aptos" w:hAnsi="Aptos"/>
          <w:sz w:val="18"/>
        </w:rPr>
        <w:t>Identité visuelle, logo, couleurs, typographies et coordonnées depuis BrandSettings.</w:t>
      </w:r>
    </w:p>
    <w:p>
      <w:pPr>
        <w:pStyle w:val="ListBullet"/>
      </w:pPr>
      <w:r>
        <w:rPr>
          <w:rFonts w:ascii="Aptos" w:hAnsi="Aptos"/>
          <w:sz w:val="18"/>
        </w:rPr>
        <w:t>Vocabulaire configurable sans renommer les modèles : client/adhérent/usager, projet/dossier/intervention, produit/prestation.</w:t>
      </w:r>
    </w:p>
    <w:p>
      <w:pPr>
        <w:pStyle w:val="ListBullet"/>
      </w:pPr>
      <w:r>
        <w:rPr>
          <w:rFonts w:ascii="Aptos" w:hAnsi="Aptos"/>
          <w:sz w:val="18"/>
        </w:rPr>
        <w:t>Fonctionnalités activées par capacités et non par conditions dispersées dans les templates.</w:t>
      </w:r>
    </w:p>
    <w:p>
      <w:pPr>
        <w:pStyle w:val="ListBullet"/>
      </w:pPr>
      <w:r>
        <w:rPr>
          <w:rFonts w:ascii="Aptos" w:hAnsi="Aptos"/>
          <w:sz w:val="18"/>
        </w:rPr>
        <w:t>Champs supplémentaires encadrés pour les besoins simples ; extension par modèles client pour les règles complexes.</w:t>
      </w:r>
    </w:p>
    <w:p>
      <w:pPr>
        <w:pStyle w:val="ListBullet"/>
      </w:pPr>
      <w:r>
        <w:rPr>
          <w:rFonts w:ascii="Aptos" w:hAnsi="Aptos"/>
          <w:sz w:val="18"/>
        </w:rPr>
        <w:t>Aucune chaîne d’interface, adresse de courriel ou URL propre au studio inscrite en dur.</w:t>
      </w:r>
    </w:p>
    <w:p>
      <w:pPr>
        <w:pStyle w:val="Heading1"/>
      </w:pPr>
      <w:r>
        <w:t>5. Catalogue des briques transversales</w:t>
      </w:r>
    </w:p>
    <w:p>
      <w:r>
        <w:rPr>
          <w:rFonts w:ascii="Aptos" w:hAnsi="Aptos"/>
          <w:color w:val="17263C"/>
        </w:rPr>
        <w:t>Ces briques constituent la dépendance commune. Aucune brique métier ne doit réimplémenter localement l’identité, les permissions, l’audit, les documents ou les séquences.</w:t>
      </w:r>
    </w:p>
    <w:p>
      <w:pPr>
        <w:pStyle w:val="Heading2"/>
        <w:spacing w:before="160" w:after="60"/>
      </w:pPr>
      <w:r>
        <w:rPr>
          <w:rFonts w:ascii="Aptos" w:hAnsi="Aptos"/>
          <w:b/>
          <w:color w:val="17263C"/>
          <w:sz w:val="21"/>
        </w:rPr>
        <w:t>F01 — Organisations et établissements</w:t>
      </w:r>
    </w:p>
    <w:p>
      <w:r>
        <w:rPr>
          <w:rFonts w:ascii="Aptos" w:hAnsi="Aptos"/>
          <w:color w:val="17263C"/>
        </w:rPr>
        <w:t>Décrire les entités juridiques et opérationnelles auxquelles appartiennent les données, sans imposer un mode SaaS centralisé.</w:t>
      </w:r>
    </w:p>
    <w:p>
      <w:r>
        <w:rPr>
          <w:rFonts w:ascii="Aptos" w:hAnsi="Aptos"/>
          <w:b/>
          <w:color w:val="17263C"/>
        </w:rPr>
        <w:t xml:space="preserve">Dépendances : </w:t>
      </w:r>
      <w:r>
        <w:rPr>
          <w:rFonts w:ascii="Aptos" w:hAnsi="Aptos"/>
          <w:color w:val="17263C"/>
        </w:rPr>
        <w:t>platform.reference_data</w:t>
      </w:r>
    </w:p>
    <w:p>
      <w:r>
        <w:rPr>
          <w:rFonts w:ascii="Aptos" w:hAnsi="Aptos"/>
          <w:b/>
          <w:color w:val="17263C"/>
        </w:rPr>
        <w:t xml:space="preserve">Modèles : </w:t>
      </w:r>
      <w:r>
        <w:rPr>
          <w:rFonts w:ascii="Aptos" w:hAnsi="Aptos"/>
          <w:color w:val="17263C"/>
        </w:rPr>
        <w:t>Organization, LegalEntity, Establishment, Department, Team, Address, LegalProfile, FiscalProfile, BrandSettings</w:t>
      </w:r>
    </w:p>
    <w:p>
      <w:r>
        <w:rPr>
          <w:rFonts w:ascii="Aptos" w:hAnsi="Aptos"/>
          <w:b/>
          <w:color w:val="17263C"/>
        </w:rPr>
        <w:t xml:space="preserve">Interfaces : </w:t>
      </w:r>
      <w:r>
        <w:rPr>
          <w:rFonts w:ascii="Aptos" w:hAnsi="Aptos"/>
          <w:color w:val="17263C"/>
        </w:rPr>
        <w:t>fiche organisation; organigramme; paramètres légaux et fiscaux; sélecteur d’établissement</w:t>
      </w:r>
    </w:p>
    <w:p>
      <w:r>
        <w:rPr>
          <w:rFonts w:ascii="Aptos" w:hAnsi="Aptos"/>
          <w:b/>
          <w:color w:val="17263C"/>
        </w:rPr>
        <w:t xml:space="preserve">Services et règles : </w:t>
      </w:r>
      <w:r>
        <w:rPr>
          <w:rFonts w:ascii="Aptos" w:hAnsi="Aptos"/>
          <w:color w:val="17263C"/>
        </w:rPr>
        <w:t>unicité des identifiants légaux par pays; héritage contrôlé des paramètres; archivage sans suppression des références historiques; validation des adresses et coordonnées</w:t>
      </w:r>
    </w:p>
    <w:p>
      <w:r>
        <w:rPr>
          <w:rFonts w:ascii="Aptos" w:hAnsi="Aptos"/>
          <w:b/>
          <w:color w:val="17263C"/>
        </w:rPr>
        <w:t xml:space="preserve">Critères d’acceptation : </w:t>
      </w:r>
      <w:r>
        <w:rPr>
          <w:rFonts w:ascii="Aptos" w:hAnsi="Aptos"/>
          <w:color w:val="17263C"/>
        </w:rPr>
        <w:t>isolation vérifiée entre organisations; documents générés avec la bonne identité; changement d’établissement conservé dans l’audit</w:t>
      </w:r>
    </w:p>
    <w:p>
      <w:pPr>
        <w:pStyle w:val="Heading2"/>
        <w:spacing w:before="160" w:after="60"/>
      </w:pPr>
      <w:r>
        <w:rPr>
          <w:rFonts w:ascii="Aptos" w:hAnsi="Aptos"/>
          <w:b/>
          <w:color w:val="17263C"/>
          <w:sz w:val="21"/>
        </w:rPr>
        <w:t>F02 — Comptes utilisateurs et appartenances</w:t>
      </w:r>
    </w:p>
    <w:p>
      <w:r>
        <w:rPr>
          <w:rFonts w:ascii="Aptos" w:hAnsi="Aptos"/>
          <w:color w:val="17263C"/>
        </w:rPr>
        <w:t>Fournir une identité utilisateur commune, indépendante des rôles métier et compatible avec plusieurs organisations.</w:t>
      </w:r>
    </w:p>
    <w:p>
      <w:r>
        <w:rPr>
          <w:rFonts w:ascii="Aptos" w:hAnsi="Aptos"/>
          <w:b/>
          <w:color w:val="17263C"/>
        </w:rPr>
        <w:t xml:space="preserve">Dépendances : </w:t>
      </w:r>
      <w:r>
        <w:rPr>
          <w:rFonts w:ascii="Aptos" w:hAnsi="Aptos"/>
          <w:color w:val="17263C"/>
        </w:rPr>
        <w:t>F01</w:t>
      </w:r>
    </w:p>
    <w:p>
      <w:r>
        <w:rPr>
          <w:rFonts w:ascii="Aptos" w:hAnsi="Aptos"/>
          <w:b/>
          <w:color w:val="17263C"/>
        </w:rPr>
        <w:t xml:space="preserve">Modèles : </w:t>
      </w:r>
      <w:r>
        <w:rPr>
          <w:rFonts w:ascii="Aptos" w:hAnsi="Aptos"/>
          <w:color w:val="17263C"/>
        </w:rPr>
        <w:t>User, UserProfile, Membership, Invitation, SessionRecord, AuthenticationFactor, AccessRestriction</w:t>
      </w:r>
    </w:p>
    <w:p>
      <w:r>
        <w:rPr>
          <w:rFonts w:ascii="Aptos" w:hAnsi="Aptos"/>
          <w:b/>
          <w:color w:val="17263C"/>
        </w:rPr>
        <w:t xml:space="preserve">Interfaces : </w:t>
      </w:r>
      <w:r>
        <w:rPr>
          <w:rFonts w:ascii="Aptos" w:hAnsi="Aptos"/>
          <w:color w:val="17263C"/>
        </w:rPr>
        <w:t>connexion; invitation; profil; sessions actives; récupération d’accès</w:t>
      </w:r>
    </w:p>
    <w:p>
      <w:r>
        <w:rPr>
          <w:rFonts w:ascii="Aptos" w:hAnsi="Aptos"/>
          <w:b/>
          <w:color w:val="17263C"/>
        </w:rPr>
        <w:t xml:space="preserve">Services et règles : </w:t>
      </w:r>
      <w:r>
        <w:rPr>
          <w:rFonts w:ascii="Aptos" w:hAnsi="Aptos"/>
          <w:color w:val="17263C"/>
        </w:rPr>
        <w:t>courriel normalisé et unique; MFA configurable par profil de risque; expiration des invitations; révocation de toutes les sessions; verrouillage progressif</w:t>
      </w:r>
    </w:p>
    <w:p>
      <w:r>
        <w:rPr>
          <w:rFonts w:ascii="Aptos" w:hAnsi="Aptos"/>
          <w:b/>
          <w:color w:val="17263C"/>
        </w:rPr>
        <w:t xml:space="preserve">Critères d’acceptation : </w:t>
      </w:r>
      <w:r>
        <w:rPr>
          <w:rFonts w:ascii="Aptos" w:hAnsi="Aptos"/>
          <w:color w:val="17263C"/>
        </w:rPr>
        <w:t>parcours d’invitation complet; tests anti-énumération de comptes; un utilisateur sans appartenance n’accède à aucune donnée métier</w:t>
      </w:r>
    </w:p>
    <w:p>
      <w:pPr>
        <w:pStyle w:val="Heading2"/>
        <w:spacing w:before="160" w:after="60"/>
      </w:pPr>
      <w:r>
        <w:rPr>
          <w:rFonts w:ascii="Aptos" w:hAnsi="Aptos"/>
          <w:b/>
          <w:color w:val="17263C"/>
          <w:sz w:val="21"/>
        </w:rPr>
        <w:t>F03 — Rôles, habilitations et politiques</w:t>
      </w:r>
    </w:p>
    <w:p>
      <w:r>
        <w:rPr>
          <w:rFonts w:ascii="Aptos" w:hAnsi="Aptos"/>
          <w:color w:val="17263C"/>
        </w:rPr>
        <w:t>Limiter chaque utilisateur aux actions et données nécessaires à ses fonctions.</w:t>
      </w:r>
    </w:p>
    <w:p>
      <w:r>
        <w:rPr>
          <w:rFonts w:ascii="Aptos" w:hAnsi="Aptos"/>
          <w:b/>
          <w:color w:val="17263C"/>
        </w:rPr>
        <w:t xml:space="preserve">Dépendances : </w:t>
      </w:r>
      <w:r>
        <w:rPr>
          <w:rFonts w:ascii="Aptos" w:hAnsi="Aptos"/>
          <w:color w:val="17263C"/>
        </w:rPr>
        <w:t>F01, F02</w:t>
      </w:r>
    </w:p>
    <w:p>
      <w:r>
        <w:rPr>
          <w:rFonts w:ascii="Aptos" w:hAnsi="Aptos"/>
          <w:b/>
          <w:color w:val="17263C"/>
        </w:rPr>
        <w:t xml:space="preserve">Modèles : </w:t>
      </w:r>
      <w:r>
        <w:rPr>
          <w:rFonts w:ascii="Aptos" w:hAnsi="Aptos"/>
          <w:color w:val="17263C"/>
        </w:rPr>
        <w:t>Role, RoleAssignment, PermissionSet, DataScope, Delegation, PolicyDecisionLog</w:t>
      </w:r>
    </w:p>
    <w:p>
      <w:r>
        <w:rPr>
          <w:rFonts w:ascii="Aptos" w:hAnsi="Aptos"/>
          <w:b/>
          <w:color w:val="17263C"/>
        </w:rPr>
        <w:t xml:space="preserve">Interfaces : </w:t>
      </w:r>
      <w:r>
        <w:rPr>
          <w:rFonts w:ascii="Aptos" w:hAnsi="Aptos"/>
          <w:color w:val="17263C"/>
        </w:rPr>
        <w:t>matrice des droits; attribution des rôles; délégations temporaires; simulateur d’accès</w:t>
      </w:r>
    </w:p>
    <w:p>
      <w:r>
        <w:rPr>
          <w:rFonts w:ascii="Aptos" w:hAnsi="Aptos"/>
          <w:b/>
          <w:color w:val="17263C"/>
        </w:rPr>
        <w:t xml:space="preserve">Services et règles : </w:t>
      </w:r>
      <w:r>
        <w:rPr>
          <w:rFonts w:ascii="Aptos" w:hAnsi="Aptos"/>
          <w:color w:val="17263C"/>
        </w:rPr>
        <w:t>refus par défaut; séparation lecture/création/validation/export; portée organisation/établissement/équipe/objet; délégation datée; interdiction d’auto-élévation</w:t>
      </w:r>
    </w:p>
    <w:p>
      <w:r>
        <w:rPr>
          <w:rFonts w:ascii="Aptos" w:hAnsi="Aptos"/>
          <w:b/>
          <w:color w:val="17263C"/>
        </w:rPr>
        <w:t xml:space="preserve">Critères d’acceptation : </w:t>
      </w:r>
      <w:r>
        <w:rPr>
          <w:rFonts w:ascii="Aptos" w:hAnsi="Aptos"/>
          <w:color w:val="17263C"/>
        </w:rPr>
        <w:t>tests systématiques par rôle; aucune fuite dans exports ou recherches; simulation expliquant pourquoi l’accès est accordé ou refusé</w:t>
      </w:r>
    </w:p>
    <w:p>
      <w:pPr>
        <w:pStyle w:val="Heading2"/>
        <w:spacing w:before="160" w:after="60"/>
      </w:pPr>
      <w:r>
        <w:rPr>
          <w:rFonts w:ascii="Aptos" w:hAnsi="Aptos"/>
          <w:b/>
          <w:color w:val="17263C"/>
          <w:sz w:val="21"/>
        </w:rPr>
        <w:t>F04 — Journal d’audit et traçabilité</w:t>
      </w:r>
    </w:p>
    <w:p>
      <w:r>
        <w:rPr>
          <w:rFonts w:ascii="Aptos" w:hAnsi="Aptos"/>
          <w:color w:val="17263C"/>
        </w:rPr>
        <w:t>Conserver les opérations significatives et les changements de données sans mélanger audit métier et logs techniques.</w:t>
      </w:r>
    </w:p>
    <w:p>
      <w:r>
        <w:rPr>
          <w:rFonts w:ascii="Aptos" w:hAnsi="Aptos"/>
          <w:b/>
          <w:color w:val="17263C"/>
        </w:rPr>
        <w:t xml:space="preserve">Dépendances : </w:t>
      </w:r>
      <w:r>
        <w:rPr>
          <w:rFonts w:ascii="Aptos" w:hAnsi="Aptos"/>
          <w:color w:val="17263C"/>
        </w:rPr>
        <w:t>F01 à F03</w:t>
      </w:r>
    </w:p>
    <w:p>
      <w:r>
        <w:rPr>
          <w:rFonts w:ascii="Aptos" w:hAnsi="Aptos"/>
          <w:b/>
          <w:color w:val="17263C"/>
        </w:rPr>
        <w:t xml:space="preserve">Modèles : </w:t>
      </w:r>
      <w:r>
        <w:rPr>
          <w:rFonts w:ascii="Aptos" w:hAnsi="Aptos"/>
          <w:color w:val="17263C"/>
        </w:rPr>
        <w:t>AuditEvent, DataChange, AuthenticationEvent, ExportEvent, SecurityEvent, AuditRetentionPolicy</w:t>
      </w:r>
    </w:p>
    <w:p>
      <w:r>
        <w:rPr>
          <w:rFonts w:ascii="Aptos" w:hAnsi="Aptos"/>
          <w:b/>
          <w:color w:val="17263C"/>
        </w:rPr>
        <w:t xml:space="preserve">Interfaces : </w:t>
      </w:r>
      <w:r>
        <w:rPr>
          <w:rFonts w:ascii="Aptos" w:hAnsi="Aptos"/>
          <w:color w:val="17263C"/>
        </w:rPr>
        <w:t>chronologie par objet; recherche d’événements; comparaison avant/après; export d’audit autorisé</w:t>
      </w:r>
    </w:p>
    <w:p>
      <w:r>
        <w:rPr>
          <w:rFonts w:ascii="Aptos" w:hAnsi="Aptos"/>
          <w:b/>
          <w:color w:val="17263C"/>
        </w:rPr>
        <w:t xml:space="preserve">Services et règles : </w:t>
      </w:r>
      <w:r>
        <w:rPr>
          <w:rFonts w:ascii="Aptos" w:hAnsi="Aptos"/>
          <w:color w:val="17263C"/>
        </w:rPr>
        <w:t>horodatage UTC; acteur et contexte obligatoires; masquage des secrets; écriture append-only; durées configurées par catégorie</w:t>
      </w:r>
    </w:p>
    <w:p>
      <w:r>
        <w:rPr>
          <w:rFonts w:ascii="Aptos" w:hAnsi="Aptos"/>
          <w:b/>
          <w:color w:val="17263C"/>
        </w:rPr>
        <w:t xml:space="preserve">Critères d’acceptation : </w:t>
      </w:r>
      <w:r>
        <w:rPr>
          <w:rFonts w:ascii="Aptos" w:hAnsi="Aptos"/>
          <w:color w:val="17263C"/>
        </w:rPr>
        <w:t>création, validation, export et refus tracés; un audit ne modifie jamais la transaction métier; accès à l’audit lui-même journalisé</w:t>
      </w:r>
    </w:p>
    <w:p>
      <w:pPr>
        <w:pStyle w:val="Heading2"/>
        <w:spacing w:before="160" w:after="60"/>
      </w:pPr>
      <w:r>
        <w:rPr>
          <w:rFonts w:ascii="Aptos" w:hAnsi="Aptos"/>
          <w:b/>
          <w:color w:val="17263C"/>
          <w:sz w:val="21"/>
        </w:rPr>
        <w:t>F05 — Workflows et validations</w:t>
      </w:r>
    </w:p>
    <w:p>
      <w:r>
        <w:rPr>
          <w:rFonts w:ascii="Aptos" w:hAnsi="Aptos"/>
          <w:color w:val="17263C"/>
        </w:rPr>
        <w:t>Exécuter des circuits configurables de statut, d’approbation et d’escalade pour les objets métier.</w:t>
      </w:r>
    </w:p>
    <w:p>
      <w:r>
        <w:rPr>
          <w:rFonts w:ascii="Aptos" w:hAnsi="Aptos"/>
          <w:b/>
          <w:color w:val="17263C"/>
        </w:rPr>
        <w:t xml:space="preserve">Dépendances : </w:t>
      </w:r>
      <w:r>
        <w:rPr>
          <w:rFonts w:ascii="Aptos" w:hAnsi="Aptos"/>
          <w:color w:val="17263C"/>
        </w:rPr>
        <w:t>F01 à F04, F07</w:t>
      </w:r>
    </w:p>
    <w:p>
      <w:r>
        <w:rPr>
          <w:rFonts w:ascii="Aptos" w:hAnsi="Aptos"/>
          <w:b/>
          <w:color w:val="17263C"/>
        </w:rPr>
        <w:t xml:space="preserve">Modèles : </w:t>
      </w:r>
      <w:r>
        <w:rPr>
          <w:rFonts w:ascii="Aptos" w:hAnsi="Aptos"/>
          <w:color w:val="17263C"/>
        </w:rPr>
        <w:t>WorkflowDefinition, WorkflowState, WorkflowTransition, WorkflowInstance, ApprovalStep, ApprovalDecision, EscalationRule</w:t>
      </w:r>
    </w:p>
    <w:p>
      <w:r>
        <w:rPr>
          <w:rFonts w:ascii="Aptos" w:hAnsi="Aptos"/>
          <w:b/>
          <w:color w:val="17263C"/>
        </w:rPr>
        <w:t xml:space="preserve">Interfaces : </w:t>
      </w:r>
      <w:r>
        <w:rPr>
          <w:rFonts w:ascii="Aptos" w:hAnsi="Aptos"/>
          <w:color w:val="17263C"/>
        </w:rPr>
        <w:t>constructeur de workflow encadré; boîte de validations; historique; motifs de refus</w:t>
      </w:r>
    </w:p>
    <w:p>
      <w:r>
        <w:rPr>
          <w:rFonts w:ascii="Aptos" w:hAnsi="Aptos"/>
          <w:b/>
          <w:color w:val="17263C"/>
        </w:rPr>
        <w:t xml:space="preserve">Services et règles : </w:t>
      </w:r>
      <w:r>
        <w:rPr>
          <w:rFonts w:ascii="Aptos" w:hAnsi="Aptos"/>
          <w:color w:val="17263C"/>
        </w:rPr>
        <w:t>versionner les définitions; ne pas altérer les instances en cours; conditions évaluées côté serveur; séparation demandeur/approbateur configurable; délais et escalades</w:t>
      </w:r>
    </w:p>
    <w:p>
      <w:r>
        <w:rPr>
          <w:rFonts w:ascii="Aptos" w:hAnsi="Aptos"/>
          <w:b/>
          <w:color w:val="17263C"/>
        </w:rPr>
        <w:t xml:space="preserve">Critères d’acceptation : </w:t>
      </w:r>
      <w:r>
        <w:rPr>
          <w:rFonts w:ascii="Aptos" w:hAnsi="Aptos"/>
          <w:color w:val="17263C"/>
        </w:rPr>
        <w:t>aucune transition illégale; rejeu sans double effet; workflow actif documenté pour chaque objet</w:t>
      </w:r>
    </w:p>
    <w:p>
      <w:pPr>
        <w:pStyle w:val="Heading2"/>
        <w:spacing w:before="160" w:after="60"/>
      </w:pPr>
      <w:r>
        <w:rPr>
          <w:rFonts w:ascii="Aptos" w:hAnsi="Aptos"/>
          <w:b/>
          <w:color w:val="17263C"/>
          <w:sz w:val="21"/>
        </w:rPr>
        <w:t>F06 — Documents, versions et signatures</w:t>
      </w:r>
    </w:p>
    <w:p>
      <w:r>
        <w:rPr>
          <w:rFonts w:ascii="Aptos" w:hAnsi="Aptos"/>
          <w:color w:val="17263C"/>
        </w:rPr>
        <w:t>Centraliser les pièces jointes, documents générés et preuves de validation liés aux objets métier.</w:t>
      </w:r>
    </w:p>
    <w:p>
      <w:r>
        <w:rPr>
          <w:rFonts w:ascii="Aptos" w:hAnsi="Aptos"/>
          <w:b/>
          <w:color w:val="17263C"/>
        </w:rPr>
        <w:t xml:space="preserve">Dépendances : </w:t>
      </w:r>
      <w:r>
        <w:rPr>
          <w:rFonts w:ascii="Aptos" w:hAnsi="Aptos"/>
          <w:color w:val="17263C"/>
        </w:rPr>
        <w:t>F01 à F04, F10</w:t>
      </w:r>
    </w:p>
    <w:p>
      <w:r>
        <w:rPr>
          <w:rFonts w:ascii="Aptos" w:hAnsi="Aptos"/>
          <w:b/>
          <w:color w:val="17263C"/>
        </w:rPr>
        <w:t xml:space="preserve">Modèles : </w:t>
      </w:r>
      <w:r>
        <w:rPr>
          <w:rFonts w:ascii="Aptos" w:hAnsi="Aptos"/>
          <w:color w:val="17263C"/>
        </w:rPr>
        <w:t>Document, DocumentVersion, DocumentCategory, DocumentLink, GeneratedDocument, SignatureRequest, RetentionRule, IntegrityDigest</w:t>
      </w:r>
    </w:p>
    <w:p>
      <w:r>
        <w:rPr>
          <w:rFonts w:ascii="Aptos" w:hAnsi="Aptos"/>
          <w:b/>
          <w:color w:val="17263C"/>
        </w:rPr>
        <w:t xml:space="preserve">Interfaces : </w:t>
      </w:r>
      <w:r>
        <w:rPr>
          <w:rFonts w:ascii="Aptos" w:hAnsi="Aptos"/>
          <w:color w:val="17263C"/>
        </w:rPr>
        <w:t>dépôt; prévisualisation; versions; recherche; signature; pièces manquantes</w:t>
      </w:r>
    </w:p>
    <w:p>
      <w:r>
        <w:rPr>
          <w:rFonts w:ascii="Aptos" w:hAnsi="Aptos"/>
          <w:b/>
          <w:color w:val="17263C"/>
        </w:rPr>
        <w:t xml:space="preserve">Services et règles : </w:t>
      </w:r>
      <w:r>
        <w:rPr>
          <w:rFonts w:ascii="Aptos" w:hAnsi="Aptos"/>
          <w:color w:val="17263C"/>
        </w:rPr>
        <w:t>antivirus avant disponibilité; type et taille autorisés; empreinte d’intégrité; original conservé; accès hérité de l’objet lié mais révocable</w:t>
      </w:r>
    </w:p>
    <w:p>
      <w:r>
        <w:rPr>
          <w:rFonts w:ascii="Aptos" w:hAnsi="Aptos"/>
          <w:b/>
          <w:color w:val="17263C"/>
        </w:rPr>
        <w:t xml:space="preserve">Critères d’acceptation : </w:t>
      </w:r>
      <w:r>
        <w:rPr>
          <w:rFonts w:ascii="Aptos" w:hAnsi="Aptos"/>
          <w:color w:val="17263C"/>
        </w:rPr>
        <w:t>téléchargement sécurisé; version précédente accessible selon droit; document réglementaire non remplaçable silencieusement</w:t>
      </w:r>
    </w:p>
    <w:p>
      <w:pPr>
        <w:pStyle w:val="Heading2"/>
        <w:spacing w:before="160" w:after="60"/>
      </w:pPr>
      <w:r>
        <w:rPr>
          <w:rFonts w:ascii="Aptos" w:hAnsi="Aptos"/>
          <w:b/>
          <w:color w:val="17263C"/>
          <w:sz w:val="21"/>
        </w:rPr>
        <w:t>F07 — Notifications et messagerie transactionnelle</w:t>
      </w:r>
    </w:p>
    <w:p>
      <w:r>
        <w:rPr>
          <w:rFonts w:ascii="Aptos" w:hAnsi="Aptos"/>
          <w:color w:val="17263C"/>
        </w:rPr>
        <w:t>Découpler les événements métier des canaux de notification et des fournisseurs externes.</w:t>
      </w:r>
    </w:p>
    <w:p>
      <w:r>
        <w:rPr>
          <w:rFonts w:ascii="Aptos" w:hAnsi="Aptos"/>
          <w:b/>
          <w:color w:val="17263C"/>
        </w:rPr>
        <w:t xml:space="preserve">Dépendances : </w:t>
      </w:r>
      <w:r>
        <w:rPr>
          <w:rFonts w:ascii="Aptos" w:hAnsi="Aptos"/>
          <w:color w:val="17263C"/>
        </w:rPr>
        <w:t>F01 à F04</w:t>
      </w:r>
    </w:p>
    <w:p>
      <w:r>
        <w:rPr>
          <w:rFonts w:ascii="Aptos" w:hAnsi="Aptos"/>
          <w:b/>
          <w:color w:val="17263C"/>
        </w:rPr>
        <w:t xml:space="preserve">Modèles : </w:t>
      </w:r>
      <w:r>
        <w:rPr>
          <w:rFonts w:ascii="Aptos" w:hAnsi="Aptos"/>
          <w:color w:val="17263C"/>
        </w:rPr>
        <w:t>Notification, NotificationRule, NotificationPreference, MessageTemplate, DeliveryAttempt, MessageSuppression, WebhookDelivery</w:t>
      </w:r>
    </w:p>
    <w:p>
      <w:r>
        <w:rPr>
          <w:rFonts w:ascii="Aptos" w:hAnsi="Aptos"/>
          <w:b/>
          <w:color w:val="17263C"/>
        </w:rPr>
        <w:t xml:space="preserve">Interfaces : </w:t>
      </w:r>
      <w:r>
        <w:rPr>
          <w:rFonts w:ascii="Aptos" w:hAnsi="Aptos"/>
          <w:color w:val="17263C"/>
        </w:rPr>
        <w:t>centre de notifications; préférences; éditeur de modèles; historique d’envoi</w:t>
      </w:r>
    </w:p>
    <w:p>
      <w:r>
        <w:rPr>
          <w:rFonts w:ascii="Aptos" w:hAnsi="Aptos"/>
          <w:b/>
          <w:color w:val="17263C"/>
        </w:rPr>
        <w:t xml:space="preserve">Services et règles : </w:t>
      </w:r>
      <w:r>
        <w:rPr>
          <w:rFonts w:ascii="Aptos" w:hAnsi="Aptos"/>
          <w:color w:val="17263C"/>
        </w:rPr>
        <w:t>adaptateurs courriel/SMS/in-app; file d’attente; reprises avec plafond; idempotence; désinscription des communications non essentielles</w:t>
      </w:r>
    </w:p>
    <w:p>
      <w:r>
        <w:rPr>
          <w:rFonts w:ascii="Aptos" w:hAnsi="Aptos"/>
          <w:b/>
          <w:color w:val="17263C"/>
        </w:rPr>
        <w:t xml:space="preserve">Critères d’acceptation : </w:t>
      </w:r>
      <w:r>
        <w:rPr>
          <w:rFonts w:ascii="Aptos" w:hAnsi="Aptos"/>
          <w:color w:val="17263C"/>
        </w:rPr>
        <w:t>aucun envoi double lors d’un rejeu; échec visible et relançable; variables de modèle validées avant activation</w:t>
      </w:r>
    </w:p>
    <w:p>
      <w:pPr>
        <w:pStyle w:val="Heading2"/>
        <w:spacing w:before="160" w:after="60"/>
      </w:pPr>
      <w:r>
        <w:rPr>
          <w:rFonts w:ascii="Aptos" w:hAnsi="Aptos"/>
          <w:b/>
          <w:color w:val="17263C"/>
          <w:sz w:val="21"/>
        </w:rPr>
        <w:t>F08 — Configuration, capacités et vocabulaire</w:t>
      </w:r>
    </w:p>
    <w:p>
      <w:r>
        <w:rPr>
          <w:rFonts w:ascii="Aptos" w:hAnsi="Aptos"/>
          <w:color w:val="17263C"/>
        </w:rPr>
        <w:t>Adapter une livraison au client sans forker les règles communes ni introduire de marque en dur.</w:t>
      </w:r>
    </w:p>
    <w:p>
      <w:r>
        <w:rPr>
          <w:rFonts w:ascii="Aptos" w:hAnsi="Aptos"/>
          <w:b/>
          <w:color w:val="17263C"/>
        </w:rPr>
        <w:t xml:space="preserve">Dépendances : </w:t>
      </w:r>
      <w:r>
        <w:rPr>
          <w:rFonts w:ascii="Aptos" w:hAnsi="Aptos"/>
          <w:color w:val="17263C"/>
        </w:rPr>
        <w:t>F01, F03, F04</w:t>
      </w:r>
    </w:p>
    <w:p>
      <w:r>
        <w:rPr>
          <w:rFonts w:ascii="Aptos" w:hAnsi="Aptos"/>
          <w:b/>
          <w:color w:val="17263C"/>
        </w:rPr>
        <w:t xml:space="preserve">Modèles : </w:t>
      </w:r>
      <w:r>
        <w:rPr>
          <w:rFonts w:ascii="Aptos" w:hAnsi="Aptos"/>
          <w:color w:val="17263C"/>
        </w:rPr>
        <w:t>Feature, FeatureAssignment, SettingDefinition, SettingValue, VocabularyTerm, CustomFieldDefinition, CustomFieldValue</w:t>
      </w:r>
    </w:p>
    <w:p>
      <w:r>
        <w:rPr>
          <w:rFonts w:ascii="Aptos" w:hAnsi="Aptos"/>
          <w:b/>
          <w:color w:val="17263C"/>
        </w:rPr>
        <w:t xml:space="preserve">Interfaces : </w:t>
      </w:r>
      <w:r>
        <w:rPr>
          <w:rFonts w:ascii="Aptos" w:hAnsi="Aptos"/>
          <w:color w:val="17263C"/>
        </w:rPr>
        <w:t>catalogue des capacités; paramètres; vocabulaire; champs supplémentaires</w:t>
      </w:r>
    </w:p>
    <w:p>
      <w:r>
        <w:rPr>
          <w:rFonts w:ascii="Aptos" w:hAnsi="Aptos"/>
          <w:b/>
          <w:color w:val="17263C"/>
        </w:rPr>
        <w:t xml:space="preserve">Services et règles : </w:t>
      </w:r>
      <w:r>
        <w:rPr>
          <w:rFonts w:ascii="Aptos" w:hAnsi="Aptos"/>
          <w:color w:val="17263C"/>
        </w:rPr>
        <w:t>schéma et type de chaque paramètre; valeurs par défaut versionnées; activation soumise aux dépendances; champs personnalisés limités aux besoins simples</w:t>
      </w:r>
    </w:p>
    <w:p>
      <w:r>
        <w:rPr>
          <w:rFonts w:ascii="Aptos" w:hAnsi="Aptos"/>
          <w:b/>
          <w:color w:val="17263C"/>
        </w:rPr>
        <w:t xml:space="preserve">Critères d’acceptation : </w:t>
      </w:r>
      <w:r>
        <w:rPr>
          <w:rFonts w:ascii="Aptos" w:hAnsi="Aptos"/>
          <w:color w:val="17263C"/>
        </w:rPr>
        <w:t>désactivation sans erreur de navigation; aucune référence à une marque technique; export de configuration reproductible</w:t>
      </w:r>
    </w:p>
    <w:p>
      <w:pPr>
        <w:pStyle w:val="Heading2"/>
        <w:spacing w:before="160" w:after="60"/>
      </w:pPr>
      <w:r>
        <w:rPr>
          <w:rFonts w:ascii="Aptos" w:hAnsi="Aptos"/>
          <w:b/>
          <w:color w:val="17263C"/>
          <w:sz w:val="21"/>
        </w:rPr>
        <w:t>F09 — Numérotation et séquences documentaires</w:t>
      </w:r>
    </w:p>
    <w:p>
      <w:r>
        <w:rPr>
          <w:rFonts w:ascii="Aptos" w:hAnsi="Aptos"/>
          <w:color w:val="17263C"/>
        </w:rPr>
        <w:t>Produire des références sûres pour devis, commandes, factures, avoirs, écritures et dossiers.</w:t>
      </w:r>
    </w:p>
    <w:p>
      <w:r>
        <w:rPr>
          <w:rFonts w:ascii="Aptos" w:hAnsi="Aptos"/>
          <w:b/>
          <w:color w:val="17263C"/>
        </w:rPr>
        <w:t xml:space="preserve">Dépendances : </w:t>
      </w:r>
      <w:r>
        <w:rPr>
          <w:rFonts w:ascii="Aptos" w:hAnsi="Aptos"/>
          <w:color w:val="17263C"/>
        </w:rPr>
        <w:t>F01, F04</w:t>
      </w:r>
    </w:p>
    <w:p>
      <w:r>
        <w:rPr>
          <w:rFonts w:ascii="Aptos" w:hAnsi="Aptos"/>
          <w:b/>
          <w:color w:val="17263C"/>
        </w:rPr>
        <w:t xml:space="preserve">Modèles : </w:t>
      </w:r>
      <w:r>
        <w:rPr>
          <w:rFonts w:ascii="Aptos" w:hAnsi="Aptos"/>
          <w:color w:val="17263C"/>
        </w:rPr>
        <w:t>SequenceDefinition, SequenceCounter, ReservedNumber, SequenceEvent</w:t>
      </w:r>
    </w:p>
    <w:p>
      <w:r>
        <w:rPr>
          <w:rFonts w:ascii="Aptos" w:hAnsi="Aptos"/>
          <w:b/>
          <w:color w:val="17263C"/>
        </w:rPr>
        <w:t xml:space="preserve">Interfaces : </w:t>
      </w:r>
      <w:r>
        <w:rPr>
          <w:rFonts w:ascii="Aptos" w:hAnsi="Aptos"/>
          <w:color w:val="17263C"/>
        </w:rPr>
        <w:t>paramétrage de format; aperçu; historique des attributions; contrôle des anomalies</w:t>
      </w:r>
    </w:p>
    <w:p>
      <w:r>
        <w:rPr>
          <w:rFonts w:ascii="Aptos" w:hAnsi="Aptos"/>
          <w:b/>
          <w:color w:val="17263C"/>
        </w:rPr>
        <w:t xml:space="preserve">Services et règles : </w:t>
      </w:r>
      <w:r>
        <w:rPr>
          <w:rFonts w:ascii="Aptos" w:hAnsi="Aptos"/>
          <w:color w:val="17263C"/>
        </w:rPr>
        <w:t>allocation atomique; portée par entité/type/exercice; numéro figé à l’émission; préfixes configurables; interdiction de réutilisation</w:t>
      </w:r>
    </w:p>
    <w:p>
      <w:r>
        <w:rPr>
          <w:rFonts w:ascii="Aptos" w:hAnsi="Aptos"/>
          <w:b/>
          <w:color w:val="17263C"/>
        </w:rPr>
        <w:t xml:space="preserve">Critères d’acceptation : </w:t>
      </w:r>
      <w:r>
        <w:rPr>
          <w:rFonts w:ascii="Aptos" w:hAnsi="Aptos"/>
          <w:color w:val="17263C"/>
        </w:rPr>
        <w:t>tests concurrents sans doublon; séquence de facture chronologique et continue; toute réservation abandonnée justifiée</w:t>
      </w:r>
    </w:p>
    <w:p>
      <w:pPr>
        <w:pStyle w:val="Heading2"/>
        <w:spacing w:before="160" w:after="60"/>
      </w:pPr>
      <w:r>
        <w:rPr>
          <w:rFonts w:ascii="Aptos" w:hAnsi="Aptos"/>
          <w:b/>
          <w:color w:val="17263C"/>
          <w:sz w:val="21"/>
        </w:rPr>
        <w:t>F10 — Référentiels communs</w:t>
      </w:r>
    </w:p>
    <w:p>
      <w:r>
        <w:rPr>
          <w:rFonts w:ascii="Aptos" w:hAnsi="Aptos"/>
          <w:color w:val="17263C"/>
        </w:rPr>
        <w:t>Centraliser devises, pays, unités, taxes, calendriers et listes contrôlées partagées.</w:t>
      </w:r>
    </w:p>
    <w:p>
      <w:r>
        <w:rPr>
          <w:rFonts w:ascii="Aptos" w:hAnsi="Aptos"/>
          <w:b/>
          <w:color w:val="17263C"/>
        </w:rPr>
        <w:t xml:space="preserve">Dépendances : </w:t>
      </w:r>
      <w:r>
        <w:rPr>
          <w:rFonts w:ascii="Aptos" w:hAnsi="Aptos"/>
          <w:color w:val="17263C"/>
        </w:rPr>
        <w:t>F01</w:t>
      </w:r>
    </w:p>
    <w:p>
      <w:r>
        <w:rPr>
          <w:rFonts w:ascii="Aptos" w:hAnsi="Aptos"/>
          <w:b/>
          <w:color w:val="17263C"/>
        </w:rPr>
        <w:t xml:space="preserve">Modèles : </w:t>
      </w:r>
      <w:r>
        <w:rPr>
          <w:rFonts w:ascii="Aptos" w:hAnsi="Aptos"/>
          <w:color w:val="17263C"/>
        </w:rPr>
        <w:t>Country, Currency, Unit, Language, Calendar, Holiday, TaxCode, PaymentTerm, ReasonCode</w:t>
      </w:r>
    </w:p>
    <w:p>
      <w:r>
        <w:rPr>
          <w:rFonts w:ascii="Aptos" w:hAnsi="Aptos"/>
          <w:b/>
          <w:color w:val="17263C"/>
        </w:rPr>
        <w:t xml:space="preserve">Interfaces : </w:t>
      </w:r>
      <w:r>
        <w:rPr>
          <w:rFonts w:ascii="Aptos" w:hAnsi="Aptos"/>
          <w:color w:val="17263C"/>
        </w:rPr>
        <w:t>listes de référence; activation/désactivation; import de mises à jour; historique</w:t>
      </w:r>
    </w:p>
    <w:p>
      <w:r>
        <w:rPr>
          <w:rFonts w:ascii="Aptos" w:hAnsi="Aptos"/>
          <w:b/>
          <w:color w:val="17263C"/>
        </w:rPr>
        <w:t xml:space="preserve">Services et règles : </w:t>
      </w:r>
      <w:r>
        <w:rPr>
          <w:rFonts w:ascii="Aptos" w:hAnsi="Aptos"/>
          <w:color w:val="17263C"/>
        </w:rPr>
        <w:t>codes normalisés; pas de suppression si utilisé; dates d’effet; surcharge locale contrôlée</w:t>
      </w:r>
    </w:p>
    <w:p>
      <w:r>
        <w:rPr>
          <w:rFonts w:ascii="Aptos" w:hAnsi="Aptos"/>
          <w:b/>
          <w:color w:val="17263C"/>
        </w:rPr>
        <w:t xml:space="preserve">Critères d’acceptation : </w:t>
      </w:r>
      <w:r>
        <w:rPr>
          <w:rFonts w:ascii="Aptos" w:hAnsi="Aptos"/>
          <w:color w:val="17263C"/>
        </w:rPr>
        <w:t>référentiel initial reproductible; valeur expirée non proposée mais historique lisible; validations partagées par tous les modules</w:t>
      </w:r>
    </w:p>
    <w:p>
      <w:pPr>
        <w:pStyle w:val="Heading2"/>
        <w:spacing w:before="160" w:after="60"/>
      </w:pPr>
      <w:r>
        <w:rPr>
          <w:rFonts w:ascii="Aptos" w:hAnsi="Aptos"/>
          <w:b/>
          <w:color w:val="17263C"/>
          <w:sz w:val="21"/>
        </w:rPr>
        <w:t>F11 — Import, export et qualité des données</w:t>
      </w:r>
    </w:p>
    <w:p>
      <w:r>
        <w:rPr>
          <w:rFonts w:ascii="Aptos" w:hAnsi="Aptos"/>
          <w:color w:val="17263C"/>
        </w:rPr>
        <w:t>Importer et extraire les données de manière contrôlée, traçable et réversible lorsque possible.</w:t>
      </w:r>
    </w:p>
    <w:p>
      <w:r>
        <w:rPr>
          <w:rFonts w:ascii="Aptos" w:hAnsi="Aptos"/>
          <w:b/>
          <w:color w:val="17263C"/>
        </w:rPr>
        <w:t xml:space="preserve">Dépendances : </w:t>
      </w:r>
      <w:r>
        <w:rPr>
          <w:rFonts w:ascii="Aptos" w:hAnsi="Aptos"/>
          <w:color w:val="17263C"/>
        </w:rPr>
        <w:t>F01 à F04, F10</w:t>
      </w:r>
    </w:p>
    <w:p>
      <w:r>
        <w:rPr>
          <w:rFonts w:ascii="Aptos" w:hAnsi="Aptos"/>
          <w:b/>
          <w:color w:val="17263C"/>
        </w:rPr>
        <w:t xml:space="preserve">Modèles : </w:t>
      </w:r>
      <w:r>
        <w:rPr>
          <w:rFonts w:ascii="Aptos" w:hAnsi="Aptos"/>
          <w:color w:val="17263C"/>
        </w:rPr>
        <w:t>ImportJob, ImportRow, ImportMapping, ValidationIssue, ExportJob, ExportTemplate, DataQualityRule</w:t>
      </w:r>
    </w:p>
    <w:p>
      <w:r>
        <w:rPr>
          <w:rFonts w:ascii="Aptos" w:hAnsi="Aptos"/>
          <w:b/>
          <w:color w:val="17263C"/>
        </w:rPr>
        <w:t xml:space="preserve">Interfaces : </w:t>
      </w:r>
      <w:r>
        <w:rPr>
          <w:rFonts w:ascii="Aptos" w:hAnsi="Aptos"/>
          <w:color w:val="17263C"/>
        </w:rPr>
        <w:t>assistant d’import; mappage de colonnes; prévalidation; rapport d’erreurs; exports enregistrés</w:t>
      </w:r>
    </w:p>
    <w:p>
      <w:r>
        <w:rPr>
          <w:rFonts w:ascii="Aptos" w:hAnsi="Aptos"/>
          <w:b/>
          <w:color w:val="17263C"/>
        </w:rPr>
        <w:t xml:space="preserve">Services et règles : </w:t>
      </w:r>
      <w:r>
        <w:rPr>
          <w:rFonts w:ascii="Aptos" w:hAnsi="Aptos"/>
          <w:color w:val="17263C"/>
        </w:rPr>
        <w:t>prévisualisation avant écriture; transaction par lot; déduplication; limites par rôle; chiffrement des fichiers temporaires</w:t>
      </w:r>
    </w:p>
    <w:p>
      <w:r>
        <w:rPr>
          <w:rFonts w:ascii="Aptos" w:hAnsi="Aptos"/>
          <w:b/>
          <w:color w:val="17263C"/>
        </w:rPr>
        <w:t xml:space="preserve">Critères d’acceptation : </w:t>
      </w:r>
      <w:r>
        <w:rPr>
          <w:rFonts w:ascii="Aptos" w:hAnsi="Aptos"/>
          <w:color w:val="17263C"/>
        </w:rPr>
        <w:t>aucune donnée écrite si validation globale requise et échouée; rapport ligne par ligne; export conforme au périmètre d’accès</w:t>
      </w:r>
    </w:p>
    <w:p>
      <w:pPr>
        <w:pStyle w:val="Heading2"/>
        <w:spacing w:before="160" w:after="60"/>
      </w:pPr>
      <w:r>
        <w:rPr>
          <w:rFonts w:ascii="Aptos" w:hAnsi="Aptos"/>
          <w:b/>
          <w:color w:val="17263C"/>
          <w:sz w:val="21"/>
        </w:rPr>
        <w:t>F12 — Bibliothèque d’interfaces métier</w:t>
      </w:r>
    </w:p>
    <w:p>
      <w:r>
        <w:rPr>
          <w:rFonts w:ascii="Aptos" w:hAnsi="Aptos"/>
          <w:color w:val="17263C"/>
        </w:rPr>
        <w:t>Fournir les gabarits et composants communs sans imposer l’identité visuelle du studio ou d’un client précédent.</w:t>
      </w:r>
    </w:p>
    <w:p>
      <w:r>
        <w:rPr>
          <w:rFonts w:ascii="Aptos" w:hAnsi="Aptos"/>
          <w:b/>
          <w:color w:val="17263C"/>
        </w:rPr>
        <w:t xml:space="preserve">Dépendances : </w:t>
      </w:r>
      <w:r>
        <w:rPr>
          <w:rFonts w:ascii="Aptos" w:hAnsi="Aptos"/>
          <w:color w:val="17263C"/>
        </w:rPr>
        <w:t>F02, F03, F07, F08</w:t>
      </w:r>
    </w:p>
    <w:p>
      <w:r>
        <w:rPr>
          <w:rFonts w:ascii="Aptos" w:hAnsi="Aptos"/>
          <w:b/>
          <w:color w:val="17263C"/>
        </w:rPr>
        <w:t xml:space="preserve">Modèles : </w:t>
      </w:r>
      <w:r>
        <w:rPr>
          <w:rFonts w:ascii="Aptos" w:hAnsi="Aptos"/>
          <w:color w:val="17263C"/>
        </w:rPr>
        <w:t>SavedView, SavedFilter, UserTablePreference, NavigationConfiguration</w:t>
      </w:r>
    </w:p>
    <w:p>
      <w:r>
        <w:rPr>
          <w:rFonts w:ascii="Aptos" w:hAnsi="Aptos"/>
          <w:b/>
          <w:color w:val="17263C"/>
        </w:rPr>
        <w:t xml:space="preserve">Interfaces : </w:t>
      </w:r>
      <w:r>
        <w:rPr>
          <w:rFonts w:ascii="Aptos" w:hAnsi="Aptos"/>
          <w:color w:val="17263C"/>
        </w:rPr>
        <w:t>layout applicatif; table filtrable; formulaire; modal; timeline; kanban; calendrier; éditeur de lignes; sélecteurs; états vides</w:t>
      </w:r>
    </w:p>
    <w:p>
      <w:r>
        <w:rPr>
          <w:rFonts w:ascii="Aptos" w:hAnsi="Aptos"/>
          <w:b/>
          <w:color w:val="17263C"/>
        </w:rPr>
        <w:t xml:space="preserve">Services et règles : </w:t>
      </w:r>
      <w:r>
        <w:rPr>
          <w:rFonts w:ascii="Aptos" w:hAnsi="Aptos"/>
          <w:color w:val="17263C"/>
        </w:rPr>
        <w:t>rendu serveur par défaut; partials HTMX accessibles; tokens de thème; aucun CDN obligatoire; clavier et lecteurs d’écran</w:t>
      </w:r>
    </w:p>
    <w:p>
      <w:r>
        <w:rPr>
          <w:rFonts w:ascii="Aptos" w:hAnsi="Aptos"/>
          <w:b/>
          <w:color w:val="17263C"/>
        </w:rPr>
        <w:t xml:space="preserve">Critères d’acceptation : </w:t>
      </w:r>
      <w:r>
        <w:rPr>
          <w:rFonts w:ascii="Aptos" w:hAnsi="Aptos"/>
          <w:color w:val="17263C"/>
        </w:rPr>
        <w:t>catalogue de démonstration; test mobile et clavier; surcharge de thème sans modifier le composant</w:t>
      </w:r>
    </w:p>
    <w:p>
      <w:pPr>
        <w:pStyle w:val="Heading1"/>
      </w:pPr>
      <w:r>
        <w:t>6. Catalogue des briques de pilotage</w:t>
      </w:r>
    </w:p>
    <w:p>
      <w:r>
        <w:rPr>
          <w:rFonts w:ascii="Aptos" w:hAnsi="Aptos"/>
          <w:color w:val="17263C"/>
        </w:rPr>
        <w:t>Les briques de pilotage consomment des projections publiées par les domaines. Elles ne modifient jamais directement les données opérationnelles ou comptables.</w:t>
      </w:r>
    </w:p>
    <w:p>
      <w:pPr>
        <w:pStyle w:val="Heading2"/>
        <w:spacing w:before="160" w:after="60"/>
      </w:pPr>
      <w:r>
        <w:rPr>
          <w:rFonts w:ascii="Aptos" w:hAnsi="Aptos"/>
          <w:b/>
          <w:color w:val="17263C"/>
          <w:sz w:val="21"/>
        </w:rPr>
        <w:t>P01 — Tableaux de bord configurables</w:t>
      </w:r>
    </w:p>
    <w:p>
      <w:r>
        <w:rPr>
          <w:rFonts w:ascii="Aptos" w:hAnsi="Aptos"/>
          <w:color w:val="17263C"/>
        </w:rPr>
        <w:t>Composer des vues de pilotage adaptées à un rôle, une organisation et une période.</w:t>
      </w:r>
    </w:p>
    <w:p>
      <w:r>
        <w:rPr>
          <w:rFonts w:ascii="Aptos" w:hAnsi="Aptos"/>
          <w:b/>
          <w:color w:val="17263C"/>
        </w:rPr>
        <w:t xml:space="preserve">Dépendances : </w:t>
      </w:r>
      <w:r>
        <w:rPr>
          <w:rFonts w:ascii="Aptos" w:hAnsi="Aptos"/>
          <w:color w:val="17263C"/>
        </w:rPr>
        <w:t>F01 à F04, F08, F12, P02</w:t>
      </w:r>
    </w:p>
    <w:p>
      <w:r>
        <w:rPr>
          <w:rFonts w:ascii="Aptos" w:hAnsi="Aptos"/>
          <w:b/>
          <w:color w:val="17263C"/>
        </w:rPr>
        <w:t xml:space="preserve">Modèles : </w:t>
      </w:r>
      <w:r>
        <w:rPr>
          <w:rFonts w:ascii="Aptos" w:hAnsi="Aptos"/>
          <w:color w:val="17263C"/>
        </w:rPr>
        <w:t>Dashboard, DashboardSection, DashboardWidget, WidgetConfiguration, DashboardShare</w:t>
      </w:r>
    </w:p>
    <w:p>
      <w:r>
        <w:rPr>
          <w:rFonts w:ascii="Aptos" w:hAnsi="Aptos"/>
          <w:b/>
          <w:color w:val="17263C"/>
        </w:rPr>
        <w:t xml:space="preserve">Interfaces : </w:t>
      </w:r>
      <w:r>
        <w:rPr>
          <w:rFonts w:ascii="Aptos" w:hAnsi="Aptos"/>
          <w:color w:val="17263C"/>
        </w:rPr>
        <w:t>éditeur de tableau; widgets KPI, graphique et liste; filtres globaux; mode présentation</w:t>
      </w:r>
    </w:p>
    <w:p>
      <w:r>
        <w:rPr>
          <w:rFonts w:ascii="Aptos" w:hAnsi="Aptos"/>
          <w:b/>
          <w:color w:val="17263C"/>
        </w:rPr>
        <w:t xml:space="preserve">Services et règles : </w:t>
      </w:r>
      <w:r>
        <w:rPr>
          <w:rFonts w:ascii="Aptos" w:hAnsi="Aptos"/>
          <w:color w:val="17263C"/>
        </w:rPr>
        <w:t>catalogue de widgets autorisés; requêtes limitées et mises en cache; droits hérités des données sources; configuration versionnée</w:t>
      </w:r>
    </w:p>
    <w:p>
      <w:r>
        <w:rPr>
          <w:rFonts w:ascii="Aptos" w:hAnsi="Aptos"/>
          <w:b/>
          <w:color w:val="17263C"/>
        </w:rPr>
        <w:t xml:space="preserve">Critères d’acceptation : </w:t>
      </w:r>
      <w:r>
        <w:rPr>
          <w:rFonts w:ascii="Aptos" w:hAnsi="Aptos"/>
          <w:color w:val="17263C"/>
        </w:rPr>
        <w:t>aucun widget ne contourne les permissions; chargement progressif; export fidèle à la période affichée</w:t>
      </w:r>
    </w:p>
    <w:p>
      <w:pPr>
        <w:pStyle w:val="Heading2"/>
        <w:spacing w:before="160" w:after="60"/>
      </w:pPr>
      <w:r>
        <w:rPr>
          <w:rFonts w:ascii="Aptos" w:hAnsi="Aptos"/>
          <w:b/>
          <w:color w:val="17263C"/>
          <w:sz w:val="21"/>
        </w:rPr>
        <w:t>P02 — Indicateurs et scorecards</w:t>
      </w:r>
    </w:p>
    <w:p>
      <w:r>
        <w:rPr>
          <w:rFonts w:ascii="Aptos" w:hAnsi="Aptos"/>
          <w:color w:val="17263C"/>
        </w:rPr>
        <w:t>Définir, calculer et historiser des indicateurs compréhensibles et auditables.</w:t>
      </w:r>
    </w:p>
    <w:p>
      <w:r>
        <w:rPr>
          <w:rFonts w:ascii="Aptos" w:hAnsi="Aptos"/>
          <w:b/>
          <w:color w:val="17263C"/>
        </w:rPr>
        <w:t xml:space="preserve">Dépendances : </w:t>
      </w:r>
      <w:r>
        <w:rPr>
          <w:rFonts w:ascii="Aptos" w:hAnsi="Aptos"/>
          <w:color w:val="17263C"/>
        </w:rPr>
        <w:t>F01, F04, F10</w:t>
      </w:r>
    </w:p>
    <w:p>
      <w:r>
        <w:rPr>
          <w:rFonts w:ascii="Aptos" w:hAnsi="Aptos"/>
          <w:b/>
          <w:color w:val="17263C"/>
        </w:rPr>
        <w:t xml:space="preserve">Modèles : </w:t>
      </w:r>
      <w:r>
        <w:rPr>
          <w:rFonts w:ascii="Aptos" w:hAnsi="Aptos"/>
          <w:color w:val="17263C"/>
        </w:rPr>
        <w:t>IndicatorDefinition, IndicatorFormula, IndicatorValue, IndicatorTarget, Threshold, Scorecard, ScorecardLine</w:t>
      </w:r>
    </w:p>
    <w:p>
      <w:r>
        <w:rPr>
          <w:rFonts w:ascii="Aptos" w:hAnsi="Aptos"/>
          <w:b/>
          <w:color w:val="17263C"/>
        </w:rPr>
        <w:t xml:space="preserve">Interfaces : </w:t>
      </w:r>
      <w:r>
        <w:rPr>
          <w:rFonts w:ascii="Aptos" w:hAnsi="Aptos"/>
          <w:color w:val="17263C"/>
        </w:rPr>
        <w:t>catalogue de KPI; fiche formule; tendance; scorecard; alertes de seuil</w:t>
      </w:r>
    </w:p>
    <w:p>
      <w:r>
        <w:rPr>
          <w:rFonts w:ascii="Aptos" w:hAnsi="Aptos"/>
          <w:b/>
          <w:color w:val="17263C"/>
        </w:rPr>
        <w:t xml:space="preserve">Services et règles : </w:t>
      </w:r>
      <w:r>
        <w:rPr>
          <w:rFonts w:ascii="Aptos" w:hAnsi="Aptos"/>
          <w:color w:val="17263C"/>
        </w:rPr>
        <w:t>unité, source, fréquence et propriétaire obligatoires; formules versionnées; valeurs recalculables; distinction saisie/calcul/import</w:t>
      </w:r>
    </w:p>
    <w:p>
      <w:r>
        <w:rPr>
          <w:rFonts w:ascii="Aptos" w:hAnsi="Aptos"/>
          <w:b/>
          <w:color w:val="17263C"/>
        </w:rPr>
        <w:t xml:space="preserve">Critères d’acceptation : </w:t>
      </w:r>
      <w:r>
        <w:rPr>
          <w:rFonts w:ascii="Aptos" w:hAnsi="Aptos"/>
          <w:color w:val="17263C"/>
        </w:rPr>
        <w:t>même période et mêmes données donnent le même résultat; origine de chaque valeur consultable; formule invalide impossible à publier</w:t>
      </w:r>
    </w:p>
    <w:p>
      <w:pPr>
        <w:pStyle w:val="Heading2"/>
        <w:spacing w:before="160" w:after="60"/>
      </w:pPr>
      <w:r>
        <w:rPr>
          <w:rFonts w:ascii="Aptos" w:hAnsi="Aptos"/>
          <w:b/>
          <w:color w:val="17263C"/>
          <w:sz w:val="21"/>
        </w:rPr>
        <w:t>P03 — Objectifs et plans d’action</w:t>
      </w:r>
    </w:p>
    <w:p>
      <w:r>
        <w:rPr>
          <w:rFonts w:ascii="Aptos" w:hAnsi="Aptos"/>
          <w:color w:val="17263C"/>
        </w:rPr>
        <w:t>Relier les objectifs de l’organisation à des résultats mesurables et à des actions suivies.</w:t>
      </w:r>
    </w:p>
    <w:p>
      <w:r>
        <w:rPr>
          <w:rFonts w:ascii="Aptos" w:hAnsi="Aptos"/>
          <w:b/>
          <w:color w:val="17263C"/>
        </w:rPr>
        <w:t xml:space="preserve">Dépendances : </w:t>
      </w:r>
      <w:r>
        <w:rPr>
          <w:rFonts w:ascii="Aptos" w:hAnsi="Aptos"/>
          <w:color w:val="17263C"/>
        </w:rPr>
        <w:t>F01 à F05, P02</w:t>
      </w:r>
    </w:p>
    <w:p>
      <w:r>
        <w:rPr>
          <w:rFonts w:ascii="Aptos" w:hAnsi="Aptos"/>
          <w:b/>
          <w:color w:val="17263C"/>
        </w:rPr>
        <w:t xml:space="preserve">Modèles : </w:t>
      </w:r>
      <w:r>
        <w:rPr>
          <w:rFonts w:ascii="Aptos" w:hAnsi="Aptos"/>
          <w:color w:val="17263C"/>
        </w:rPr>
        <w:t>Objective, KeyResult, ActionPlan, ActionItem, ObjectiveReview, ProgressSnapshot</w:t>
      </w:r>
    </w:p>
    <w:p>
      <w:r>
        <w:rPr>
          <w:rFonts w:ascii="Aptos" w:hAnsi="Aptos"/>
          <w:b/>
          <w:color w:val="17263C"/>
        </w:rPr>
        <w:t xml:space="preserve">Interfaces : </w:t>
      </w:r>
      <w:r>
        <w:rPr>
          <w:rFonts w:ascii="Aptos" w:hAnsi="Aptos"/>
          <w:color w:val="17263C"/>
        </w:rPr>
        <w:t>arbre d’objectifs; revue périodique; plan d’action; suivi des écarts</w:t>
      </w:r>
    </w:p>
    <w:p>
      <w:r>
        <w:rPr>
          <w:rFonts w:ascii="Aptos" w:hAnsi="Aptos"/>
          <w:b/>
          <w:color w:val="17263C"/>
        </w:rPr>
        <w:t xml:space="preserve">Services et règles : </w:t>
      </w:r>
      <w:r>
        <w:rPr>
          <w:rFonts w:ascii="Aptos" w:hAnsi="Aptos"/>
          <w:color w:val="17263C"/>
        </w:rPr>
        <w:t>responsable et horizon obligatoires; progression calculée ou justifiée; gel des revues; actions correctives historisées</w:t>
      </w:r>
    </w:p>
    <w:p>
      <w:r>
        <w:rPr>
          <w:rFonts w:ascii="Aptos" w:hAnsi="Aptos"/>
          <w:b/>
          <w:color w:val="17263C"/>
        </w:rPr>
        <w:t xml:space="preserve">Critères d’acceptation : </w:t>
      </w:r>
      <w:r>
        <w:rPr>
          <w:rFonts w:ascii="Aptos" w:hAnsi="Aptos"/>
          <w:color w:val="17263C"/>
        </w:rPr>
        <w:t>objectif relié à au moins un indicateur ou résultat; retard détecté; historique des révisions intact</w:t>
      </w:r>
    </w:p>
    <w:p>
      <w:pPr>
        <w:pStyle w:val="Heading2"/>
        <w:spacing w:before="160" w:after="60"/>
      </w:pPr>
      <w:r>
        <w:rPr>
          <w:rFonts w:ascii="Aptos" w:hAnsi="Aptos"/>
          <w:b/>
          <w:color w:val="17263C"/>
          <w:sz w:val="21"/>
        </w:rPr>
        <w:t>P04 — Budgets et engagements</w:t>
      </w:r>
    </w:p>
    <w:p>
      <w:r>
        <w:rPr>
          <w:rFonts w:ascii="Aptos" w:hAnsi="Aptos"/>
          <w:color w:val="17263C"/>
        </w:rPr>
        <w:t>Préparer, valider et suivre des budgets par période, centre, projet ou activité.</w:t>
      </w:r>
    </w:p>
    <w:p>
      <w:r>
        <w:rPr>
          <w:rFonts w:ascii="Aptos" w:hAnsi="Aptos"/>
          <w:b/>
          <w:color w:val="17263C"/>
        </w:rPr>
        <w:t xml:space="preserve">Dépendances : </w:t>
      </w:r>
      <w:r>
        <w:rPr>
          <w:rFonts w:ascii="Aptos" w:hAnsi="Aptos"/>
          <w:color w:val="17263C"/>
        </w:rPr>
        <w:t>F01 à F05, F10, C10</w:t>
      </w:r>
    </w:p>
    <w:p>
      <w:r>
        <w:rPr>
          <w:rFonts w:ascii="Aptos" w:hAnsi="Aptos"/>
          <w:b/>
          <w:color w:val="17263C"/>
        </w:rPr>
        <w:t xml:space="preserve">Modèles : </w:t>
      </w:r>
      <w:r>
        <w:rPr>
          <w:rFonts w:ascii="Aptos" w:hAnsi="Aptos"/>
          <w:color w:val="17263C"/>
        </w:rPr>
        <w:t>Budget, BudgetVersion, BudgetLine, BudgetAllocation, BudgetCommitment, BudgetRevision, BudgetActual</w:t>
      </w:r>
    </w:p>
    <w:p>
      <w:r>
        <w:rPr>
          <w:rFonts w:ascii="Aptos" w:hAnsi="Aptos"/>
          <w:b/>
          <w:color w:val="17263C"/>
        </w:rPr>
        <w:t xml:space="preserve">Interfaces : </w:t>
      </w:r>
      <w:r>
        <w:rPr>
          <w:rFonts w:ascii="Aptos" w:hAnsi="Aptos"/>
          <w:color w:val="17263C"/>
        </w:rPr>
        <w:t>construction budgétaire; workflow d’arbitrage; engagé/réalisé/disponible; comparaison des versions</w:t>
      </w:r>
    </w:p>
    <w:p>
      <w:r>
        <w:rPr>
          <w:rFonts w:ascii="Aptos" w:hAnsi="Aptos"/>
          <w:b/>
          <w:color w:val="17263C"/>
        </w:rPr>
        <w:t xml:space="preserve">Services et règles : </w:t>
      </w:r>
      <w:r>
        <w:rPr>
          <w:rFonts w:ascii="Aptos" w:hAnsi="Aptos"/>
          <w:color w:val="17263C"/>
        </w:rPr>
        <w:t>une version approuvée est figée; révisions explicites; contrôle de dépassement configurable; axes compatibles avec l’analytique</w:t>
      </w:r>
    </w:p>
    <w:p>
      <w:r>
        <w:rPr>
          <w:rFonts w:ascii="Aptos" w:hAnsi="Aptos"/>
          <w:b/>
          <w:color w:val="17263C"/>
        </w:rPr>
        <w:t xml:space="preserve">Critères d’acceptation : </w:t>
      </w:r>
      <w:r>
        <w:rPr>
          <w:rFonts w:ascii="Aptos" w:hAnsi="Aptos"/>
          <w:color w:val="17263C"/>
        </w:rPr>
        <w:t>totaux cohérents; dépassements visibles avant validation; traçabilité des transferts d’enveloppe</w:t>
      </w:r>
    </w:p>
    <w:p>
      <w:pPr>
        <w:pStyle w:val="Heading2"/>
        <w:spacing w:before="160" w:after="60"/>
      </w:pPr>
      <w:r>
        <w:rPr>
          <w:rFonts w:ascii="Aptos" w:hAnsi="Aptos"/>
          <w:b/>
          <w:color w:val="17263C"/>
          <w:sz w:val="21"/>
        </w:rPr>
        <w:t>P05 — Prévisions et atterrissages</w:t>
      </w:r>
    </w:p>
    <w:p>
      <w:r>
        <w:rPr>
          <w:rFonts w:ascii="Aptos" w:hAnsi="Aptos"/>
          <w:color w:val="17263C"/>
        </w:rPr>
        <w:t>Projeter ventes, dépenses, marge et résultats à partir d’hypothèses documentées.</w:t>
      </w:r>
    </w:p>
    <w:p>
      <w:r>
        <w:rPr>
          <w:rFonts w:ascii="Aptos" w:hAnsi="Aptos"/>
          <w:b/>
          <w:color w:val="17263C"/>
        </w:rPr>
        <w:t xml:space="preserve">Dépendances : </w:t>
      </w:r>
      <w:r>
        <w:rPr>
          <w:rFonts w:ascii="Aptos" w:hAnsi="Aptos"/>
          <w:color w:val="17263C"/>
        </w:rPr>
        <w:t>P02, P04, domaines sources</w:t>
      </w:r>
    </w:p>
    <w:p>
      <w:r>
        <w:rPr>
          <w:rFonts w:ascii="Aptos" w:hAnsi="Aptos"/>
          <w:b/>
          <w:color w:val="17263C"/>
        </w:rPr>
        <w:t xml:space="preserve">Modèles : </w:t>
      </w:r>
      <w:r>
        <w:rPr>
          <w:rFonts w:ascii="Aptos" w:hAnsi="Aptos"/>
          <w:color w:val="17263C"/>
        </w:rPr>
        <w:t>Forecast, ForecastVersion, ForecastLine, ForecastAssumption, ForecastPeriod, ForecastResult</w:t>
      </w:r>
    </w:p>
    <w:p>
      <w:r>
        <w:rPr>
          <w:rFonts w:ascii="Aptos" w:hAnsi="Aptos"/>
          <w:b/>
          <w:color w:val="17263C"/>
        </w:rPr>
        <w:t xml:space="preserve">Interfaces : </w:t>
      </w:r>
      <w:r>
        <w:rPr>
          <w:rFonts w:ascii="Aptos" w:hAnsi="Aptos"/>
          <w:color w:val="17263C"/>
        </w:rPr>
        <w:t>prévision glissante; hypothèses; prévu/réalisé; atterrissage annuel</w:t>
      </w:r>
    </w:p>
    <w:p>
      <w:r>
        <w:rPr>
          <w:rFonts w:ascii="Aptos" w:hAnsi="Aptos"/>
          <w:b/>
          <w:color w:val="17263C"/>
        </w:rPr>
        <w:t xml:space="preserve">Services et règles : </w:t>
      </w:r>
      <w:r>
        <w:rPr>
          <w:rFonts w:ascii="Aptos" w:hAnsi="Aptos"/>
          <w:color w:val="17263C"/>
        </w:rPr>
        <w:t>versions datées; hypothèses visibles; recalcul déterministe; aucune écriture dans les données sources</w:t>
      </w:r>
    </w:p>
    <w:p>
      <w:r>
        <w:rPr>
          <w:rFonts w:ascii="Aptos" w:hAnsi="Aptos"/>
          <w:b/>
          <w:color w:val="17263C"/>
        </w:rPr>
        <w:t xml:space="preserve">Critères d’acceptation : </w:t>
      </w:r>
      <w:r>
        <w:rPr>
          <w:rFonts w:ascii="Aptos" w:hAnsi="Aptos"/>
          <w:color w:val="17263C"/>
        </w:rPr>
        <w:t>écart expliqué par ligne; reproduction d’une version passée; export des hypothèses avec le résultat</w:t>
      </w:r>
    </w:p>
    <w:p>
      <w:pPr>
        <w:pStyle w:val="Heading2"/>
        <w:spacing w:before="160" w:after="60"/>
      </w:pPr>
      <w:r>
        <w:rPr>
          <w:rFonts w:ascii="Aptos" w:hAnsi="Aptos"/>
          <w:b/>
          <w:color w:val="17263C"/>
          <w:sz w:val="21"/>
        </w:rPr>
        <w:t>P06 — Scénarios et simulations</w:t>
      </w:r>
    </w:p>
    <w:p>
      <w:r>
        <w:rPr>
          <w:rFonts w:ascii="Aptos" w:hAnsi="Aptos"/>
          <w:color w:val="17263C"/>
        </w:rPr>
        <w:t>Comparer des décisions sans altérer les données opérationnelles ou comptables.</w:t>
      </w:r>
    </w:p>
    <w:p>
      <w:r>
        <w:rPr>
          <w:rFonts w:ascii="Aptos" w:hAnsi="Aptos"/>
          <w:b/>
          <w:color w:val="17263C"/>
        </w:rPr>
        <w:t xml:space="preserve">Dépendances : </w:t>
      </w:r>
      <w:r>
        <w:rPr>
          <w:rFonts w:ascii="Aptos" w:hAnsi="Aptos"/>
          <w:color w:val="17263C"/>
        </w:rPr>
        <w:t>P02, P04, P05</w:t>
      </w:r>
    </w:p>
    <w:p>
      <w:r>
        <w:rPr>
          <w:rFonts w:ascii="Aptos" w:hAnsi="Aptos"/>
          <w:b/>
          <w:color w:val="17263C"/>
        </w:rPr>
        <w:t xml:space="preserve">Modèles : </w:t>
      </w:r>
      <w:r>
        <w:rPr>
          <w:rFonts w:ascii="Aptos" w:hAnsi="Aptos"/>
          <w:color w:val="17263C"/>
        </w:rPr>
        <w:t>Scenario, ScenarioVariable, ScenarioAssumption, ScenarioRun, ScenarioResult, ScenarioComparison</w:t>
      </w:r>
    </w:p>
    <w:p>
      <w:r>
        <w:rPr>
          <w:rFonts w:ascii="Aptos" w:hAnsi="Aptos"/>
          <w:b/>
          <w:color w:val="17263C"/>
        </w:rPr>
        <w:t xml:space="preserve">Interfaces : </w:t>
      </w:r>
      <w:r>
        <w:rPr>
          <w:rFonts w:ascii="Aptos" w:hAnsi="Aptos"/>
          <w:color w:val="17263C"/>
        </w:rPr>
        <w:t>éditeur d’hypothèses; comparateur prudent/central/optimiste; graphiques; rapport de décision</w:t>
      </w:r>
    </w:p>
    <w:p>
      <w:r>
        <w:rPr>
          <w:rFonts w:ascii="Aptos" w:hAnsi="Aptos"/>
          <w:b/>
          <w:color w:val="17263C"/>
        </w:rPr>
        <w:t xml:space="preserve">Services et règles : </w:t>
      </w:r>
      <w:r>
        <w:rPr>
          <w:rFonts w:ascii="Aptos" w:hAnsi="Aptos"/>
          <w:color w:val="17263C"/>
        </w:rPr>
        <w:t>unités et bornes; moteurs de calcul versionnés; scénarios clonables; résultats non comptabilisés</w:t>
      </w:r>
    </w:p>
    <w:p>
      <w:r>
        <w:rPr>
          <w:rFonts w:ascii="Aptos" w:hAnsi="Aptos"/>
          <w:b/>
          <w:color w:val="17263C"/>
        </w:rPr>
        <w:t xml:space="preserve">Critères d’acceptation : </w:t>
      </w:r>
      <w:r>
        <w:rPr>
          <w:rFonts w:ascii="Aptos" w:hAnsi="Aptos"/>
          <w:color w:val="17263C"/>
        </w:rPr>
        <w:t>aucun effet de bord; hypothèses incluses dans l’export; tests de sensibilité disponibles</w:t>
      </w:r>
    </w:p>
    <w:p>
      <w:pPr>
        <w:pStyle w:val="Heading2"/>
        <w:spacing w:before="160" w:after="60"/>
      </w:pPr>
      <w:r>
        <w:rPr>
          <w:rFonts w:ascii="Aptos" w:hAnsi="Aptos"/>
          <w:b/>
          <w:color w:val="17263C"/>
          <w:sz w:val="21"/>
        </w:rPr>
        <w:t>P07 — Trésorerie prévisionnelle</w:t>
      </w:r>
    </w:p>
    <w:p>
      <w:r>
        <w:rPr>
          <w:rFonts w:ascii="Aptos" w:hAnsi="Aptos"/>
          <w:color w:val="17263C"/>
        </w:rPr>
        <w:t>Projeter les encaissements, décaissements et tensions de trésorerie à court et moyen terme.</w:t>
      </w:r>
    </w:p>
    <w:p>
      <w:r>
        <w:rPr>
          <w:rFonts w:ascii="Aptos" w:hAnsi="Aptos"/>
          <w:b/>
          <w:color w:val="17263C"/>
        </w:rPr>
        <w:t xml:space="preserve">Dépendances : </w:t>
      </w:r>
      <w:r>
        <w:rPr>
          <w:rFonts w:ascii="Aptos" w:hAnsi="Aptos"/>
          <w:color w:val="17263C"/>
        </w:rPr>
        <w:t>C02, C03, C04, C05, C06, P05</w:t>
      </w:r>
    </w:p>
    <w:p>
      <w:r>
        <w:rPr>
          <w:rFonts w:ascii="Aptos" w:hAnsi="Aptos"/>
          <w:b/>
          <w:color w:val="17263C"/>
        </w:rPr>
        <w:t xml:space="preserve">Modèles : </w:t>
      </w:r>
      <w:r>
        <w:rPr>
          <w:rFonts w:ascii="Aptos" w:hAnsi="Aptos"/>
          <w:color w:val="17263C"/>
        </w:rPr>
        <w:t>CashForecast, CashForecastLine, RecurringCashItem, CashScenario, CashAlert, ForecastMatch</w:t>
      </w:r>
    </w:p>
    <w:p>
      <w:r>
        <w:rPr>
          <w:rFonts w:ascii="Aptos" w:hAnsi="Aptos"/>
          <w:b/>
          <w:color w:val="17263C"/>
        </w:rPr>
        <w:t xml:space="preserve">Interfaces : </w:t>
      </w:r>
      <w:r>
        <w:rPr>
          <w:rFonts w:ascii="Aptos" w:hAnsi="Aptos"/>
          <w:color w:val="17263C"/>
        </w:rPr>
        <w:t>courbe de solde; échéancier; flux attendus; simulation des retards; alertes</w:t>
      </w:r>
    </w:p>
    <w:p>
      <w:r>
        <w:rPr>
          <w:rFonts w:ascii="Aptos" w:hAnsi="Aptos"/>
          <w:b/>
          <w:color w:val="17263C"/>
        </w:rPr>
        <w:t xml:space="preserve">Services et règles : </w:t>
      </w:r>
      <w:r>
        <w:rPr>
          <w:rFonts w:ascii="Aptos" w:hAnsi="Aptos"/>
          <w:color w:val="17263C"/>
        </w:rPr>
        <w:t>distinction certain/probable/simulé; pas de double comptage; mise à jour depuis les échéances; solde initial sourcé</w:t>
      </w:r>
    </w:p>
    <w:p>
      <w:r>
        <w:rPr>
          <w:rFonts w:ascii="Aptos" w:hAnsi="Aptos"/>
          <w:b/>
          <w:color w:val="17263C"/>
        </w:rPr>
        <w:t xml:space="preserve">Critères d’acceptation : </w:t>
      </w:r>
      <w:r>
        <w:rPr>
          <w:rFonts w:ascii="Aptos" w:hAnsi="Aptos"/>
          <w:color w:val="17263C"/>
        </w:rPr>
        <w:t>traçabilité de chaque flux; solde recalculé après rapprochement; alerte paramétrable avant seuil</w:t>
      </w:r>
    </w:p>
    <w:p>
      <w:pPr>
        <w:pStyle w:val="Heading2"/>
        <w:spacing w:before="160" w:after="60"/>
      </w:pPr>
      <w:r>
        <w:rPr>
          <w:rFonts w:ascii="Aptos" w:hAnsi="Aptos"/>
          <w:b/>
          <w:color w:val="17263C"/>
          <w:sz w:val="21"/>
        </w:rPr>
        <w:t>P08 — Rentabilité et marges</w:t>
      </w:r>
    </w:p>
    <w:p>
      <w:r>
        <w:rPr>
          <w:rFonts w:ascii="Aptos" w:hAnsi="Aptos"/>
          <w:color w:val="17263C"/>
        </w:rPr>
        <w:t>Mesurer les contributions économiques par client, offre, projet, activité ou établissement.</w:t>
      </w:r>
    </w:p>
    <w:p>
      <w:r>
        <w:rPr>
          <w:rFonts w:ascii="Aptos" w:hAnsi="Aptos"/>
          <w:b/>
          <w:color w:val="17263C"/>
        </w:rPr>
        <w:t xml:space="preserve">Dépendances : </w:t>
      </w:r>
      <w:r>
        <w:rPr>
          <w:rFonts w:ascii="Aptos" w:hAnsi="Aptos"/>
          <w:color w:val="17263C"/>
        </w:rPr>
        <w:t>C10, G03, G08, G11, P02</w:t>
      </w:r>
    </w:p>
    <w:p>
      <w:r>
        <w:rPr>
          <w:rFonts w:ascii="Aptos" w:hAnsi="Aptos"/>
          <w:b/>
          <w:color w:val="17263C"/>
        </w:rPr>
        <w:t xml:space="preserve">Modèles : </w:t>
      </w:r>
      <w:r>
        <w:rPr>
          <w:rFonts w:ascii="Aptos" w:hAnsi="Aptos"/>
          <w:color w:val="17263C"/>
        </w:rPr>
        <w:t>ProfitabilityDefinition, RevenueAllocation, CostAllocation, MarginSnapshot, ContributionAnalysis</w:t>
      </w:r>
    </w:p>
    <w:p>
      <w:r>
        <w:rPr>
          <w:rFonts w:ascii="Aptos" w:hAnsi="Aptos"/>
          <w:b/>
          <w:color w:val="17263C"/>
        </w:rPr>
        <w:t xml:space="preserve">Interfaces : </w:t>
      </w:r>
      <w:r>
        <w:rPr>
          <w:rFonts w:ascii="Aptos" w:hAnsi="Aptos"/>
          <w:color w:val="17263C"/>
        </w:rPr>
        <w:t>marge par axe; pont de marge; classement; détail des allocations</w:t>
      </w:r>
    </w:p>
    <w:p>
      <w:r>
        <w:rPr>
          <w:rFonts w:ascii="Aptos" w:hAnsi="Aptos"/>
          <w:b/>
          <w:color w:val="17263C"/>
        </w:rPr>
        <w:t xml:space="preserve">Services et règles : </w:t>
      </w:r>
      <w:r>
        <w:rPr>
          <w:rFonts w:ascii="Aptos" w:hAnsi="Aptos"/>
          <w:color w:val="17263C"/>
        </w:rPr>
        <w:t>règles d’allocation versionnées; séparer coûts directs et répartis; indiquer données incomplètes; snapshots par période</w:t>
      </w:r>
    </w:p>
    <w:p>
      <w:r>
        <w:rPr>
          <w:rFonts w:ascii="Aptos" w:hAnsi="Aptos"/>
          <w:b/>
          <w:color w:val="17263C"/>
        </w:rPr>
        <w:t xml:space="preserve">Critères d’acceptation : </w:t>
      </w:r>
      <w:r>
        <w:rPr>
          <w:rFonts w:ascii="Aptos" w:hAnsi="Aptos"/>
          <w:color w:val="17263C"/>
        </w:rPr>
        <w:t>total des allocations rapproché à la source; méthode visible; analyse reproductible</w:t>
      </w:r>
    </w:p>
    <w:p>
      <w:pPr>
        <w:pStyle w:val="Heading2"/>
        <w:spacing w:before="160" w:after="60"/>
      </w:pPr>
      <w:r>
        <w:rPr>
          <w:rFonts w:ascii="Aptos" w:hAnsi="Aptos"/>
          <w:b/>
          <w:color w:val="17263C"/>
          <w:sz w:val="21"/>
        </w:rPr>
        <w:t>P09 — Pilotage commercial</w:t>
      </w:r>
    </w:p>
    <w:p>
      <w:r>
        <w:rPr>
          <w:rFonts w:ascii="Aptos" w:hAnsi="Aptos"/>
          <w:color w:val="17263C"/>
        </w:rPr>
        <w:t>Suivre la dynamique commerciale de la prospection jusqu’au revenu réalisé.</w:t>
      </w:r>
    </w:p>
    <w:p>
      <w:r>
        <w:rPr>
          <w:rFonts w:ascii="Aptos" w:hAnsi="Aptos"/>
          <w:b/>
          <w:color w:val="17263C"/>
        </w:rPr>
        <w:t xml:space="preserve">Dépendances : </w:t>
      </w:r>
      <w:r>
        <w:rPr>
          <w:rFonts w:ascii="Aptos" w:hAnsi="Aptos"/>
          <w:color w:val="17263C"/>
        </w:rPr>
        <w:t>G02, G04, G05, C01, P02</w:t>
      </w:r>
    </w:p>
    <w:p>
      <w:r>
        <w:rPr>
          <w:rFonts w:ascii="Aptos" w:hAnsi="Aptos"/>
          <w:b/>
          <w:color w:val="17263C"/>
        </w:rPr>
        <w:t xml:space="preserve">Modèles : </w:t>
      </w:r>
      <w:r>
        <w:rPr>
          <w:rFonts w:ascii="Aptos" w:hAnsi="Aptos"/>
          <w:color w:val="17263C"/>
        </w:rPr>
        <w:t>SalesTarget, PipelineSnapshot, ConversionMetric, SalesForecast, CustomerConcentration, LossAnalysis</w:t>
      </w:r>
    </w:p>
    <w:p>
      <w:r>
        <w:rPr>
          <w:rFonts w:ascii="Aptos" w:hAnsi="Aptos"/>
          <w:b/>
          <w:color w:val="17263C"/>
        </w:rPr>
        <w:t xml:space="preserve">Interfaces : </w:t>
      </w:r>
      <w:r>
        <w:rPr>
          <w:rFonts w:ascii="Aptos" w:hAnsi="Aptos"/>
          <w:color w:val="17263C"/>
        </w:rPr>
        <w:t>entonnoir; prévision pondérée; objectifs; motifs de perte; concentration client</w:t>
      </w:r>
    </w:p>
    <w:p>
      <w:r>
        <w:rPr>
          <w:rFonts w:ascii="Aptos" w:hAnsi="Aptos"/>
          <w:b/>
          <w:color w:val="17263C"/>
        </w:rPr>
        <w:t xml:space="preserve">Services et règles : </w:t>
      </w:r>
      <w:r>
        <w:rPr>
          <w:rFonts w:ascii="Aptos" w:hAnsi="Aptos"/>
          <w:color w:val="17263C"/>
        </w:rPr>
        <w:t>définition stable des étapes; snapshot périodique; probabilités explicites; exclusion des doublons</w:t>
      </w:r>
    </w:p>
    <w:p>
      <w:r>
        <w:rPr>
          <w:rFonts w:ascii="Aptos" w:hAnsi="Aptos"/>
          <w:b/>
          <w:color w:val="17263C"/>
        </w:rPr>
        <w:t xml:space="preserve">Critères d’acceptation : </w:t>
      </w:r>
      <w:r>
        <w:rPr>
          <w:rFonts w:ascii="Aptos" w:hAnsi="Aptos"/>
          <w:color w:val="17263C"/>
        </w:rPr>
        <w:t>réconciliation opportunités/devis/commandes/factures; historique malgré changement de pipeline; filtres par équipe et période</w:t>
      </w:r>
    </w:p>
    <w:p>
      <w:pPr>
        <w:pStyle w:val="Heading2"/>
        <w:spacing w:before="160" w:after="60"/>
      </w:pPr>
      <w:r>
        <w:rPr>
          <w:rFonts w:ascii="Aptos" w:hAnsi="Aptos"/>
          <w:b/>
          <w:color w:val="17263C"/>
          <w:sz w:val="21"/>
        </w:rPr>
        <w:t>P10 — Capacité et charge</w:t>
      </w:r>
    </w:p>
    <w:p>
      <w:r>
        <w:rPr>
          <w:rFonts w:ascii="Aptos" w:hAnsi="Aptos"/>
          <w:color w:val="17263C"/>
        </w:rPr>
        <w:t>Comparer les ressources disponibles à la charge planifiée et prévisionnelle.</w:t>
      </w:r>
    </w:p>
    <w:p>
      <w:r>
        <w:rPr>
          <w:rFonts w:ascii="Aptos" w:hAnsi="Aptos"/>
          <w:b/>
          <w:color w:val="17263C"/>
        </w:rPr>
        <w:t xml:space="preserve">Dépendances : </w:t>
      </w:r>
      <w:r>
        <w:rPr>
          <w:rFonts w:ascii="Aptos" w:hAnsi="Aptos"/>
          <w:color w:val="17263C"/>
        </w:rPr>
        <w:t>G08 à G11, G15, P02</w:t>
      </w:r>
    </w:p>
    <w:p>
      <w:r>
        <w:rPr>
          <w:rFonts w:ascii="Aptos" w:hAnsi="Aptos"/>
          <w:b/>
          <w:color w:val="17263C"/>
        </w:rPr>
        <w:t xml:space="preserve">Modèles : </w:t>
      </w:r>
      <w:r>
        <w:rPr>
          <w:rFonts w:ascii="Aptos" w:hAnsi="Aptos"/>
          <w:color w:val="17263C"/>
        </w:rPr>
        <w:t>CapacityPlan, CapacityResource, Availability, Workload, UtilizationSnapshot, CapacityAlert</w:t>
      </w:r>
    </w:p>
    <w:p>
      <w:r>
        <w:rPr>
          <w:rFonts w:ascii="Aptos" w:hAnsi="Aptos"/>
          <w:b/>
          <w:color w:val="17263C"/>
        </w:rPr>
        <w:t xml:space="preserve">Interfaces : </w:t>
      </w:r>
      <w:r>
        <w:rPr>
          <w:rFonts w:ascii="Aptos" w:hAnsi="Aptos"/>
          <w:color w:val="17263C"/>
        </w:rPr>
        <w:t>plan de charge; heatmap; disponibilité; projection; surcharge/sous-charge</w:t>
      </w:r>
    </w:p>
    <w:p>
      <w:r>
        <w:rPr>
          <w:rFonts w:ascii="Aptos" w:hAnsi="Aptos"/>
          <w:b/>
          <w:color w:val="17263C"/>
        </w:rPr>
        <w:t xml:space="preserve">Services et règles : </w:t>
      </w:r>
      <w:r>
        <w:rPr>
          <w:rFonts w:ascii="Aptos" w:hAnsi="Aptos"/>
          <w:color w:val="17263C"/>
        </w:rPr>
        <w:t>calendriers et absences pris en compte; compétences facultatives; capacité distincte du temps facturable; confidentialité RH</w:t>
      </w:r>
    </w:p>
    <w:p>
      <w:r>
        <w:rPr>
          <w:rFonts w:ascii="Aptos" w:hAnsi="Aptos"/>
          <w:b/>
          <w:color w:val="17263C"/>
        </w:rPr>
        <w:t xml:space="preserve">Critères d’acceptation : </w:t>
      </w:r>
      <w:r>
        <w:rPr>
          <w:rFonts w:ascii="Aptos" w:hAnsi="Aptos"/>
          <w:color w:val="17263C"/>
        </w:rPr>
        <w:t>charge sans double affectation; conflits visibles; projection par semaine et par mois</w:t>
      </w:r>
    </w:p>
    <w:p>
      <w:pPr>
        <w:pStyle w:val="Heading2"/>
        <w:spacing w:before="160" w:after="60"/>
      </w:pPr>
      <w:r>
        <w:rPr>
          <w:rFonts w:ascii="Aptos" w:hAnsi="Aptos"/>
          <w:b/>
          <w:color w:val="17263C"/>
          <w:sz w:val="21"/>
        </w:rPr>
        <w:t>P11 — Risques et contrôles</w:t>
      </w:r>
    </w:p>
    <w:p>
      <w:r>
        <w:rPr>
          <w:rFonts w:ascii="Aptos" w:hAnsi="Aptos"/>
          <w:color w:val="17263C"/>
        </w:rPr>
        <w:t>Tenir un registre de risques, piloter les traitements et vérifier les contrôles associés.</w:t>
      </w:r>
    </w:p>
    <w:p>
      <w:r>
        <w:rPr>
          <w:rFonts w:ascii="Aptos" w:hAnsi="Aptos"/>
          <w:b/>
          <w:color w:val="17263C"/>
        </w:rPr>
        <w:t xml:space="preserve">Dépendances : </w:t>
      </w:r>
      <w:r>
        <w:rPr>
          <w:rFonts w:ascii="Aptos" w:hAnsi="Aptos"/>
          <w:color w:val="17263C"/>
        </w:rPr>
        <w:t>F01 à F07, P02</w:t>
      </w:r>
    </w:p>
    <w:p>
      <w:r>
        <w:rPr>
          <w:rFonts w:ascii="Aptos" w:hAnsi="Aptos"/>
          <w:b/>
          <w:color w:val="17263C"/>
        </w:rPr>
        <w:t xml:space="preserve">Modèles : </w:t>
      </w:r>
      <w:r>
        <w:rPr>
          <w:rFonts w:ascii="Aptos" w:hAnsi="Aptos"/>
          <w:color w:val="17263C"/>
        </w:rPr>
        <w:t>Risk, RiskCategory, RiskAssessment, RiskTreatment, Control, ControlExecution, Incident</w:t>
      </w:r>
    </w:p>
    <w:p>
      <w:r>
        <w:rPr>
          <w:rFonts w:ascii="Aptos" w:hAnsi="Aptos"/>
          <w:b/>
          <w:color w:val="17263C"/>
        </w:rPr>
        <w:t xml:space="preserve">Interfaces : </w:t>
      </w:r>
      <w:r>
        <w:rPr>
          <w:rFonts w:ascii="Aptos" w:hAnsi="Aptos"/>
          <w:color w:val="17263C"/>
        </w:rPr>
        <w:t>registre; matrice impact/probabilité; plan de traitement; campagne de contrôles</w:t>
      </w:r>
    </w:p>
    <w:p>
      <w:r>
        <w:rPr>
          <w:rFonts w:ascii="Aptos" w:hAnsi="Aptos"/>
          <w:b/>
          <w:color w:val="17263C"/>
        </w:rPr>
        <w:t xml:space="preserve">Services et règles : </w:t>
      </w:r>
      <w:r>
        <w:rPr>
          <w:rFonts w:ascii="Aptos" w:hAnsi="Aptos"/>
          <w:color w:val="17263C"/>
        </w:rPr>
        <w:t>évaluation datée; risque brut et résiduel; propriétaire; preuve de contrôle; escalade des risques critiques</w:t>
      </w:r>
    </w:p>
    <w:p>
      <w:r>
        <w:rPr>
          <w:rFonts w:ascii="Aptos" w:hAnsi="Aptos"/>
          <w:b/>
          <w:color w:val="17263C"/>
        </w:rPr>
        <w:t xml:space="preserve">Critères d’acceptation : </w:t>
      </w:r>
      <w:r>
        <w:rPr>
          <w:rFonts w:ascii="Aptos" w:hAnsi="Aptos"/>
          <w:color w:val="17263C"/>
        </w:rPr>
        <w:t>historique des cotations; contrôle en retard signalé; incident relié au risque et au plan</w:t>
      </w:r>
    </w:p>
    <w:p>
      <w:pPr>
        <w:pStyle w:val="Heading2"/>
        <w:spacing w:before="160" w:after="60"/>
      </w:pPr>
      <w:r>
        <w:rPr>
          <w:rFonts w:ascii="Aptos" w:hAnsi="Aptos"/>
          <w:b/>
          <w:color w:val="17263C"/>
          <w:sz w:val="21"/>
        </w:rPr>
        <w:t>P12 — Qualité et non-conformités</w:t>
      </w:r>
    </w:p>
    <w:p>
      <w:r>
        <w:rPr>
          <w:rFonts w:ascii="Aptos" w:hAnsi="Aptos"/>
          <w:color w:val="17263C"/>
        </w:rPr>
        <w:t>Tracer les contrôles qualité, réclamations, défauts et actions correctives.</w:t>
      </w:r>
    </w:p>
    <w:p>
      <w:r>
        <w:rPr>
          <w:rFonts w:ascii="Aptos" w:hAnsi="Aptos"/>
          <w:b/>
          <w:color w:val="17263C"/>
        </w:rPr>
        <w:t xml:space="preserve">Dépendances : </w:t>
      </w:r>
      <w:r>
        <w:rPr>
          <w:rFonts w:ascii="Aptos" w:hAnsi="Aptos"/>
          <w:color w:val="17263C"/>
        </w:rPr>
        <w:t>F05 à F07, G08, G09, G13, P02</w:t>
      </w:r>
    </w:p>
    <w:p>
      <w:r>
        <w:rPr>
          <w:rFonts w:ascii="Aptos" w:hAnsi="Aptos"/>
          <w:b/>
          <w:color w:val="17263C"/>
        </w:rPr>
        <w:t xml:space="preserve">Modèles : </w:t>
      </w:r>
      <w:r>
        <w:rPr>
          <w:rFonts w:ascii="Aptos" w:hAnsi="Aptos"/>
          <w:color w:val="17263C"/>
        </w:rPr>
        <w:t>QualityControl, NonConformity, RootCause, CorrectiveAction, PreventiveAction, CustomerComplaint, QualityReview</w:t>
      </w:r>
    </w:p>
    <w:p>
      <w:r>
        <w:rPr>
          <w:rFonts w:ascii="Aptos" w:hAnsi="Aptos"/>
          <w:b/>
          <w:color w:val="17263C"/>
        </w:rPr>
        <w:t xml:space="preserve">Interfaces : </w:t>
      </w:r>
      <w:r>
        <w:rPr>
          <w:rFonts w:ascii="Aptos" w:hAnsi="Aptos"/>
          <w:color w:val="17263C"/>
        </w:rPr>
        <w:t>fiche non-conformité; analyse de cause; CAPA; indicateurs qualité</w:t>
      </w:r>
    </w:p>
    <w:p>
      <w:r>
        <w:rPr>
          <w:rFonts w:ascii="Aptos" w:hAnsi="Aptos"/>
          <w:b/>
          <w:color w:val="17263C"/>
        </w:rPr>
        <w:t xml:space="preserve">Services et règles : </w:t>
      </w:r>
      <w:r>
        <w:rPr>
          <w:rFonts w:ascii="Aptos" w:hAnsi="Aptos"/>
          <w:color w:val="17263C"/>
        </w:rPr>
        <w:t>gravité et cause obligatoires selon seuil; preuve de clôture; réouverture possible et tracée; coût de non-qualité</w:t>
      </w:r>
    </w:p>
    <w:p>
      <w:r>
        <w:rPr>
          <w:rFonts w:ascii="Aptos" w:hAnsi="Aptos"/>
          <w:b/>
          <w:color w:val="17263C"/>
        </w:rPr>
        <w:t xml:space="preserve">Critères d’acceptation : </w:t>
      </w:r>
      <w:r>
        <w:rPr>
          <w:rFonts w:ascii="Aptos" w:hAnsi="Aptos"/>
          <w:color w:val="17263C"/>
        </w:rPr>
        <w:t>action échue alertée; clôture impossible sans preuve requise; mesure du délai de résolution</w:t>
      </w:r>
    </w:p>
    <w:p>
      <w:pPr>
        <w:pStyle w:val="Heading2"/>
        <w:spacing w:before="160" w:after="60"/>
      </w:pPr>
      <w:r>
        <w:rPr>
          <w:rFonts w:ascii="Aptos" w:hAnsi="Aptos"/>
          <w:b/>
          <w:color w:val="17263C"/>
          <w:sz w:val="21"/>
        </w:rPr>
        <w:t>P13 — Rapports et diffusion</w:t>
      </w:r>
    </w:p>
    <w:p>
      <w:r>
        <w:rPr>
          <w:rFonts w:ascii="Aptos" w:hAnsi="Aptos"/>
          <w:color w:val="17263C"/>
        </w:rPr>
        <w:t>Construire, planifier et diffuser des rapports autorisés à partir de jeux de données publiés.</w:t>
      </w:r>
    </w:p>
    <w:p>
      <w:r>
        <w:rPr>
          <w:rFonts w:ascii="Aptos" w:hAnsi="Aptos"/>
          <w:b/>
          <w:color w:val="17263C"/>
        </w:rPr>
        <w:t xml:space="preserve">Dépendances : </w:t>
      </w:r>
      <w:r>
        <w:rPr>
          <w:rFonts w:ascii="Aptos" w:hAnsi="Aptos"/>
          <w:color w:val="17263C"/>
        </w:rPr>
        <w:t>F03, F04, F07, F11, F12, P02</w:t>
      </w:r>
    </w:p>
    <w:p>
      <w:r>
        <w:rPr>
          <w:rFonts w:ascii="Aptos" w:hAnsi="Aptos"/>
          <w:b/>
          <w:color w:val="17263C"/>
        </w:rPr>
        <w:t xml:space="preserve">Modèles : </w:t>
      </w:r>
      <w:r>
        <w:rPr>
          <w:rFonts w:ascii="Aptos" w:hAnsi="Aptos"/>
          <w:color w:val="17263C"/>
        </w:rPr>
        <w:t>DatasetDefinition, Report, ReportSection, ReportFilter, ReportSchedule, ReportRecipient, ReportRun</w:t>
      </w:r>
    </w:p>
    <w:p>
      <w:r>
        <w:rPr>
          <w:rFonts w:ascii="Aptos" w:hAnsi="Aptos"/>
          <w:b/>
          <w:color w:val="17263C"/>
        </w:rPr>
        <w:t xml:space="preserve">Interfaces : </w:t>
      </w:r>
      <w:r>
        <w:rPr>
          <w:rFonts w:ascii="Aptos" w:hAnsi="Aptos"/>
          <w:color w:val="17263C"/>
        </w:rPr>
        <w:t>constructeur de rapport; aperçu; planification; bibliothèque; exports PDF/CSV/XLSX</w:t>
      </w:r>
    </w:p>
    <w:p>
      <w:r>
        <w:rPr>
          <w:rFonts w:ascii="Aptos" w:hAnsi="Aptos"/>
          <w:b/>
          <w:color w:val="17263C"/>
        </w:rPr>
        <w:t xml:space="preserve">Services et règles : </w:t>
      </w:r>
      <w:r>
        <w:rPr>
          <w:rFonts w:ascii="Aptos" w:hAnsi="Aptos"/>
          <w:color w:val="17263C"/>
        </w:rPr>
        <w:t>datasets en lecture seule; permissions héritées; limites de volume; horodatage et paramètres inclus; diffusion chiffrée si sensible</w:t>
      </w:r>
    </w:p>
    <w:p>
      <w:r>
        <w:rPr>
          <w:rFonts w:ascii="Aptos" w:hAnsi="Aptos"/>
          <w:b/>
          <w:color w:val="17263C"/>
        </w:rPr>
        <w:t xml:space="preserve">Critères d’acceptation : </w:t>
      </w:r>
      <w:r>
        <w:rPr>
          <w:rFonts w:ascii="Aptos" w:hAnsi="Aptos"/>
          <w:color w:val="17263C"/>
        </w:rPr>
        <w:t>rapport reproductible; destinataire non autorisé bloqué; échec de génération visible et relançable</w:t>
      </w:r>
    </w:p>
    <w:p>
      <w:pPr>
        <w:pStyle w:val="Heading1"/>
      </w:pPr>
      <w:r>
        <w:t>7. Catalogue des briques de gestion</w:t>
      </w:r>
    </w:p>
    <w:p>
      <w:r>
        <w:rPr>
          <w:rFonts w:ascii="Aptos" w:hAnsi="Aptos"/>
          <w:color w:val="17263C"/>
        </w:rPr>
        <w:t>Les briques de gestion couvrent le fonctionnement courant. Elles doivent rester génériques dans leur noyau et permettre des extensions propres au métier du client.</w:t>
      </w:r>
    </w:p>
    <w:p>
      <w:pPr>
        <w:pStyle w:val="Heading2"/>
        <w:spacing w:before="160" w:after="60"/>
      </w:pPr>
      <w:r>
        <w:rPr>
          <w:rFonts w:ascii="Aptos" w:hAnsi="Aptos"/>
          <w:b/>
          <w:color w:val="17263C"/>
          <w:sz w:val="21"/>
        </w:rPr>
        <w:t>G01 — Tiers, personnes et organisations</w:t>
      </w:r>
    </w:p>
    <w:p>
      <w:r>
        <w:rPr>
          <w:rFonts w:ascii="Aptos" w:hAnsi="Aptos"/>
          <w:color w:val="17263C"/>
        </w:rPr>
        <w:t>Fournir un registre commun des personnes et organisations pouvant être clientes, fournisseurs, partenaires ou contacts.</w:t>
      </w:r>
    </w:p>
    <w:p>
      <w:r>
        <w:rPr>
          <w:rFonts w:ascii="Aptos" w:hAnsi="Aptos"/>
          <w:b/>
          <w:color w:val="17263C"/>
        </w:rPr>
        <w:t xml:space="preserve">Dépendances : </w:t>
      </w:r>
      <w:r>
        <w:rPr>
          <w:rFonts w:ascii="Aptos" w:hAnsi="Aptos"/>
          <w:color w:val="17263C"/>
        </w:rPr>
        <w:t>F01, F03, F04, F06, F10, F11</w:t>
      </w:r>
    </w:p>
    <w:p>
      <w:r>
        <w:rPr>
          <w:rFonts w:ascii="Aptos" w:hAnsi="Aptos"/>
          <w:b/>
          <w:color w:val="17263C"/>
        </w:rPr>
        <w:t xml:space="preserve">Modèles : </w:t>
      </w:r>
      <w:r>
        <w:rPr>
          <w:rFonts w:ascii="Aptos" w:hAnsi="Aptos"/>
          <w:color w:val="17263C"/>
        </w:rPr>
        <w:t>Party, Person, BusinessOrganization, PartyRole, PartyIdentifier, PartyAddress, ContactPoint, Relationship, PartyTag</w:t>
      </w:r>
    </w:p>
    <w:p>
      <w:r>
        <w:rPr>
          <w:rFonts w:ascii="Aptos" w:hAnsi="Aptos"/>
          <w:b/>
          <w:color w:val="17263C"/>
        </w:rPr>
        <w:t xml:space="preserve">Interfaces : </w:t>
      </w:r>
      <w:r>
        <w:rPr>
          <w:rFonts w:ascii="Aptos" w:hAnsi="Aptos"/>
          <w:color w:val="17263C"/>
        </w:rPr>
        <w:t>répertoire; fiche à onglets; relations; doublons; import</w:t>
      </w:r>
    </w:p>
    <w:p>
      <w:r>
        <w:rPr>
          <w:rFonts w:ascii="Aptos" w:hAnsi="Aptos"/>
          <w:b/>
          <w:color w:val="17263C"/>
        </w:rPr>
        <w:t xml:space="preserve">Services et règles : </w:t>
      </w:r>
      <w:r>
        <w:rPr>
          <w:rFonts w:ascii="Aptos" w:hAnsi="Aptos"/>
          <w:color w:val="17263C"/>
        </w:rPr>
        <w:t>un tiers peut cumuler plusieurs rôles; identifiants à dates d’effet; adresses typées; fusion contrôlée; snapshot dans les documents émis</w:t>
      </w:r>
    </w:p>
    <w:p>
      <w:r>
        <w:rPr>
          <w:rFonts w:ascii="Aptos" w:hAnsi="Aptos"/>
          <w:b/>
          <w:color w:val="17263C"/>
        </w:rPr>
        <w:t xml:space="preserve">Critères d’acceptation : </w:t>
      </w:r>
      <w:r>
        <w:rPr>
          <w:rFonts w:ascii="Aptos" w:hAnsi="Aptos"/>
          <w:color w:val="17263C"/>
        </w:rPr>
        <w:t>aucune duplication client/fournisseur; historique après fusion; recherche accentuée et normalisée</w:t>
      </w:r>
    </w:p>
    <w:p>
      <w:pPr>
        <w:pStyle w:val="Heading2"/>
        <w:spacing w:before="160" w:after="60"/>
      </w:pPr>
      <w:r>
        <w:rPr>
          <w:rFonts w:ascii="Aptos" w:hAnsi="Aptos"/>
          <w:b/>
          <w:color w:val="17263C"/>
          <w:sz w:val="21"/>
        </w:rPr>
        <w:t>G02 — CRM, prospects et opportunités</w:t>
      </w:r>
    </w:p>
    <w:p>
      <w:r>
        <w:rPr>
          <w:rFonts w:ascii="Aptos" w:hAnsi="Aptos"/>
          <w:color w:val="17263C"/>
        </w:rPr>
        <w:t>Gérer le cycle de prospection, les interactions et les opportunités sans lier le CRM à un secteur particulier.</w:t>
      </w:r>
    </w:p>
    <w:p>
      <w:r>
        <w:rPr>
          <w:rFonts w:ascii="Aptos" w:hAnsi="Aptos"/>
          <w:b/>
          <w:color w:val="17263C"/>
        </w:rPr>
        <w:t xml:space="preserve">Dépendances : </w:t>
      </w:r>
      <w:r>
        <w:rPr>
          <w:rFonts w:ascii="Aptos" w:hAnsi="Aptos"/>
          <w:color w:val="17263C"/>
        </w:rPr>
        <w:t>G01, F02 à F07, F12</w:t>
      </w:r>
    </w:p>
    <w:p>
      <w:r>
        <w:rPr>
          <w:rFonts w:ascii="Aptos" w:hAnsi="Aptos"/>
          <w:b/>
          <w:color w:val="17263C"/>
        </w:rPr>
        <w:t xml:space="preserve">Modèles : </w:t>
      </w:r>
      <w:r>
        <w:rPr>
          <w:rFonts w:ascii="Aptos" w:hAnsi="Aptos"/>
          <w:color w:val="17263C"/>
        </w:rPr>
        <w:t>Lead, LeadSource, Opportunity, Pipeline, PipelineStage, Interaction, FollowUp, LossReason, OpportunityParticipant</w:t>
      </w:r>
    </w:p>
    <w:p>
      <w:r>
        <w:rPr>
          <w:rFonts w:ascii="Aptos" w:hAnsi="Aptos"/>
          <w:b/>
          <w:color w:val="17263C"/>
        </w:rPr>
        <w:t xml:space="preserve">Interfaces : </w:t>
      </w:r>
      <w:r>
        <w:rPr>
          <w:rFonts w:ascii="Aptos" w:hAnsi="Aptos"/>
          <w:color w:val="17263C"/>
        </w:rPr>
        <w:t>pipeline Kanban; fiche prospect; historique; relances; conversion</w:t>
      </w:r>
    </w:p>
    <w:p>
      <w:r>
        <w:rPr>
          <w:rFonts w:ascii="Aptos" w:hAnsi="Aptos"/>
          <w:b/>
          <w:color w:val="17263C"/>
        </w:rPr>
        <w:t xml:space="preserve">Services et règles : </w:t>
      </w:r>
      <w:r>
        <w:rPr>
          <w:rFonts w:ascii="Aptos" w:hAnsi="Aptos"/>
          <w:color w:val="17263C"/>
        </w:rPr>
        <w:t>étapes versionnées; probabilité explicite; conversion sans duplication du tiers; raison de perte requise; activités attribuées</w:t>
      </w:r>
    </w:p>
    <w:p>
      <w:r>
        <w:rPr>
          <w:rFonts w:ascii="Aptos" w:hAnsi="Aptos"/>
          <w:b/>
          <w:color w:val="17263C"/>
        </w:rPr>
        <w:t xml:space="preserve">Critères d’acceptation : </w:t>
      </w:r>
      <w:r>
        <w:rPr>
          <w:rFonts w:ascii="Aptos" w:hAnsi="Aptos"/>
          <w:color w:val="17263C"/>
        </w:rPr>
        <w:t>passage prospect-client conservant l’historique; opportunité sans propriétaire détectée; statistiques cohérentes avec les étapes</w:t>
      </w:r>
    </w:p>
    <w:p>
      <w:pPr>
        <w:pStyle w:val="Heading2"/>
        <w:spacing w:before="160" w:after="60"/>
      </w:pPr>
      <w:r>
        <w:rPr>
          <w:rFonts w:ascii="Aptos" w:hAnsi="Aptos"/>
          <w:b/>
          <w:color w:val="17263C"/>
          <w:sz w:val="21"/>
        </w:rPr>
        <w:t>G03 — Catalogue, offres et tarification</w:t>
      </w:r>
    </w:p>
    <w:p>
      <w:r>
        <w:rPr>
          <w:rFonts w:ascii="Aptos" w:hAnsi="Aptos"/>
          <w:color w:val="17263C"/>
        </w:rPr>
        <w:t>Décrire produits, services, unités, variantes, prix et règles commerciales utilisables par plusieurs canaux.</w:t>
      </w:r>
    </w:p>
    <w:p>
      <w:r>
        <w:rPr>
          <w:rFonts w:ascii="Aptos" w:hAnsi="Aptos"/>
          <w:b/>
          <w:color w:val="17263C"/>
        </w:rPr>
        <w:t xml:space="preserve">Dépendances : </w:t>
      </w:r>
      <w:r>
        <w:rPr>
          <w:rFonts w:ascii="Aptos" w:hAnsi="Aptos"/>
          <w:color w:val="17263C"/>
        </w:rPr>
        <w:t>F01, F04, F10, F11</w:t>
      </w:r>
    </w:p>
    <w:p>
      <w:r>
        <w:rPr>
          <w:rFonts w:ascii="Aptos" w:hAnsi="Aptos"/>
          <w:b/>
          <w:color w:val="17263C"/>
        </w:rPr>
        <w:t xml:space="preserve">Modèles : </w:t>
      </w:r>
      <w:r>
        <w:rPr>
          <w:rFonts w:ascii="Aptos" w:hAnsi="Aptos"/>
          <w:color w:val="17263C"/>
        </w:rPr>
        <w:t>CatalogItem, Product, Service, Category, Variant, PriceList, Price, PricingRule, DiscountRule, Bundle, CostEstimate</w:t>
      </w:r>
    </w:p>
    <w:p>
      <w:r>
        <w:rPr>
          <w:rFonts w:ascii="Aptos" w:hAnsi="Aptos"/>
          <w:b/>
          <w:color w:val="17263C"/>
        </w:rPr>
        <w:t xml:space="preserve">Interfaces : </w:t>
      </w:r>
      <w:r>
        <w:rPr>
          <w:rFonts w:ascii="Aptos" w:hAnsi="Aptos"/>
          <w:color w:val="17263C"/>
        </w:rPr>
        <w:t>catalogue; fiches; grilles tarifaires; simulateur de prix; historique</w:t>
      </w:r>
    </w:p>
    <w:p>
      <w:r>
        <w:rPr>
          <w:rFonts w:ascii="Aptos" w:hAnsi="Aptos"/>
          <w:b/>
          <w:color w:val="17263C"/>
        </w:rPr>
        <w:t xml:space="preserve">Services et règles : </w:t>
      </w:r>
      <w:r>
        <w:rPr>
          <w:rFonts w:ascii="Aptos" w:hAnsi="Aptos"/>
          <w:color w:val="17263C"/>
        </w:rPr>
        <w:t>dates d’effet; prix HT/TTC non ambigus; priorité des règles; coût distinct du prix; article archivé non proposé</w:t>
      </w:r>
    </w:p>
    <w:p>
      <w:r>
        <w:rPr>
          <w:rFonts w:ascii="Aptos" w:hAnsi="Aptos"/>
          <w:b/>
          <w:color w:val="17263C"/>
        </w:rPr>
        <w:t xml:space="preserve">Critères d’acceptation : </w:t>
      </w:r>
      <w:r>
        <w:rPr>
          <w:rFonts w:ascii="Aptos" w:hAnsi="Aptos"/>
          <w:color w:val="17263C"/>
        </w:rPr>
        <w:t>prix expliqué règle par règle; recalcul à date historique; aucun float; tests de remises cumulées</w:t>
      </w:r>
    </w:p>
    <w:p>
      <w:pPr>
        <w:pStyle w:val="Heading2"/>
        <w:spacing w:before="160" w:after="60"/>
      </w:pPr>
      <w:r>
        <w:rPr>
          <w:rFonts w:ascii="Aptos" w:hAnsi="Aptos"/>
          <w:b/>
          <w:color w:val="17263C"/>
          <w:sz w:val="21"/>
        </w:rPr>
        <w:t>G04 — Devis et propositions</w:t>
      </w:r>
    </w:p>
    <w:p>
      <w:r>
        <w:rPr>
          <w:rFonts w:ascii="Aptos" w:hAnsi="Aptos"/>
          <w:color w:val="17263C"/>
        </w:rPr>
        <w:t>Composer, versionner, transmettre et faire accepter des propositions commerciales structurées.</w:t>
      </w:r>
    </w:p>
    <w:p>
      <w:r>
        <w:rPr>
          <w:rFonts w:ascii="Aptos" w:hAnsi="Aptos"/>
          <w:b/>
          <w:color w:val="17263C"/>
        </w:rPr>
        <w:t xml:space="preserve">Dépendances : </w:t>
      </w:r>
      <w:r>
        <w:rPr>
          <w:rFonts w:ascii="Aptos" w:hAnsi="Aptos"/>
          <w:color w:val="17263C"/>
        </w:rPr>
        <w:t>G01 à G03, F05 à F10, F12</w:t>
      </w:r>
    </w:p>
    <w:p>
      <w:r>
        <w:rPr>
          <w:rFonts w:ascii="Aptos" w:hAnsi="Aptos"/>
          <w:b/>
          <w:color w:val="17263C"/>
        </w:rPr>
        <w:t xml:space="preserve">Modèles : </w:t>
      </w:r>
      <w:r>
        <w:rPr>
          <w:rFonts w:ascii="Aptos" w:hAnsi="Aptos"/>
          <w:color w:val="17263C"/>
        </w:rPr>
        <w:t>Quote, QuoteVersion, QuoteSection, QuoteLine, QuoteOption, QuoteTaxSummary, QuoteAcceptance, QuoteAttachment</w:t>
      </w:r>
    </w:p>
    <w:p>
      <w:r>
        <w:rPr>
          <w:rFonts w:ascii="Aptos" w:hAnsi="Aptos"/>
          <w:b/>
          <w:color w:val="17263C"/>
        </w:rPr>
        <w:t xml:space="preserve">Interfaces : </w:t>
      </w:r>
      <w:r>
        <w:rPr>
          <w:rFonts w:ascii="Aptos" w:hAnsi="Aptos"/>
          <w:color w:val="17263C"/>
        </w:rPr>
        <w:t>éditeur de lignes; sections et options; aperçu PDF; portail d’acceptation; comparaison des versions</w:t>
      </w:r>
    </w:p>
    <w:p>
      <w:r>
        <w:rPr>
          <w:rFonts w:ascii="Aptos" w:hAnsi="Aptos"/>
          <w:b/>
          <w:color w:val="17263C"/>
        </w:rPr>
        <w:t xml:space="preserve">Services et règles : </w:t>
      </w:r>
      <w:r>
        <w:rPr>
          <w:rFonts w:ascii="Aptos" w:hAnsi="Aptos"/>
          <w:color w:val="17263C"/>
        </w:rPr>
        <w:t>brouillon modifiable; version envoyée figée; validité; calcul centralisé taxes/remises; acceptation avec preuve; conversion idempotente</w:t>
      </w:r>
    </w:p>
    <w:p>
      <w:r>
        <w:rPr>
          <w:rFonts w:ascii="Aptos" w:hAnsi="Aptos"/>
          <w:b/>
          <w:color w:val="17263C"/>
        </w:rPr>
        <w:t xml:space="preserve">Critères d’acceptation : </w:t>
      </w:r>
      <w:r>
        <w:rPr>
          <w:rFonts w:ascii="Aptos" w:hAnsi="Aptos"/>
          <w:color w:val="17263C"/>
        </w:rPr>
        <w:t>totaux identiques écran/PDF/API; version acceptée identifiable; modification après envoi crée une nouvelle version</w:t>
      </w:r>
    </w:p>
    <w:p>
      <w:pPr>
        <w:pStyle w:val="Heading2"/>
        <w:spacing w:before="160" w:after="60"/>
      </w:pPr>
      <w:r>
        <w:rPr>
          <w:rFonts w:ascii="Aptos" w:hAnsi="Aptos"/>
          <w:b/>
          <w:color w:val="17263C"/>
          <w:sz w:val="21"/>
        </w:rPr>
        <w:t>G05 — Commandes, exécution et livraisons</w:t>
      </w:r>
    </w:p>
    <w:p>
      <w:r>
        <w:rPr>
          <w:rFonts w:ascii="Aptos" w:hAnsi="Aptos"/>
          <w:color w:val="17263C"/>
        </w:rPr>
        <w:t>Transformer une offre acceptée en engagement exécutable, suivre les quantités et constater la livraison.</w:t>
      </w:r>
    </w:p>
    <w:p>
      <w:r>
        <w:rPr>
          <w:rFonts w:ascii="Aptos" w:hAnsi="Aptos"/>
          <w:b/>
          <w:color w:val="17263C"/>
        </w:rPr>
        <w:t xml:space="preserve">Dépendances : </w:t>
      </w:r>
      <w:r>
        <w:rPr>
          <w:rFonts w:ascii="Aptos" w:hAnsi="Aptos"/>
          <w:color w:val="17263C"/>
        </w:rPr>
        <w:t>G01, G03, G04, F05, F06, F09, F12</w:t>
      </w:r>
    </w:p>
    <w:p>
      <w:r>
        <w:rPr>
          <w:rFonts w:ascii="Aptos" w:hAnsi="Aptos"/>
          <w:b/>
          <w:color w:val="17263C"/>
        </w:rPr>
        <w:t xml:space="preserve">Modèles : </w:t>
      </w:r>
      <w:r>
        <w:rPr>
          <w:rFonts w:ascii="Aptos" w:hAnsi="Aptos"/>
          <w:color w:val="17263C"/>
        </w:rPr>
        <w:t>SalesOrder, SalesOrderLine, Fulfillment, Delivery, DeliveryLine, Return, CustomerAcceptance, OrderChange</w:t>
      </w:r>
    </w:p>
    <w:p>
      <w:r>
        <w:rPr>
          <w:rFonts w:ascii="Aptos" w:hAnsi="Aptos"/>
          <w:b/>
          <w:color w:val="17263C"/>
        </w:rPr>
        <w:t xml:space="preserve">Interfaces : </w:t>
      </w:r>
      <w:r>
        <w:rPr>
          <w:rFonts w:ascii="Aptos" w:hAnsi="Aptos"/>
          <w:color w:val="17263C"/>
        </w:rPr>
        <w:t>commande; reste à exécuter; préparation; bon de livraison; retours</w:t>
      </w:r>
    </w:p>
    <w:p>
      <w:r>
        <w:rPr>
          <w:rFonts w:ascii="Aptos" w:hAnsi="Aptos"/>
          <w:b/>
          <w:color w:val="17263C"/>
        </w:rPr>
        <w:t xml:space="preserve">Services et règles : </w:t>
      </w:r>
      <w:r>
        <w:rPr>
          <w:rFonts w:ascii="Aptos" w:hAnsi="Aptos"/>
          <w:color w:val="17263C"/>
        </w:rPr>
        <w:t>quantité livrée plafonnée sauf autorisation; modification par avenant; livraison partielle; preuve d’acceptation; statuts calculés</w:t>
      </w:r>
    </w:p>
    <w:p>
      <w:r>
        <w:rPr>
          <w:rFonts w:ascii="Aptos" w:hAnsi="Aptos"/>
          <w:b/>
          <w:color w:val="17263C"/>
        </w:rPr>
        <w:t xml:space="preserve">Critères d’acceptation : </w:t>
      </w:r>
      <w:r>
        <w:rPr>
          <w:rFonts w:ascii="Aptos" w:hAnsi="Aptos"/>
          <w:color w:val="17263C"/>
        </w:rPr>
        <w:t>rapprochement devis-commande-livraison; reliquat exact; facturable non supérieur à l’exécuté selon politique</w:t>
      </w:r>
    </w:p>
    <w:p>
      <w:pPr>
        <w:pStyle w:val="Heading2"/>
        <w:spacing w:before="160" w:after="60"/>
      </w:pPr>
      <w:r>
        <w:rPr>
          <w:rFonts w:ascii="Aptos" w:hAnsi="Aptos"/>
          <w:b/>
          <w:color w:val="17263C"/>
          <w:sz w:val="21"/>
        </w:rPr>
        <w:t>G06 — Demandes d’achat et commandes fournisseurs</w:t>
      </w:r>
    </w:p>
    <w:p>
      <w:r>
        <w:rPr>
          <w:rFonts w:ascii="Aptos" w:hAnsi="Aptos"/>
          <w:color w:val="17263C"/>
        </w:rPr>
        <w:t>Encadrer les achats depuis le besoin jusqu’à la réception et à la facture fournisseur.</w:t>
      </w:r>
    </w:p>
    <w:p>
      <w:r>
        <w:rPr>
          <w:rFonts w:ascii="Aptos" w:hAnsi="Aptos"/>
          <w:b/>
          <w:color w:val="17263C"/>
        </w:rPr>
        <w:t xml:space="preserve">Dépendances : </w:t>
      </w:r>
      <w:r>
        <w:rPr>
          <w:rFonts w:ascii="Aptos" w:hAnsi="Aptos"/>
          <w:color w:val="17263C"/>
        </w:rPr>
        <w:t>G01, G03, F05, F06, F09, F12, P04</w:t>
      </w:r>
    </w:p>
    <w:p>
      <w:r>
        <w:rPr>
          <w:rFonts w:ascii="Aptos" w:hAnsi="Aptos"/>
          <w:b/>
          <w:color w:val="17263C"/>
        </w:rPr>
        <w:t xml:space="preserve">Modèles : </w:t>
      </w:r>
      <w:r>
        <w:rPr>
          <w:rFonts w:ascii="Aptos" w:hAnsi="Aptos"/>
          <w:color w:val="17263C"/>
        </w:rPr>
        <w:t>PurchaseRequest, PurchaseRequestLine, SupplierQuotation, QuotationComparison, PurchaseOrder, PurchaseOrderLine, GoodsReceipt, SupplierEvaluation</w:t>
      </w:r>
    </w:p>
    <w:p>
      <w:r>
        <w:rPr>
          <w:rFonts w:ascii="Aptos" w:hAnsi="Aptos"/>
          <w:b/>
          <w:color w:val="17263C"/>
        </w:rPr>
        <w:t xml:space="preserve">Interfaces : </w:t>
      </w:r>
      <w:r>
        <w:rPr>
          <w:rFonts w:ascii="Aptos" w:hAnsi="Aptos"/>
          <w:color w:val="17263C"/>
        </w:rPr>
        <w:t>demande d’achat; comparateur d’offres; bon de commande; réception; évaluation</w:t>
      </w:r>
    </w:p>
    <w:p>
      <w:r>
        <w:rPr>
          <w:rFonts w:ascii="Aptos" w:hAnsi="Aptos"/>
          <w:b/>
          <w:color w:val="17263C"/>
        </w:rPr>
        <w:t xml:space="preserve">Services et règles : </w:t>
      </w:r>
      <w:r>
        <w:rPr>
          <w:rFonts w:ascii="Aptos" w:hAnsi="Aptos"/>
          <w:color w:val="17263C"/>
        </w:rPr>
        <w:t>approbation selon seuil; contrôle budgétaire; séparation demande/validation; réception partielle; écarts documentés</w:t>
      </w:r>
    </w:p>
    <w:p>
      <w:r>
        <w:rPr>
          <w:rFonts w:ascii="Aptos" w:hAnsi="Aptos"/>
          <w:b/>
          <w:color w:val="17263C"/>
        </w:rPr>
        <w:t xml:space="preserve">Critères d’acceptation : </w:t>
      </w:r>
      <w:r>
        <w:rPr>
          <w:rFonts w:ascii="Aptos" w:hAnsi="Aptos"/>
          <w:color w:val="17263C"/>
        </w:rPr>
        <w:t>commande impossible sans droit et budget selon réglage; écart prix/quantité visible; chaîne achat complète traçable</w:t>
      </w:r>
    </w:p>
    <w:p>
      <w:pPr>
        <w:pStyle w:val="Heading2"/>
        <w:spacing w:before="160" w:after="60"/>
      </w:pPr>
      <w:r>
        <w:rPr>
          <w:rFonts w:ascii="Aptos" w:hAnsi="Aptos"/>
          <w:b/>
          <w:color w:val="17263C"/>
          <w:sz w:val="21"/>
        </w:rPr>
        <w:t>G07 — Stocks et mouvements</w:t>
      </w:r>
    </w:p>
    <w:p>
      <w:r>
        <w:rPr>
          <w:rFonts w:ascii="Aptos" w:hAnsi="Aptos"/>
          <w:color w:val="17263C"/>
        </w:rPr>
        <w:t>Suivre quantités physiques, réservations, lots et mouvements sans dépendre du module e-commerce.</w:t>
      </w:r>
    </w:p>
    <w:p>
      <w:r>
        <w:rPr>
          <w:rFonts w:ascii="Aptos" w:hAnsi="Aptos"/>
          <w:b/>
          <w:color w:val="17263C"/>
        </w:rPr>
        <w:t xml:space="preserve">Dépendances : </w:t>
      </w:r>
      <w:r>
        <w:rPr>
          <w:rFonts w:ascii="Aptos" w:hAnsi="Aptos"/>
          <w:color w:val="17263C"/>
        </w:rPr>
        <w:t>G03, G05, G06, F04, F10, F11</w:t>
      </w:r>
    </w:p>
    <w:p>
      <w:r>
        <w:rPr>
          <w:rFonts w:ascii="Aptos" w:hAnsi="Aptos"/>
          <w:b/>
          <w:color w:val="17263C"/>
        </w:rPr>
        <w:t xml:space="preserve">Modèles : </w:t>
      </w:r>
      <w:r>
        <w:rPr>
          <w:rFonts w:ascii="Aptos" w:hAnsi="Aptos"/>
          <w:color w:val="17263C"/>
        </w:rPr>
        <w:t>Warehouse, StorageLocation, StockItem, StockMovement, StockReservation, InventoryCount, StockAdjustment, Lot, SerialNumber, ReorderRule</w:t>
      </w:r>
    </w:p>
    <w:p>
      <w:r>
        <w:rPr>
          <w:rFonts w:ascii="Aptos" w:hAnsi="Aptos"/>
          <w:b/>
          <w:color w:val="17263C"/>
        </w:rPr>
        <w:t xml:space="preserve">Interfaces : </w:t>
      </w:r>
      <w:r>
        <w:rPr>
          <w:rFonts w:ascii="Aptos" w:hAnsi="Aptos"/>
          <w:color w:val="17263C"/>
        </w:rPr>
        <w:t>état de stock; mouvements; inventaire; transfert; réapprovisionnement</w:t>
      </w:r>
    </w:p>
    <w:p>
      <w:r>
        <w:rPr>
          <w:rFonts w:ascii="Aptos" w:hAnsi="Aptos"/>
          <w:b/>
          <w:color w:val="17263C"/>
        </w:rPr>
        <w:t xml:space="preserve">Services et règles : </w:t>
      </w:r>
      <w:r>
        <w:rPr>
          <w:rFonts w:ascii="Aptos" w:hAnsi="Aptos"/>
          <w:color w:val="17263C"/>
        </w:rPr>
        <w:t>mouvement append-only; source et destination; stock négatif configurable; réservation distincte du disponible; valorisation par méthode configurée</w:t>
      </w:r>
    </w:p>
    <w:p>
      <w:r>
        <w:rPr>
          <w:rFonts w:ascii="Aptos" w:hAnsi="Aptos"/>
          <w:b/>
          <w:color w:val="17263C"/>
        </w:rPr>
        <w:t xml:space="preserve">Critères d’acceptation : </w:t>
      </w:r>
      <w:r>
        <w:rPr>
          <w:rFonts w:ascii="Aptos" w:hAnsi="Aptos"/>
          <w:color w:val="17263C"/>
        </w:rPr>
        <w:t>stock calculé depuis les mouvements; inventaire justifie les écarts; concurrence sur réservation testée</w:t>
      </w:r>
    </w:p>
    <w:p>
      <w:pPr>
        <w:pStyle w:val="Heading2"/>
        <w:spacing w:before="160" w:after="60"/>
      </w:pPr>
      <w:r>
        <w:rPr>
          <w:rFonts w:ascii="Aptos" w:hAnsi="Aptos"/>
          <w:b/>
          <w:color w:val="17263C"/>
          <w:sz w:val="21"/>
        </w:rPr>
        <w:t>G08 — Projets, dossiers et jalons</w:t>
      </w:r>
    </w:p>
    <w:p>
      <w:r>
        <w:rPr>
          <w:rFonts w:ascii="Aptos" w:hAnsi="Aptos"/>
          <w:color w:val="17263C"/>
        </w:rPr>
        <w:t>Piloter des engagements organisés en phases, tâches, budgets, livrables et responsabilités.</w:t>
      </w:r>
    </w:p>
    <w:p>
      <w:r>
        <w:rPr>
          <w:rFonts w:ascii="Aptos" w:hAnsi="Aptos"/>
          <w:b/>
          <w:color w:val="17263C"/>
        </w:rPr>
        <w:t xml:space="preserve">Dépendances : </w:t>
      </w:r>
      <w:r>
        <w:rPr>
          <w:rFonts w:ascii="Aptos" w:hAnsi="Aptos"/>
          <w:color w:val="17263C"/>
        </w:rPr>
        <w:t>G01, F02 à F07, F12, P04</w:t>
      </w:r>
    </w:p>
    <w:p>
      <w:r>
        <w:rPr>
          <w:rFonts w:ascii="Aptos" w:hAnsi="Aptos"/>
          <w:b/>
          <w:color w:val="17263C"/>
        </w:rPr>
        <w:t xml:space="preserve">Modèles : </w:t>
      </w:r>
      <w:r>
        <w:rPr>
          <w:rFonts w:ascii="Aptos" w:hAnsi="Aptos"/>
          <w:color w:val="17263C"/>
        </w:rPr>
        <w:t>Project, ProjectPhase, Milestone, Task, TaskDependency, Assignment, ProjectBudget, Deliverable, ProjectRisk, ProjectStatusSnapshot</w:t>
      </w:r>
    </w:p>
    <w:p>
      <w:r>
        <w:rPr>
          <w:rFonts w:ascii="Aptos" w:hAnsi="Aptos"/>
          <w:b/>
          <w:color w:val="17263C"/>
        </w:rPr>
        <w:t xml:space="preserve">Interfaces : </w:t>
      </w:r>
      <w:r>
        <w:rPr>
          <w:rFonts w:ascii="Aptos" w:hAnsi="Aptos"/>
          <w:color w:val="17263C"/>
        </w:rPr>
        <w:t>vue synthèse; kanban; chronologie; jalons; budget; portail client</w:t>
      </w:r>
    </w:p>
    <w:p>
      <w:r>
        <w:rPr>
          <w:rFonts w:ascii="Aptos" w:hAnsi="Aptos"/>
          <w:b/>
          <w:color w:val="17263C"/>
        </w:rPr>
        <w:t xml:space="preserve">Services et règles : </w:t>
      </w:r>
      <w:r>
        <w:rPr>
          <w:rFonts w:ascii="Aptos" w:hAnsi="Aptos"/>
          <w:color w:val="17263C"/>
        </w:rPr>
        <w:t>dépendances sans cycle; responsabilités; jalons datés; progression calculée ou justifiée; accès client restreint</w:t>
      </w:r>
    </w:p>
    <w:p>
      <w:r>
        <w:rPr>
          <w:rFonts w:ascii="Aptos" w:hAnsi="Aptos"/>
          <w:b/>
          <w:color w:val="17263C"/>
        </w:rPr>
        <w:t xml:space="preserve">Critères d’acceptation : </w:t>
      </w:r>
      <w:r>
        <w:rPr>
          <w:rFonts w:ascii="Aptos" w:hAnsi="Aptos"/>
          <w:color w:val="17263C"/>
        </w:rPr>
        <w:t>retards et chemins bloquants visibles; budget rapproché; historique des changements de périmètre</w:t>
      </w:r>
    </w:p>
    <w:p>
      <w:pPr>
        <w:pStyle w:val="Heading2"/>
        <w:spacing w:before="160" w:after="60"/>
      </w:pPr>
      <w:r>
        <w:rPr>
          <w:rFonts w:ascii="Aptos" w:hAnsi="Aptos"/>
          <w:b/>
          <w:color w:val="17263C"/>
          <w:sz w:val="21"/>
        </w:rPr>
        <w:t>G09 — Interventions et ordres de travail</w:t>
      </w:r>
    </w:p>
    <w:p>
      <w:r>
        <w:rPr>
          <w:rFonts w:ascii="Aptos" w:hAnsi="Aptos"/>
          <w:color w:val="17263C"/>
        </w:rPr>
        <w:t>Planifier et documenter les opérations terrain ou techniques exécutées pour un client ou un actif.</w:t>
      </w:r>
    </w:p>
    <w:p>
      <w:r>
        <w:rPr>
          <w:rFonts w:ascii="Aptos" w:hAnsi="Aptos"/>
          <w:b/>
          <w:color w:val="17263C"/>
        </w:rPr>
        <w:t xml:space="preserve">Dépendances : </w:t>
      </w:r>
      <w:r>
        <w:rPr>
          <w:rFonts w:ascii="Aptos" w:hAnsi="Aptos"/>
          <w:color w:val="17263C"/>
        </w:rPr>
        <w:t>G01, G03, G07, G08, G10, F05 à F07, F12</w:t>
      </w:r>
    </w:p>
    <w:p>
      <w:r>
        <w:rPr>
          <w:rFonts w:ascii="Aptos" w:hAnsi="Aptos"/>
          <w:b/>
          <w:color w:val="17263C"/>
        </w:rPr>
        <w:t xml:space="preserve">Modèles : </w:t>
      </w:r>
      <w:r>
        <w:rPr>
          <w:rFonts w:ascii="Aptos" w:hAnsi="Aptos"/>
          <w:color w:val="17263C"/>
        </w:rPr>
        <w:t>WorkOrder, Intervention, InterventionType, Checklist, ChecklistResponse, InterventionReport, ConsumedItem, CustomerSignature</w:t>
      </w:r>
    </w:p>
    <w:p>
      <w:r>
        <w:rPr>
          <w:rFonts w:ascii="Aptos" w:hAnsi="Aptos"/>
          <w:b/>
          <w:color w:val="17263C"/>
        </w:rPr>
        <w:t xml:space="preserve">Interfaces : </w:t>
      </w:r>
      <w:r>
        <w:rPr>
          <w:rFonts w:ascii="Aptos" w:hAnsi="Aptos"/>
          <w:color w:val="17263C"/>
        </w:rPr>
        <w:t>ordre de travail; vue mobile; checklist; photos; compte rendu; signature</w:t>
      </w:r>
    </w:p>
    <w:p>
      <w:r>
        <w:rPr>
          <w:rFonts w:ascii="Aptos" w:hAnsi="Aptos"/>
          <w:b/>
          <w:color w:val="17263C"/>
        </w:rPr>
        <w:t xml:space="preserve">Services et règles : </w:t>
      </w:r>
      <w:r>
        <w:rPr>
          <w:rFonts w:ascii="Aptos" w:hAnsi="Aptos"/>
          <w:color w:val="17263C"/>
        </w:rPr>
        <w:t>affectation et créneau; mode dégradé à cadrer; preuves horodatées; consommations vers stock; signature non modifiable</w:t>
      </w:r>
    </w:p>
    <w:p>
      <w:r>
        <w:rPr>
          <w:rFonts w:ascii="Aptos" w:hAnsi="Aptos"/>
          <w:b/>
          <w:color w:val="17263C"/>
        </w:rPr>
        <w:t xml:space="preserve">Critères d’acceptation : </w:t>
      </w:r>
      <w:r>
        <w:rPr>
          <w:rFonts w:ascii="Aptos" w:hAnsi="Aptos"/>
          <w:color w:val="17263C"/>
        </w:rPr>
        <w:t>intervention clôturée complète; stock décrémenté une seule fois; rapport généré et accessible selon droit</w:t>
      </w:r>
    </w:p>
    <w:p>
      <w:pPr>
        <w:pStyle w:val="Heading2"/>
        <w:spacing w:before="160" w:after="60"/>
      </w:pPr>
      <w:r>
        <w:rPr>
          <w:rFonts w:ascii="Aptos" w:hAnsi="Aptos"/>
          <w:b/>
          <w:color w:val="17263C"/>
          <w:sz w:val="21"/>
        </w:rPr>
        <w:t>G10 — Planning, ressources et réservations</w:t>
      </w:r>
    </w:p>
    <w:p>
      <w:r>
        <w:rPr>
          <w:rFonts w:ascii="Aptos" w:hAnsi="Aptos"/>
          <w:color w:val="17263C"/>
        </w:rPr>
        <w:t>Gérer disponibilités, calendriers, événements et réservations de personnes, lieux ou équipements.</w:t>
      </w:r>
    </w:p>
    <w:p>
      <w:r>
        <w:rPr>
          <w:rFonts w:ascii="Aptos" w:hAnsi="Aptos"/>
          <w:b/>
          <w:color w:val="17263C"/>
        </w:rPr>
        <w:t xml:space="preserve">Dépendances : </w:t>
      </w:r>
      <w:r>
        <w:rPr>
          <w:rFonts w:ascii="Aptos" w:hAnsi="Aptos"/>
          <w:color w:val="17263C"/>
        </w:rPr>
        <w:t>F01 à F04, F07, F10, F12</w:t>
      </w:r>
    </w:p>
    <w:p>
      <w:r>
        <w:rPr>
          <w:rFonts w:ascii="Aptos" w:hAnsi="Aptos"/>
          <w:b/>
          <w:color w:val="17263C"/>
        </w:rPr>
        <w:t xml:space="preserve">Modèles : </w:t>
      </w:r>
      <w:r>
        <w:rPr>
          <w:rFonts w:ascii="Aptos" w:hAnsi="Aptos"/>
          <w:color w:val="17263C"/>
        </w:rPr>
        <w:t>Schedule, CalendarEvent, Resource, Availability, Booking, BookingRule, Recurrence, Conflict, Absence</w:t>
      </w:r>
    </w:p>
    <w:p>
      <w:r>
        <w:rPr>
          <w:rFonts w:ascii="Aptos" w:hAnsi="Aptos"/>
          <w:b/>
          <w:color w:val="17263C"/>
        </w:rPr>
        <w:t xml:space="preserve">Interfaces : </w:t>
      </w:r>
      <w:r>
        <w:rPr>
          <w:rFonts w:ascii="Aptos" w:hAnsi="Aptos"/>
          <w:color w:val="17263C"/>
        </w:rPr>
        <w:t>jour/semaine/mois; planning équipe; réservation; conflits; disponibilités</w:t>
      </w:r>
    </w:p>
    <w:p>
      <w:r>
        <w:rPr>
          <w:rFonts w:ascii="Aptos" w:hAnsi="Aptos"/>
          <w:b/>
          <w:color w:val="17263C"/>
        </w:rPr>
        <w:t xml:space="preserve">Services et règles : </w:t>
      </w:r>
      <w:r>
        <w:rPr>
          <w:rFonts w:ascii="Aptos" w:hAnsi="Aptos"/>
          <w:color w:val="17263C"/>
        </w:rPr>
        <w:t>fuseaux explicites; récurrences matérialisées de façon contrôlée; détection de conflit transactionnelle; temps de préparation</w:t>
      </w:r>
    </w:p>
    <w:p>
      <w:r>
        <w:rPr>
          <w:rFonts w:ascii="Aptos" w:hAnsi="Aptos"/>
          <w:b/>
          <w:color w:val="17263C"/>
        </w:rPr>
        <w:t xml:space="preserve">Critères d’acceptation : </w:t>
      </w:r>
      <w:r>
        <w:rPr>
          <w:rFonts w:ascii="Aptos" w:hAnsi="Aptos"/>
          <w:color w:val="17263C"/>
        </w:rPr>
        <w:t>double réservation bloquée selon règle; modification de série maîtrisée; notifications cohérentes</w:t>
      </w:r>
    </w:p>
    <w:p>
      <w:pPr>
        <w:pStyle w:val="Heading2"/>
        <w:spacing w:before="160" w:after="60"/>
      </w:pPr>
      <w:r>
        <w:rPr>
          <w:rFonts w:ascii="Aptos" w:hAnsi="Aptos"/>
          <w:b/>
          <w:color w:val="17263C"/>
          <w:sz w:val="21"/>
        </w:rPr>
        <w:t>G11 — Temps, activités et feuilles de temps</w:t>
      </w:r>
    </w:p>
    <w:p>
      <w:r>
        <w:rPr>
          <w:rFonts w:ascii="Aptos" w:hAnsi="Aptos"/>
          <w:color w:val="17263C"/>
        </w:rPr>
        <w:t>Saisir, valider et valoriser le temps par collaborateur, projet, tâche ou activité.</w:t>
      </w:r>
    </w:p>
    <w:p>
      <w:r>
        <w:rPr>
          <w:rFonts w:ascii="Aptos" w:hAnsi="Aptos"/>
          <w:b/>
          <w:color w:val="17263C"/>
        </w:rPr>
        <w:t xml:space="preserve">Dépendances : </w:t>
      </w:r>
      <w:r>
        <w:rPr>
          <w:rFonts w:ascii="Aptos" w:hAnsi="Aptos"/>
          <w:color w:val="17263C"/>
        </w:rPr>
        <w:t>F01 à F05, G08, G09, G10</w:t>
      </w:r>
    </w:p>
    <w:p>
      <w:r>
        <w:rPr>
          <w:rFonts w:ascii="Aptos" w:hAnsi="Aptos"/>
          <w:b/>
          <w:color w:val="17263C"/>
        </w:rPr>
        <w:t xml:space="preserve">Modèles : </w:t>
      </w:r>
      <w:r>
        <w:rPr>
          <w:rFonts w:ascii="Aptos" w:hAnsi="Aptos"/>
          <w:color w:val="17263C"/>
        </w:rPr>
        <w:t>Timesheet, TimeEntry, ActivityType, TimerSession, TimesheetApproval, OvertimeRecord, BillingRate, LaborCostRate</w:t>
      </w:r>
    </w:p>
    <w:p>
      <w:r>
        <w:rPr>
          <w:rFonts w:ascii="Aptos" w:hAnsi="Aptos"/>
          <w:b/>
          <w:color w:val="17263C"/>
        </w:rPr>
        <w:t xml:space="preserve">Interfaces : </w:t>
      </w:r>
      <w:r>
        <w:rPr>
          <w:rFonts w:ascii="Aptos" w:hAnsi="Aptos"/>
          <w:color w:val="17263C"/>
        </w:rPr>
        <w:t>saisie rapide; chronomètre; semaine; validation; prévu/réalisé</w:t>
      </w:r>
    </w:p>
    <w:p>
      <w:r>
        <w:rPr>
          <w:rFonts w:ascii="Aptos" w:hAnsi="Aptos"/>
          <w:b/>
          <w:color w:val="17263C"/>
        </w:rPr>
        <w:t xml:space="preserve">Services et règles : </w:t>
      </w:r>
      <w:r>
        <w:rPr>
          <w:rFonts w:ascii="Aptos" w:hAnsi="Aptos"/>
          <w:color w:val="17263C"/>
        </w:rPr>
        <w:t>pas de chevauchement; périodes verrouillées; taux datés; coût et prix séparés; correction tracée après validation</w:t>
      </w:r>
    </w:p>
    <w:p>
      <w:r>
        <w:rPr>
          <w:rFonts w:ascii="Aptos" w:hAnsi="Aptos"/>
          <w:b/>
          <w:color w:val="17263C"/>
        </w:rPr>
        <w:t xml:space="preserve">Critères d’acceptation : </w:t>
      </w:r>
      <w:r>
        <w:rPr>
          <w:rFonts w:ascii="Aptos" w:hAnsi="Aptos"/>
          <w:color w:val="17263C"/>
        </w:rPr>
        <w:t>totaux par période exacts; temps facturable exportable; données RH visibles uniquement aux profils autorisés</w:t>
      </w:r>
    </w:p>
    <w:p>
      <w:pPr>
        <w:pStyle w:val="Heading2"/>
        <w:spacing w:before="160" w:after="60"/>
      </w:pPr>
      <w:r>
        <w:rPr>
          <w:rFonts w:ascii="Aptos" w:hAnsi="Aptos"/>
          <w:b/>
          <w:color w:val="17263C"/>
          <w:sz w:val="21"/>
        </w:rPr>
        <w:t>G12 — Contrats, échéances et abonnements</w:t>
      </w:r>
    </w:p>
    <w:p>
      <w:r>
        <w:rPr>
          <w:rFonts w:ascii="Aptos" w:hAnsi="Aptos"/>
          <w:color w:val="17263C"/>
        </w:rPr>
        <w:t>Gérer engagements contractuels, versions, renouvellements et prestations récurrentes.</w:t>
      </w:r>
    </w:p>
    <w:p>
      <w:r>
        <w:rPr>
          <w:rFonts w:ascii="Aptos" w:hAnsi="Aptos"/>
          <w:b/>
          <w:color w:val="17263C"/>
        </w:rPr>
        <w:t xml:space="preserve">Dépendances : </w:t>
      </w:r>
      <w:r>
        <w:rPr>
          <w:rFonts w:ascii="Aptos" w:hAnsi="Aptos"/>
          <w:color w:val="17263C"/>
        </w:rPr>
        <w:t>G01, G03, F05 à F07, F09, F12</w:t>
      </w:r>
    </w:p>
    <w:p>
      <w:r>
        <w:rPr>
          <w:rFonts w:ascii="Aptos" w:hAnsi="Aptos"/>
          <w:b/>
          <w:color w:val="17263C"/>
        </w:rPr>
        <w:t xml:space="preserve">Modèles : </w:t>
      </w:r>
      <w:r>
        <w:rPr>
          <w:rFonts w:ascii="Aptos" w:hAnsi="Aptos"/>
          <w:color w:val="17263C"/>
        </w:rPr>
        <w:t>Contract, ContractVersion, ContractParty, ContractTerm, ContractMilestone, Subscription, BillingCycle, Renewal, Termination</w:t>
      </w:r>
    </w:p>
    <w:p>
      <w:r>
        <w:rPr>
          <w:rFonts w:ascii="Aptos" w:hAnsi="Aptos"/>
          <w:b/>
          <w:color w:val="17263C"/>
        </w:rPr>
        <w:t xml:space="preserve">Interfaces : </w:t>
      </w:r>
      <w:r>
        <w:rPr>
          <w:rFonts w:ascii="Aptos" w:hAnsi="Aptos"/>
          <w:color w:val="17263C"/>
        </w:rPr>
        <w:t>registre des contrats; échéancier; versions; renouvellement; abonnement</w:t>
      </w:r>
    </w:p>
    <w:p>
      <w:r>
        <w:rPr>
          <w:rFonts w:ascii="Aptos" w:hAnsi="Aptos"/>
          <w:b/>
          <w:color w:val="17263C"/>
        </w:rPr>
        <w:t xml:space="preserve">Services et règles : </w:t>
      </w:r>
      <w:r>
        <w:rPr>
          <w:rFonts w:ascii="Aptos" w:hAnsi="Aptos"/>
          <w:color w:val="17263C"/>
        </w:rPr>
        <w:t>version signée figée; dates de préavis; renouvellement explicite ou automatique; proratisation configurée; alerte avant échéance</w:t>
      </w:r>
    </w:p>
    <w:p>
      <w:r>
        <w:rPr>
          <w:rFonts w:ascii="Aptos" w:hAnsi="Aptos"/>
          <w:b/>
          <w:color w:val="17263C"/>
        </w:rPr>
        <w:t xml:space="preserve">Critères d’acceptation : </w:t>
      </w:r>
      <w:r>
        <w:rPr>
          <w:rFonts w:ascii="Aptos" w:hAnsi="Aptos"/>
          <w:color w:val="17263C"/>
        </w:rPr>
        <w:t>aucune échéance silencieuse; facturation récurrente idempotente; résiliation conserve l’historique</w:t>
      </w:r>
    </w:p>
    <w:p>
      <w:pPr>
        <w:pStyle w:val="Heading2"/>
        <w:spacing w:before="160" w:after="60"/>
      </w:pPr>
      <w:r>
        <w:rPr>
          <w:rFonts w:ascii="Aptos" w:hAnsi="Aptos"/>
          <w:b/>
          <w:color w:val="17263C"/>
          <w:sz w:val="21"/>
        </w:rPr>
        <w:t>G13 — Support, SAV et réclamations</w:t>
      </w:r>
    </w:p>
    <w:p>
      <w:r>
        <w:rPr>
          <w:rFonts w:ascii="Aptos" w:hAnsi="Aptos"/>
          <w:color w:val="17263C"/>
        </w:rPr>
        <w:t>Recevoir, prioriser et résoudre des demandes liées à un client, produit, prestation ou contrat.</w:t>
      </w:r>
    </w:p>
    <w:p>
      <w:r>
        <w:rPr>
          <w:rFonts w:ascii="Aptos" w:hAnsi="Aptos"/>
          <w:b/>
          <w:color w:val="17263C"/>
        </w:rPr>
        <w:t xml:space="preserve">Dépendances : </w:t>
      </w:r>
      <w:r>
        <w:rPr>
          <w:rFonts w:ascii="Aptos" w:hAnsi="Aptos"/>
          <w:color w:val="17263C"/>
        </w:rPr>
        <w:t>G01, G03, G05, G12, F02 à F07, F12</w:t>
      </w:r>
    </w:p>
    <w:p>
      <w:r>
        <w:rPr>
          <w:rFonts w:ascii="Aptos" w:hAnsi="Aptos"/>
          <w:b/>
          <w:color w:val="17263C"/>
        </w:rPr>
        <w:t xml:space="preserve">Modèles : </w:t>
      </w:r>
      <w:r>
        <w:rPr>
          <w:rFonts w:ascii="Aptos" w:hAnsi="Aptos"/>
          <w:color w:val="17263C"/>
        </w:rPr>
        <w:t>Ticket, TicketCategory, TicketMessage, SLA, SLAClock, Escalation, Resolution, CustomerFeedback</w:t>
      </w:r>
    </w:p>
    <w:p>
      <w:r>
        <w:rPr>
          <w:rFonts w:ascii="Aptos" w:hAnsi="Aptos"/>
          <w:b/>
          <w:color w:val="17263C"/>
        </w:rPr>
        <w:t xml:space="preserve">Interfaces : </w:t>
      </w:r>
      <w:r>
        <w:rPr>
          <w:rFonts w:ascii="Aptos" w:hAnsi="Aptos"/>
          <w:color w:val="17263C"/>
        </w:rPr>
        <w:t>boîte de tickets; portail; conversation; priorités; base de connaissances</w:t>
      </w:r>
    </w:p>
    <w:p>
      <w:r>
        <w:rPr>
          <w:rFonts w:ascii="Aptos" w:hAnsi="Aptos"/>
          <w:b/>
          <w:color w:val="17263C"/>
        </w:rPr>
        <w:t xml:space="preserve">Services et règles : </w:t>
      </w:r>
      <w:r>
        <w:rPr>
          <w:rFonts w:ascii="Aptos" w:hAnsi="Aptos"/>
          <w:color w:val="17263C"/>
        </w:rPr>
        <w:t>horloge SLA suspendable selon règle; escalade; pièces sécurisées; association à l’objet concerné; satisfaction après résolution</w:t>
      </w:r>
    </w:p>
    <w:p>
      <w:r>
        <w:rPr>
          <w:rFonts w:ascii="Aptos" w:hAnsi="Aptos"/>
          <w:b/>
          <w:color w:val="17263C"/>
        </w:rPr>
        <w:t xml:space="preserve">Critères d’acceptation : </w:t>
      </w:r>
      <w:r>
        <w:rPr>
          <w:rFonts w:ascii="Aptos" w:hAnsi="Aptos"/>
          <w:color w:val="17263C"/>
        </w:rPr>
        <w:t>délais calculés correctement; réouverture tracée; messages privés séparés des réponses client</w:t>
      </w:r>
    </w:p>
    <w:p>
      <w:pPr>
        <w:pStyle w:val="Heading2"/>
        <w:spacing w:before="160" w:after="60"/>
      </w:pPr>
      <w:r>
        <w:rPr>
          <w:rFonts w:ascii="Aptos" w:hAnsi="Aptos"/>
          <w:b/>
          <w:color w:val="17263C"/>
          <w:sz w:val="21"/>
        </w:rPr>
        <w:t>G14 — Actifs, équipements et maintenance</w:t>
      </w:r>
    </w:p>
    <w:p>
      <w:r>
        <w:rPr>
          <w:rFonts w:ascii="Aptos" w:hAnsi="Aptos"/>
          <w:color w:val="17263C"/>
        </w:rPr>
        <w:t>Tenir le registre des actifs physiques ou logiciels et planifier leur maintenance.</w:t>
      </w:r>
    </w:p>
    <w:p>
      <w:r>
        <w:rPr>
          <w:rFonts w:ascii="Aptos" w:hAnsi="Aptos"/>
          <w:b/>
          <w:color w:val="17263C"/>
        </w:rPr>
        <w:t xml:space="preserve">Dépendances : </w:t>
      </w:r>
      <w:r>
        <w:rPr>
          <w:rFonts w:ascii="Aptos" w:hAnsi="Aptos"/>
          <w:color w:val="17263C"/>
        </w:rPr>
        <w:t>F01, F04, F06, F07, G01, G09, G10</w:t>
      </w:r>
    </w:p>
    <w:p>
      <w:r>
        <w:rPr>
          <w:rFonts w:ascii="Aptos" w:hAnsi="Aptos"/>
          <w:b/>
          <w:color w:val="17263C"/>
        </w:rPr>
        <w:t xml:space="preserve">Modèles : </w:t>
      </w:r>
      <w:r>
        <w:rPr>
          <w:rFonts w:ascii="Aptos" w:hAnsi="Aptos"/>
          <w:color w:val="17263C"/>
        </w:rPr>
        <w:t>Asset, AssetCategory, AssetAssignment, Warranty, MaintenancePlan, MaintenanceOperation, Breakdown, Inspection, MeterReading</w:t>
      </w:r>
    </w:p>
    <w:p>
      <w:r>
        <w:rPr>
          <w:rFonts w:ascii="Aptos" w:hAnsi="Aptos"/>
          <w:b/>
          <w:color w:val="17263C"/>
        </w:rPr>
        <w:t xml:space="preserve">Interfaces : </w:t>
      </w:r>
      <w:r>
        <w:rPr>
          <w:rFonts w:ascii="Aptos" w:hAnsi="Aptos"/>
          <w:color w:val="17263C"/>
        </w:rPr>
        <w:t>registre; fiche actif; planning d’entretien; pannes; coûts</w:t>
      </w:r>
    </w:p>
    <w:p>
      <w:r>
        <w:rPr>
          <w:rFonts w:ascii="Aptos" w:hAnsi="Aptos"/>
          <w:b/>
          <w:color w:val="17263C"/>
        </w:rPr>
        <w:t xml:space="preserve">Services et règles : </w:t>
      </w:r>
      <w:r>
        <w:rPr>
          <w:rFonts w:ascii="Aptos" w:hAnsi="Aptos"/>
          <w:color w:val="17263C"/>
        </w:rPr>
        <w:t>identifiant unique; affectation datée; maintenance selon temps ou compteur; garantie; mise hors service</w:t>
      </w:r>
    </w:p>
    <w:p>
      <w:r>
        <w:rPr>
          <w:rFonts w:ascii="Aptos" w:hAnsi="Aptos"/>
          <w:b/>
          <w:color w:val="17263C"/>
        </w:rPr>
        <w:t xml:space="preserve">Critères d’acceptation : </w:t>
      </w:r>
      <w:r>
        <w:rPr>
          <w:rFonts w:ascii="Aptos" w:hAnsi="Aptos"/>
          <w:color w:val="17263C"/>
        </w:rPr>
        <w:t>historique complet par actif; échéance d’entretien alertée; coûts rapprochables à la finance</w:t>
      </w:r>
    </w:p>
    <w:p>
      <w:pPr>
        <w:pStyle w:val="Heading2"/>
        <w:spacing w:before="160" w:after="60"/>
      </w:pPr>
      <w:r>
        <w:rPr>
          <w:rFonts w:ascii="Aptos" w:hAnsi="Aptos"/>
          <w:b/>
          <w:color w:val="17263C"/>
          <w:sz w:val="21"/>
        </w:rPr>
        <w:t>G15 — Administration du personnel</w:t>
      </w:r>
    </w:p>
    <w:p>
      <w:r>
        <w:rPr>
          <w:rFonts w:ascii="Aptos" w:hAnsi="Aptos"/>
          <w:color w:val="17263C"/>
        </w:rPr>
        <w:t>Gérer les informations administratives utiles aux opérations sans reconstruire un moteur de paie.</w:t>
      </w:r>
    </w:p>
    <w:p>
      <w:r>
        <w:rPr>
          <w:rFonts w:ascii="Aptos" w:hAnsi="Aptos"/>
          <w:b/>
          <w:color w:val="17263C"/>
        </w:rPr>
        <w:t xml:space="preserve">Dépendances : </w:t>
      </w:r>
      <w:r>
        <w:rPr>
          <w:rFonts w:ascii="Aptos" w:hAnsi="Aptos"/>
          <w:color w:val="17263C"/>
        </w:rPr>
        <w:t>F01 à F07, F10, F12</w:t>
      </w:r>
    </w:p>
    <w:p>
      <w:r>
        <w:rPr>
          <w:rFonts w:ascii="Aptos" w:hAnsi="Aptos"/>
          <w:b/>
          <w:color w:val="17263C"/>
        </w:rPr>
        <w:t xml:space="preserve">Modèles : </w:t>
      </w:r>
      <w:r>
        <w:rPr>
          <w:rFonts w:ascii="Aptos" w:hAnsi="Aptos"/>
          <w:color w:val="17263C"/>
        </w:rPr>
        <w:t>Employee, EmploymentRecord, Position, EmployeeAssignment, LeaveRequest, Absence, Skill, Certification, TrainingRecord</w:t>
      </w:r>
    </w:p>
    <w:p>
      <w:r>
        <w:rPr>
          <w:rFonts w:ascii="Aptos" w:hAnsi="Aptos"/>
          <w:b/>
          <w:color w:val="17263C"/>
        </w:rPr>
        <w:t xml:space="preserve">Interfaces : </w:t>
      </w:r>
      <w:r>
        <w:rPr>
          <w:rFonts w:ascii="Aptos" w:hAnsi="Aptos"/>
          <w:color w:val="17263C"/>
        </w:rPr>
        <w:t>dossier collaborateur; affectations; congés; compétences; habilitations</w:t>
      </w:r>
    </w:p>
    <w:p>
      <w:r>
        <w:rPr>
          <w:rFonts w:ascii="Aptos" w:hAnsi="Aptos"/>
          <w:b/>
          <w:color w:val="17263C"/>
        </w:rPr>
        <w:t xml:space="preserve">Services et règles : </w:t>
      </w:r>
      <w:r>
        <w:rPr>
          <w:rFonts w:ascii="Aptos" w:hAnsi="Aptos"/>
          <w:color w:val="17263C"/>
        </w:rPr>
        <w:t>données sensibles isolées; documents à accès restreint; dates d’expiration; exports vers paie; suppression conforme aux durées applicables</w:t>
      </w:r>
    </w:p>
    <w:p>
      <w:r>
        <w:rPr>
          <w:rFonts w:ascii="Aptos" w:hAnsi="Aptos"/>
          <w:b/>
          <w:color w:val="17263C"/>
        </w:rPr>
        <w:t xml:space="preserve">Critères d’acceptation : </w:t>
      </w:r>
      <w:r>
        <w:rPr>
          <w:rFonts w:ascii="Aptos" w:hAnsi="Aptos"/>
          <w:color w:val="17263C"/>
        </w:rPr>
        <w:t>un manager ne voit que son périmètre; habilitation expirée bloque les affectations concernées; audit de consultation des dossiers sensibles</w:t>
      </w:r>
    </w:p>
    <w:p>
      <w:pPr>
        <w:pStyle w:val="Heading1"/>
      </w:pPr>
      <w:r>
        <w:t>8. Catalogue des briques financières et comptables</w:t>
      </w:r>
    </w:p>
    <w:p>
      <w:r>
        <w:rPr>
          <w:rFonts w:ascii="Aptos" w:hAnsi="Aptos"/>
          <w:color w:val="17263C"/>
        </w:rPr>
        <w:t>La mise en œuvre doit progresser de la facturation vers la pré-comptabilité, puis vers la comptabilité complète. Les règles réglementaires sont isolées, versionnées et accompagnées de jeux de tests de référence.</w:t>
      </w:r>
    </w:p>
    <w:p>
      <w:pPr>
        <w:pStyle w:val="Heading2"/>
        <w:spacing w:before="160" w:after="60"/>
      </w:pPr>
      <w:r>
        <w:rPr>
          <w:rFonts w:ascii="Aptos" w:hAnsi="Aptos"/>
          <w:b/>
          <w:color w:val="17263C"/>
          <w:sz w:val="21"/>
        </w:rPr>
        <w:t>C01 — Facturation et avoirs</w:t>
      </w:r>
    </w:p>
    <w:p>
      <w:r>
        <w:rPr>
          <w:rFonts w:ascii="Aptos" w:hAnsi="Aptos"/>
          <w:color w:val="17263C"/>
        </w:rPr>
        <w:t>Émettre des factures conformes à partir d’un devis, d’une commande, d’une livraison, d’un projet ou d’un abonnement.</w:t>
      </w:r>
    </w:p>
    <w:p>
      <w:r>
        <w:rPr>
          <w:rFonts w:ascii="Aptos" w:hAnsi="Aptos"/>
          <w:b/>
          <w:color w:val="17263C"/>
        </w:rPr>
        <w:t xml:space="preserve">Dépendances : </w:t>
      </w:r>
      <w:r>
        <w:rPr>
          <w:rFonts w:ascii="Aptos" w:hAnsi="Aptos"/>
          <w:color w:val="17263C"/>
        </w:rPr>
        <w:t>F01, F04 à F10, F12, G01, G03 à G05, G12</w:t>
      </w:r>
    </w:p>
    <w:p>
      <w:r>
        <w:rPr>
          <w:rFonts w:ascii="Aptos" w:hAnsi="Aptos"/>
          <w:b/>
          <w:color w:val="17263C"/>
        </w:rPr>
        <w:t xml:space="preserve">Modèles : </w:t>
      </w:r>
      <w:r>
        <w:rPr>
          <w:rFonts w:ascii="Aptos" w:hAnsi="Aptos"/>
          <w:color w:val="17263C"/>
        </w:rPr>
        <w:t>Invoice, InvoiceLine, InvoiceTaxSummary, InvoiceSchedule, CreditNote, CreditNoteLine, InvoiceStatusEvent, InvoiceAttachment, InvoiceSnapshot</w:t>
      </w:r>
    </w:p>
    <w:p>
      <w:r>
        <w:rPr>
          <w:rFonts w:ascii="Aptos" w:hAnsi="Aptos"/>
          <w:b/>
          <w:color w:val="17263C"/>
        </w:rPr>
        <w:t xml:space="preserve">Interfaces : </w:t>
      </w:r>
      <w:r>
        <w:rPr>
          <w:rFonts w:ascii="Aptos" w:hAnsi="Aptos"/>
          <w:color w:val="17263C"/>
        </w:rPr>
        <w:t>éditeur; aperçu; émission; cycle de vie; avoir; échéancier</w:t>
      </w:r>
    </w:p>
    <w:p>
      <w:r>
        <w:rPr>
          <w:rFonts w:ascii="Aptos" w:hAnsi="Aptos"/>
          <w:b/>
          <w:color w:val="17263C"/>
        </w:rPr>
        <w:t xml:space="preserve">Services et règles : </w:t>
      </w:r>
      <w:r>
        <w:rPr>
          <w:rFonts w:ascii="Aptos" w:hAnsi="Aptos"/>
          <w:color w:val="17263C"/>
        </w:rPr>
        <w:t>brouillon modifiable puis émission irréversible; séquence chronologique continue; snapshots vendeur/acheteur/lignes; taxes et arrondis centralisés; correction par avoir; PDF et données structurées cohérents</w:t>
      </w:r>
    </w:p>
    <w:p>
      <w:r>
        <w:rPr>
          <w:rFonts w:ascii="Aptos" w:hAnsi="Aptos"/>
          <w:b/>
          <w:color w:val="17263C"/>
        </w:rPr>
        <w:t xml:space="preserve">Critères d’acceptation : </w:t>
      </w:r>
      <w:r>
        <w:rPr>
          <w:rFonts w:ascii="Aptos" w:hAnsi="Aptos"/>
          <w:color w:val="17263C"/>
        </w:rPr>
        <w:t>totaux exacts et testés; aucune suppression après émission; mentions conditionnelles; conversion idempotente; preuve de transmission</w:t>
      </w:r>
    </w:p>
    <w:p>
      <w:pPr>
        <w:pStyle w:val="Heading2"/>
        <w:spacing w:before="160" w:after="60"/>
      </w:pPr>
      <w:r>
        <w:rPr>
          <w:rFonts w:ascii="Aptos" w:hAnsi="Aptos"/>
          <w:b/>
          <w:color w:val="17263C"/>
          <w:sz w:val="21"/>
        </w:rPr>
        <w:t>C02 — Paiements, encaissements et remboursements</w:t>
      </w:r>
    </w:p>
    <w:p>
      <w:r>
        <w:rPr>
          <w:rFonts w:ascii="Aptos" w:hAnsi="Aptos"/>
          <w:color w:val="17263C"/>
        </w:rPr>
        <w:t>Enregistrer les mouvements de règlement et les affecter aux créances ou dettes concernées.</w:t>
      </w:r>
    </w:p>
    <w:p>
      <w:r>
        <w:rPr>
          <w:rFonts w:ascii="Aptos" w:hAnsi="Aptos"/>
          <w:b/>
          <w:color w:val="17263C"/>
        </w:rPr>
        <w:t xml:space="preserve">Dépendances : </w:t>
      </w:r>
      <w:r>
        <w:rPr>
          <w:rFonts w:ascii="Aptos" w:hAnsi="Aptos"/>
          <w:color w:val="17263C"/>
        </w:rPr>
        <w:t>F01, F04, F10, C01</w:t>
      </w:r>
    </w:p>
    <w:p>
      <w:r>
        <w:rPr>
          <w:rFonts w:ascii="Aptos" w:hAnsi="Aptos"/>
          <w:b/>
          <w:color w:val="17263C"/>
        </w:rPr>
        <w:t xml:space="preserve">Modèles : </w:t>
      </w:r>
      <w:r>
        <w:rPr>
          <w:rFonts w:ascii="Aptos" w:hAnsi="Aptos"/>
          <w:color w:val="17263C"/>
        </w:rPr>
        <w:t>Payment, PaymentAllocation, PaymentMethod, PaymentProviderReference, Deposit, Refund, Receipt, UnidentifiedPayment</w:t>
      </w:r>
    </w:p>
    <w:p>
      <w:r>
        <w:rPr>
          <w:rFonts w:ascii="Aptos" w:hAnsi="Aptos"/>
          <w:b/>
          <w:color w:val="17263C"/>
        </w:rPr>
        <w:t xml:space="preserve">Interfaces : </w:t>
      </w:r>
      <w:r>
        <w:rPr>
          <w:rFonts w:ascii="Aptos" w:hAnsi="Aptos"/>
          <w:color w:val="17263C"/>
        </w:rPr>
        <w:t>encaissement; affectation; paiement partiel; remboursement; paiements non identifiés</w:t>
      </w:r>
    </w:p>
    <w:p>
      <w:r>
        <w:rPr>
          <w:rFonts w:ascii="Aptos" w:hAnsi="Aptos"/>
          <w:b/>
          <w:color w:val="17263C"/>
        </w:rPr>
        <w:t xml:space="preserve">Services et règles : </w:t>
      </w:r>
      <w:r>
        <w:rPr>
          <w:rFonts w:ascii="Aptos" w:hAnsi="Aptos"/>
          <w:color w:val="17263C"/>
        </w:rPr>
        <w:t>montant affecté plafonné; devise cohérente ou conversion documentée; idempotence des webhooks; remboursement relié au paiement; reçu non assimilé à une facture</w:t>
      </w:r>
    </w:p>
    <w:p>
      <w:r>
        <w:rPr>
          <w:rFonts w:ascii="Aptos" w:hAnsi="Aptos"/>
          <w:b/>
          <w:color w:val="17263C"/>
        </w:rPr>
        <w:t xml:space="preserve">Critères d’acceptation : </w:t>
      </w:r>
      <w:r>
        <w:rPr>
          <w:rFonts w:ascii="Aptos" w:hAnsi="Aptos"/>
          <w:color w:val="17263C"/>
        </w:rPr>
        <w:t>solde de facture juste; paiement double détecté; annulation par mouvement inverse; preuve du fournisseur conservée</w:t>
      </w:r>
    </w:p>
    <w:p>
      <w:pPr>
        <w:pStyle w:val="Heading2"/>
        <w:spacing w:before="160" w:after="60"/>
      </w:pPr>
      <w:r>
        <w:rPr>
          <w:rFonts w:ascii="Aptos" w:hAnsi="Aptos"/>
          <w:b/>
          <w:color w:val="17263C"/>
          <w:sz w:val="21"/>
        </w:rPr>
        <w:t>C03 — Créances, échéances et recouvrement</w:t>
      </w:r>
    </w:p>
    <w:p>
      <w:r>
        <w:rPr>
          <w:rFonts w:ascii="Aptos" w:hAnsi="Aptos"/>
          <w:color w:val="17263C"/>
        </w:rPr>
        <w:t>Suivre les montants dus, retards, promesses et actions de recouvrement.</w:t>
      </w:r>
    </w:p>
    <w:p>
      <w:r>
        <w:rPr>
          <w:rFonts w:ascii="Aptos" w:hAnsi="Aptos"/>
          <w:b/>
          <w:color w:val="17263C"/>
        </w:rPr>
        <w:t xml:space="preserve">Dépendances : </w:t>
      </w:r>
      <w:r>
        <w:rPr>
          <w:rFonts w:ascii="Aptos" w:hAnsi="Aptos"/>
          <w:color w:val="17263C"/>
        </w:rPr>
        <w:t>C01, C02, F05, F07, G01</w:t>
      </w:r>
    </w:p>
    <w:p>
      <w:r>
        <w:rPr>
          <w:rFonts w:ascii="Aptos" w:hAnsi="Aptos"/>
          <w:b/>
          <w:color w:val="17263C"/>
        </w:rPr>
        <w:t xml:space="preserve">Modèles : </w:t>
      </w:r>
      <w:r>
        <w:rPr>
          <w:rFonts w:ascii="Aptos" w:hAnsi="Aptos"/>
          <w:color w:val="17263C"/>
        </w:rPr>
        <w:t>Receivable, DueDate, ReminderPolicy, Reminder, PaymentPromise, Dispute, CollectionCase, AgingSnapshot</w:t>
      </w:r>
    </w:p>
    <w:p>
      <w:r>
        <w:rPr>
          <w:rFonts w:ascii="Aptos" w:hAnsi="Aptos"/>
          <w:b/>
          <w:color w:val="17263C"/>
        </w:rPr>
        <w:t xml:space="preserve">Interfaces : </w:t>
      </w:r>
      <w:r>
        <w:rPr>
          <w:rFonts w:ascii="Aptos" w:hAnsi="Aptos"/>
          <w:color w:val="17263C"/>
        </w:rPr>
        <w:t>balance âgée; impayés; relances; promesses; litiges</w:t>
      </w:r>
    </w:p>
    <w:p>
      <w:r>
        <w:rPr>
          <w:rFonts w:ascii="Aptos" w:hAnsi="Aptos"/>
          <w:b/>
          <w:color w:val="17263C"/>
        </w:rPr>
        <w:t xml:space="preserve">Services et règles : </w:t>
      </w:r>
      <w:r>
        <w:rPr>
          <w:rFonts w:ascii="Aptos" w:hAnsi="Aptos"/>
          <w:color w:val="17263C"/>
        </w:rPr>
        <w:t>échéance issue du document; niveaux de relance; suspension en cas de litige; communication historisée; pénalités calculées séparément</w:t>
      </w:r>
    </w:p>
    <w:p>
      <w:r>
        <w:rPr>
          <w:rFonts w:ascii="Aptos" w:hAnsi="Aptos"/>
          <w:b/>
          <w:color w:val="17263C"/>
        </w:rPr>
        <w:t xml:space="preserve">Critères d’acceptation : </w:t>
      </w:r>
      <w:r>
        <w:rPr>
          <w:rFonts w:ascii="Aptos" w:hAnsi="Aptos"/>
          <w:color w:val="17263C"/>
        </w:rPr>
        <w:t>tranches d’âge reproductibles; facture réglée retirée des relances; relance automatique jamais envoyée à un dossier suspendu</w:t>
      </w:r>
    </w:p>
    <w:p>
      <w:pPr>
        <w:pStyle w:val="Heading2"/>
        <w:spacing w:before="160" w:after="60"/>
      </w:pPr>
      <w:r>
        <w:rPr>
          <w:rFonts w:ascii="Aptos" w:hAnsi="Aptos"/>
          <w:b/>
          <w:color w:val="17263C"/>
          <w:sz w:val="21"/>
        </w:rPr>
        <w:t>C04 — Dépenses et notes de frais</w:t>
      </w:r>
    </w:p>
    <w:p>
      <w:r>
        <w:rPr>
          <w:rFonts w:ascii="Aptos" w:hAnsi="Aptos"/>
          <w:color w:val="17263C"/>
        </w:rPr>
        <w:t>Saisir, justifier, approuver, rembourser et ventiler les dépenses engagées.</w:t>
      </w:r>
    </w:p>
    <w:p>
      <w:r>
        <w:rPr>
          <w:rFonts w:ascii="Aptos" w:hAnsi="Aptos"/>
          <w:b/>
          <w:color w:val="17263C"/>
        </w:rPr>
        <w:t xml:space="preserve">Dépendances : </w:t>
      </w:r>
      <w:r>
        <w:rPr>
          <w:rFonts w:ascii="Aptos" w:hAnsi="Aptos"/>
          <w:color w:val="17263C"/>
        </w:rPr>
        <w:t>F01 à F07, F10, F11, P04, C10</w:t>
      </w:r>
    </w:p>
    <w:p>
      <w:r>
        <w:rPr>
          <w:rFonts w:ascii="Aptos" w:hAnsi="Aptos"/>
          <w:b/>
          <w:color w:val="17263C"/>
        </w:rPr>
        <w:t xml:space="preserve">Modèles : </w:t>
      </w:r>
      <w:r>
        <w:rPr>
          <w:rFonts w:ascii="Aptos" w:hAnsi="Aptos"/>
          <w:color w:val="17263C"/>
        </w:rPr>
        <w:t>Expense, ExpenseLine, ExpenseCategory, ExpenseReport, Receipt, MileageExpense, ExpenseApproval, ExpenseReimbursement</w:t>
      </w:r>
    </w:p>
    <w:p>
      <w:r>
        <w:rPr>
          <w:rFonts w:ascii="Aptos" w:hAnsi="Aptos"/>
          <w:b/>
          <w:color w:val="17263C"/>
        </w:rPr>
        <w:t xml:space="preserve">Interfaces : </w:t>
      </w:r>
      <w:r>
        <w:rPr>
          <w:rFonts w:ascii="Aptos" w:hAnsi="Aptos"/>
          <w:color w:val="17263C"/>
        </w:rPr>
        <w:t>saisie mobile; justificatif; note de frais; validation; remboursement</w:t>
      </w:r>
    </w:p>
    <w:p>
      <w:r>
        <w:rPr>
          <w:rFonts w:ascii="Aptos" w:hAnsi="Aptos"/>
          <w:b/>
          <w:color w:val="17263C"/>
        </w:rPr>
        <w:t xml:space="preserve">Services et règles : </w:t>
      </w:r>
      <w:r>
        <w:rPr>
          <w:rFonts w:ascii="Aptos" w:hAnsi="Aptos"/>
          <w:color w:val="17263C"/>
        </w:rPr>
        <w:t>justificatif selon seuil; détection de doublon; barèmes datés; ventilation analytique; séparation approbateur/bénéficiaire</w:t>
      </w:r>
    </w:p>
    <w:p>
      <w:r>
        <w:rPr>
          <w:rFonts w:ascii="Aptos" w:hAnsi="Aptos"/>
          <w:b/>
          <w:color w:val="17263C"/>
        </w:rPr>
        <w:t xml:space="preserve">Critères d’acceptation : </w:t>
      </w:r>
      <w:r>
        <w:rPr>
          <w:rFonts w:ascii="Aptos" w:hAnsi="Aptos"/>
          <w:color w:val="17263C"/>
        </w:rPr>
        <w:t>dépense non remboursée deux fois; TVA récupérable contrôlée; export comptable et analytique équilibré</w:t>
      </w:r>
    </w:p>
    <w:p>
      <w:pPr>
        <w:pStyle w:val="Heading2"/>
        <w:spacing w:before="160" w:after="60"/>
      </w:pPr>
      <w:r>
        <w:rPr>
          <w:rFonts w:ascii="Aptos" w:hAnsi="Aptos"/>
          <w:b/>
          <w:color w:val="17263C"/>
          <w:sz w:val="21"/>
        </w:rPr>
        <w:t>C05 — Factures fournisseurs et dettes</w:t>
      </w:r>
    </w:p>
    <w:p>
      <w:r>
        <w:rPr>
          <w:rFonts w:ascii="Aptos" w:hAnsi="Aptos"/>
          <w:color w:val="17263C"/>
        </w:rPr>
        <w:t>Enregistrer, contrôler et préparer le règlement des factures et avoirs fournisseurs.</w:t>
      </w:r>
    </w:p>
    <w:p>
      <w:r>
        <w:rPr>
          <w:rFonts w:ascii="Aptos" w:hAnsi="Aptos"/>
          <w:b/>
          <w:color w:val="17263C"/>
        </w:rPr>
        <w:t xml:space="preserve">Dépendances : </w:t>
      </w:r>
      <w:r>
        <w:rPr>
          <w:rFonts w:ascii="Aptos" w:hAnsi="Aptos"/>
          <w:color w:val="17263C"/>
        </w:rPr>
        <w:t>G01, G06, F04 à F06, F10, C02, C10</w:t>
      </w:r>
    </w:p>
    <w:p>
      <w:r>
        <w:rPr>
          <w:rFonts w:ascii="Aptos" w:hAnsi="Aptos"/>
          <w:b/>
          <w:color w:val="17263C"/>
        </w:rPr>
        <w:t xml:space="preserve">Modèles : </w:t>
      </w:r>
      <w:r>
        <w:rPr>
          <w:rFonts w:ascii="Aptos" w:hAnsi="Aptos"/>
          <w:color w:val="17263C"/>
        </w:rPr>
        <w:t>SupplierInvoice, SupplierInvoiceLine, SupplierCreditNote, InvoiceMatch, Payable, SupplierDispute, PaymentProposal</w:t>
      </w:r>
    </w:p>
    <w:p>
      <w:r>
        <w:rPr>
          <w:rFonts w:ascii="Aptos" w:hAnsi="Aptos"/>
          <w:b/>
          <w:color w:val="17263C"/>
        </w:rPr>
        <w:t xml:space="preserve">Interfaces : </w:t>
      </w:r>
      <w:r>
        <w:rPr>
          <w:rFonts w:ascii="Aptos" w:hAnsi="Aptos"/>
          <w:color w:val="17263C"/>
        </w:rPr>
        <w:t>boîte de réception; saisie; rapprochement trois voies; échéances; proposition de paiement</w:t>
      </w:r>
    </w:p>
    <w:p>
      <w:r>
        <w:rPr>
          <w:rFonts w:ascii="Aptos" w:hAnsi="Aptos"/>
          <w:b/>
          <w:color w:val="17263C"/>
        </w:rPr>
        <w:t xml:space="preserve">Services et règles : </w:t>
      </w:r>
      <w:r>
        <w:rPr>
          <w:rFonts w:ascii="Aptos" w:hAnsi="Aptos"/>
          <w:color w:val="17263C"/>
        </w:rPr>
        <w:t>unicité fournisseur/référence/date; commande-réception-facture; blocage des écarts; validation avant paiement; avoir affectable</w:t>
      </w:r>
    </w:p>
    <w:p>
      <w:r>
        <w:rPr>
          <w:rFonts w:ascii="Aptos" w:hAnsi="Aptos"/>
          <w:b/>
          <w:color w:val="17263C"/>
        </w:rPr>
        <w:t xml:space="preserve">Critères d’acceptation : </w:t>
      </w:r>
      <w:r>
        <w:rPr>
          <w:rFonts w:ascii="Aptos" w:hAnsi="Aptos"/>
          <w:color w:val="17263C"/>
        </w:rPr>
        <w:t>doublon détecté; écarts quantité/prix visibles; paiement proposé uniquement pour dette validée et non bloquée</w:t>
      </w:r>
    </w:p>
    <w:p>
      <w:pPr>
        <w:pStyle w:val="Heading2"/>
        <w:spacing w:before="160" w:after="60"/>
      </w:pPr>
      <w:r>
        <w:rPr>
          <w:rFonts w:ascii="Aptos" w:hAnsi="Aptos"/>
          <w:b/>
          <w:color w:val="17263C"/>
          <w:sz w:val="21"/>
        </w:rPr>
        <w:t>C06 — Banque et rapprochement</w:t>
      </w:r>
    </w:p>
    <w:p>
      <w:r>
        <w:rPr>
          <w:rFonts w:ascii="Aptos" w:hAnsi="Aptos"/>
          <w:color w:val="17263C"/>
        </w:rPr>
        <w:t>Importer les relevés, catégoriser les transactions et rapprocher banque, paiements et écritures.</w:t>
      </w:r>
    </w:p>
    <w:p>
      <w:r>
        <w:rPr>
          <w:rFonts w:ascii="Aptos" w:hAnsi="Aptos"/>
          <w:b/>
          <w:color w:val="17263C"/>
        </w:rPr>
        <w:t xml:space="preserve">Dépendances : </w:t>
      </w:r>
      <w:r>
        <w:rPr>
          <w:rFonts w:ascii="Aptos" w:hAnsi="Aptos"/>
          <w:color w:val="17263C"/>
        </w:rPr>
        <w:t>F01, F03, F04, F10, F11, C02 à C05</w:t>
      </w:r>
    </w:p>
    <w:p>
      <w:r>
        <w:rPr>
          <w:rFonts w:ascii="Aptos" w:hAnsi="Aptos"/>
          <w:b/>
          <w:color w:val="17263C"/>
        </w:rPr>
        <w:t xml:space="preserve">Modèles : </w:t>
      </w:r>
      <w:r>
        <w:rPr>
          <w:rFonts w:ascii="Aptos" w:hAnsi="Aptos"/>
          <w:color w:val="17263C"/>
        </w:rPr>
        <w:t>FinancialAccount, BankStatement, BankTransaction, TransactionMatch, Reconciliation, ReconciliationRule, InternalTransfer</w:t>
      </w:r>
    </w:p>
    <w:p>
      <w:r>
        <w:rPr>
          <w:rFonts w:ascii="Aptos" w:hAnsi="Aptos"/>
          <w:b/>
          <w:color w:val="17263C"/>
        </w:rPr>
        <w:t xml:space="preserve">Interfaces : </w:t>
      </w:r>
      <w:r>
        <w:rPr>
          <w:rFonts w:ascii="Aptos" w:hAnsi="Aptos"/>
          <w:color w:val="17263C"/>
        </w:rPr>
        <w:t>relevé; transactions; suggestions de rapprochement; écarts; règles</w:t>
      </w:r>
    </w:p>
    <w:p>
      <w:r>
        <w:rPr>
          <w:rFonts w:ascii="Aptos" w:hAnsi="Aptos"/>
          <w:b/>
          <w:color w:val="17263C"/>
        </w:rPr>
        <w:t xml:space="preserve">Services et règles : </w:t>
      </w:r>
      <w:r>
        <w:rPr>
          <w:rFonts w:ascii="Aptos" w:hAnsi="Aptos"/>
          <w:color w:val="17263C"/>
        </w:rPr>
        <w:t>import idempotent; solde d’ouverture/fermeture; rapprochement un-à-plusieurs; validation manuelle des suggestions; virement interne miroir</w:t>
      </w:r>
    </w:p>
    <w:p>
      <w:r>
        <w:rPr>
          <w:rFonts w:ascii="Aptos" w:hAnsi="Aptos"/>
          <w:b/>
          <w:color w:val="17263C"/>
        </w:rPr>
        <w:t xml:space="preserve">Critères d’acceptation : </w:t>
      </w:r>
      <w:r>
        <w:rPr>
          <w:rFonts w:ascii="Aptos" w:hAnsi="Aptos"/>
          <w:color w:val="17263C"/>
        </w:rPr>
        <w:t>relevé réimporté sans doublon; écart de solde nul pour clôturer; dérapprochement autorisé et audité selon période</w:t>
      </w:r>
    </w:p>
    <w:p>
      <w:pPr>
        <w:pStyle w:val="Heading2"/>
        <w:spacing w:before="160" w:after="60"/>
      </w:pPr>
      <w:r>
        <w:rPr>
          <w:rFonts w:ascii="Aptos" w:hAnsi="Aptos"/>
          <w:b/>
          <w:color w:val="17263C"/>
          <w:sz w:val="21"/>
        </w:rPr>
        <w:t>C07 — Pré-comptabilité et espace comptable</w:t>
      </w:r>
    </w:p>
    <w:p>
      <w:r>
        <w:rPr>
          <w:rFonts w:ascii="Aptos" w:hAnsi="Aptos"/>
          <w:color w:val="17263C"/>
        </w:rPr>
        <w:t>Préparer des données et pièces propres pour un cabinet ou un moteur comptable sans obliger le client à tenir toute sa comptabilité dans l’outil.</w:t>
      </w:r>
    </w:p>
    <w:p>
      <w:r>
        <w:rPr>
          <w:rFonts w:ascii="Aptos" w:hAnsi="Aptos"/>
          <w:b/>
          <w:color w:val="17263C"/>
        </w:rPr>
        <w:t xml:space="preserve">Dépendances : </w:t>
      </w:r>
      <w:r>
        <w:rPr>
          <w:rFonts w:ascii="Aptos" w:hAnsi="Aptos"/>
          <w:color w:val="17263C"/>
        </w:rPr>
        <w:t>F01 à F07, F10, F11, C01 à C06, C10</w:t>
      </w:r>
    </w:p>
    <w:p>
      <w:r>
        <w:rPr>
          <w:rFonts w:ascii="Aptos" w:hAnsi="Aptos"/>
          <w:b/>
          <w:color w:val="17263C"/>
        </w:rPr>
        <w:t xml:space="preserve">Modèles : </w:t>
      </w:r>
      <w:r>
        <w:rPr>
          <w:rFonts w:ascii="Aptos" w:hAnsi="Aptos"/>
          <w:color w:val="17263C"/>
        </w:rPr>
        <w:t>AccountingMapping, PreAccountingItem, SupportingDocumentCheck, TransmissionBatch, AccountantComment, PeriodTransmission, ExportProfile</w:t>
      </w:r>
    </w:p>
    <w:p>
      <w:r>
        <w:rPr>
          <w:rFonts w:ascii="Aptos" w:hAnsi="Aptos"/>
          <w:b/>
          <w:color w:val="17263C"/>
        </w:rPr>
        <w:t xml:space="preserve">Interfaces : </w:t>
      </w:r>
      <w:r>
        <w:rPr>
          <w:rFonts w:ascii="Aptos" w:hAnsi="Aptos"/>
          <w:color w:val="17263C"/>
        </w:rPr>
        <w:t>inbox comptable; pièces manquantes; affectations; lot de transmission; portail comptable</w:t>
      </w:r>
    </w:p>
    <w:p>
      <w:r>
        <w:rPr>
          <w:rFonts w:ascii="Aptos" w:hAnsi="Aptos"/>
          <w:b/>
          <w:color w:val="17263C"/>
        </w:rPr>
        <w:t xml:space="preserve">Services et règles : </w:t>
      </w:r>
      <w:r>
        <w:rPr>
          <w:rFonts w:ascii="Aptos" w:hAnsi="Aptos"/>
          <w:color w:val="17263C"/>
        </w:rPr>
        <w:t>période transmise verrouillable; mappings datés; commentaires avec résolution; export et pièces liés; correction par nouveau lot</w:t>
      </w:r>
    </w:p>
    <w:p>
      <w:r>
        <w:rPr>
          <w:rFonts w:ascii="Aptos" w:hAnsi="Aptos"/>
          <w:b/>
          <w:color w:val="17263C"/>
        </w:rPr>
        <w:t xml:space="preserve">Critères d’acceptation : </w:t>
      </w:r>
      <w:r>
        <w:rPr>
          <w:rFonts w:ascii="Aptos" w:hAnsi="Aptos"/>
          <w:color w:val="17263C"/>
        </w:rPr>
        <w:t>chaque ligne exportée a sa source; lot reproductible; accès du cabinet limité; aucune pièce manquante non signalée</w:t>
      </w:r>
    </w:p>
    <w:p>
      <w:pPr>
        <w:pStyle w:val="Heading2"/>
        <w:spacing w:before="160" w:after="60"/>
      </w:pPr>
      <w:r>
        <w:rPr>
          <w:rFonts w:ascii="Aptos" w:hAnsi="Aptos"/>
          <w:b/>
          <w:color w:val="17263C"/>
          <w:sz w:val="21"/>
        </w:rPr>
        <w:t>C08 — Comptabilité générale</w:t>
      </w:r>
    </w:p>
    <w:p>
      <w:r>
        <w:rPr>
          <w:rFonts w:ascii="Aptos" w:hAnsi="Aptos"/>
          <w:color w:val="17263C"/>
        </w:rPr>
        <w:t>Tenir les journaux et écritures en partie double avec périodes, validation et états de base.</w:t>
      </w:r>
    </w:p>
    <w:p>
      <w:r>
        <w:rPr>
          <w:rFonts w:ascii="Aptos" w:hAnsi="Aptos"/>
          <w:b/>
          <w:color w:val="17263C"/>
        </w:rPr>
        <w:t xml:space="preserve">Dépendances : </w:t>
      </w:r>
      <w:r>
        <w:rPr>
          <w:rFonts w:ascii="Aptos" w:hAnsi="Aptos"/>
          <w:color w:val="17263C"/>
        </w:rPr>
        <w:t>F01, F03, F04, F09, F10, C07</w:t>
      </w:r>
    </w:p>
    <w:p>
      <w:r>
        <w:rPr>
          <w:rFonts w:ascii="Aptos" w:hAnsi="Aptos"/>
          <w:b/>
          <w:color w:val="17263C"/>
        </w:rPr>
        <w:t xml:space="preserve">Modèles : </w:t>
      </w:r>
      <w:r>
        <w:rPr>
          <w:rFonts w:ascii="Aptos" w:hAnsi="Aptos"/>
          <w:color w:val="17263C"/>
        </w:rPr>
        <w:t>ChartOfAccounts, Account, FiscalYear, AccountingPeriod, Journal, JournalEntry, JournalEntryLine, EntrySequence, AccountingLock, Reversal</w:t>
      </w:r>
    </w:p>
    <w:p>
      <w:r>
        <w:rPr>
          <w:rFonts w:ascii="Aptos" w:hAnsi="Aptos"/>
          <w:b/>
          <w:color w:val="17263C"/>
        </w:rPr>
        <w:t xml:space="preserve">Interfaces : </w:t>
      </w:r>
      <w:r>
        <w:rPr>
          <w:rFonts w:ascii="Aptos" w:hAnsi="Aptos"/>
          <w:color w:val="17263C"/>
        </w:rPr>
        <w:t>plan comptable; journaux; saisie d’écriture; brouillard; grand livre; balance</w:t>
      </w:r>
    </w:p>
    <w:p>
      <w:r>
        <w:rPr>
          <w:rFonts w:ascii="Aptos" w:hAnsi="Aptos"/>
          <w:b/>
          <w:color w:val="17263C"/>
        </w:rPr>
        <w:t xml:space="preserve">Services et règles : </w:t>
      </w:r>
      <w:r>
        <w:rPr>
          <w:rFonts w:ascii="Aptos" w:hAnsi="Aptos"/>
          <w:color w:val="17263C"/>
        </w:rPr>
        <w:t>débit égal crédit; écriture brouillon puis validée; numérotation chronologique; période ouverte; validation immuable; correction par contrepassation</w:t>
      </w:r>
    </w:p>
    <w:p>
      <w:r>
        <w:rPr>
          <w:rFonts w:ascii="Aptos" w:hAnsi="Aptos"/>
          <w:b/>
          <w:color w:val="17263C"/>
        </w:rPr>
        <w:t xml:space="preserve">Critères d’acceptation : </w:t>
      </w:r>
      <w:r>
        <w:rPr>
          <w:rFonts w:ascii="Aptos" w:hAnsi="Aptos"/>
          <w:color w:val="17263C"/>
        </w:rPr>
        <w:t>contrainte d’équilibre testée; aucune édition d’écriture validée; grand livre et balance réconciliés; concurrence sur numéro testée</w:t>
      </w:r>
    </w:p>
    <w:p>
      <w:pPr>
        <w:pStyle w:val="Heading2"/>
        <w:spacing w:before="160" w:after="60"/>
      </w:pPr>
      <w:r>
        <w:rPr>
          <w:rFonts w:ascii="Aptos" w:hAnsi="Aptos"/>
          <w:b/>
          <w:color w:val="17263C"/>
          <w:sz w:val="21"/>
        </w:rPr>
        <w:t>C09 — Comptes auxiliaires et lettrage</w:t>
      </w:r>
    </w:p>
    <w:p>
      <w:r>
        <w:rPr>
          <w:rFonts w:ascii="Aptos" w:hAnsi="Aptos"/>
          <w:color w:val="17263C"/>
        </w:rPr>
        <w:t>Suivre les postes ouverts clients et fournisseurs et rapprocher règlements, factures et avoirs.</w:t>
      </w:r>
    </w:p>
    <w:p>
      <w:r>
        <w:rPr>
          <w:rFonts w:ascii="Aptos" w:hAnsi="Aptos"/>
          <w:b/>
          <w:color w:val="17263C"/>
        </w:rPr>
        <w:t xml:space="preserve">Dépendances : </w:t>
      </w:r>
      <w:r>
        <w:rPr>
          <w:rFonts w:ascii="Aptos" w:hAnsi="Aptos"/>
          <w:color w:val="17263C"/>
        </w:rPr>
        <w:t>C01, C02, C05, C08, G01</w:t>
      </w:r>
    </w:p>
    <w:p>
      <w:r>
        <w:rPr>
          <w:rFonts w:ascii="Aptos" w:hAnsi="Aptos"/>
          <w:b/>
          <w:color w:val="17263C"/>
        </w:rPr>
        <w:t xml:space="preserve">Modèles : </w:t>
      </w:r>
      <w:r>
        <w:rPr>
          <w:rFonts w:ascii="Aptos" w:hAnsi="Aptos"/>
          <w:color w:val="17263C"/>
        </w:rPr>
        <w:t>SubledgerAccount, OpenItem, Settlement, SettlementLine, LetteringGroup, PaymentDifference, WriteOff</w:t>
      </w:r>
    </w:p>
    <w:p>
      <w:r>
        <w:rPr>
          <w:rFonts w:ascii="Aptos" w:hAnsi="Aptos"/>
          <w:b/>
          <w:color w:val="17263C"/>
        </w:rPr>
        <w:t xml:space="preserve">Interfaces : </w:t>
      </w:r>
      <w:r>
        <w:rPr>
          <w:rFonts w:ascii="Aptos" w:hAnsi="Aptos"/>
          <w:color w:val="17263C"/>
        </w:rPr>
        <w:t>balance auxiliaire; postes ouverts; lettrage; écarts; historique</w:t>
      </w:r>
    </w:p>
    <w:p>
      <w:r>
        <w:rPr>
          <w:rFonts w:ascii="Aptos" w:hAnsi="Aptos"/>
          <w:b/>
          <w:color w:val="17263C"/>
        </w:rPr>
        <w:t xml:space="preserve">Services et règles : </w:t>
      </w:r>
      <w:r>
        <w:rPr>
          <w:rFonts w:ascii="Aptos" w:hAnsi="Aptos"/>
          <w:color w:val="17263C"/>
        </w:rPr>
        <w:t>lettrage total ou partiel; aucun dépassement; écart justifié; délettrage contrôlé; lien vers les pièces</w:t>
      </w:r>
    </w:p>
    <w:p>
      <w:r>
        <w:rPr>
          <w:rFonts w:ascii="Aptos" w:hAnsi="Aptos"/>
          <w:b/>
          <w:color w:val="17263C"/>
        </w:rPr>
        <w:t xml:space="preserve">Critères d’acceptation : </w:t>
      </w:r>
      <w:r>
        <w:rPr>
          <w:rFonts w:ascii="Aptos" w:hAnsi="Aptos"/>
          <w:color w:val="17263C"/>
        </w:rPr>
        <w:t>solde auxiliaire égal au compte collectif; lettrage reproductible; paiement partiel correctement suivi</w:t>
      </w:r>
    </w:p>
    <w:p>
      <w:pPr>
        <w:pStyle w:val="Heading2"/>
        <w:spacing w:before="160" w:after="60"/>
      </w:pPr>
      <w:r>
        <w:rPr>
          <w:rFonts w:ascii="Aptos" w:hAnsi="Aptos"/>
          <w:b/>
          <w:color w:val="17263C"/>
          <w:sz w:val="21"/>
        </w:rPr>
        <w:t>C10 — Comptabilité analytique</w:t>
      </w:r>
    </w:p>
    <w:p>
      <w:r>
        <w:rPr>
          <w:rFonts w:ascii="Aptos" w:hAnsi="Aptos"/>
          <w:color w:val="17263C"/>
        </w:rPr>
        <w:t>Ventiler produits et charges sur des axes configurables pour analyser activités, projets et centres.</w:t>
      </w:r>
    </w:p>
    <w:p>
      <w:r>
        <w:rPr>
          <w:rFonts w:ascii="Aptos" w:hAnsi="Aptos"/>
          <w:b/>
          <w:color w:val="17263C"/>
        </w:rPr>
        <w:t xml:space="preserve">Dépendances : </w:t>
      </w:r>
      <w:r>
        <w:rPr>
          <w:rFonts w:ascii="Aptos" w:hAnsi="Aptos"/>
          <w:color w:val="17263C"/>
        </w:rPr>
        <w:t>F01, F10, C08</w:t>
      </w:r>
    </w:p>
    <w:p>
      <w:r>
        <w:rPr>
          <w:rFonts w:ascii="Aptos" w:hAnsi="Aptos"/>
          <w:b/>
          <w:color w:val="17263C"/>
        </w:rPr>
        <w:t xml:space="preserve">Modèles : </w:t>
      </w:r>
      <w:r>
        <w:rPr>
          <w:rFonts w:ascii="Aptos" w:hAnsi="Aptos"/>
          <w:color w:val="17263C"/>
        </w:rPr>
        <w:t>AnalyticAxis, AnalyticDimension, AnalyticAccount, AnalyticEntry, AnalyticAllocation, AllocationRule, AllocationTemplate</w:t>
      </w:r>
    </w:p>
    <w:p>
      <w:r>
        <w:rPr>
          <w:rFonts w:ascii="Aptos" w:hAnsi="Aptos"/>
          <w:b/>
          <w:color w:val="17263C"/>
        </w:rPr>
        <w:t xml:space="preserve">Interfaces : </w:t>
      </w:r>
      <w:r>
        <w:rPr>
          <w:rFonts w:ascii="Aptos" w:hAnsi="Aptos"/>
          <w:color w:val="17263C"/>
        </w:rPr>
        <w:t>axes; plans analytiques; ventilation; contrôle des non-affectés; résultat analytique</w:t>
      </w:r>
    </w:p>
    <w:p>
      <w:r>
        <w:rPr>
          <w:rFonts w:ascii="Aptos" w:hAnsi="Aptos"/>
          <w:b/>
          <w:color w:val="17263C"/>
        </w:rPr>
        <w:t xml:space="preserve">Services et règles : </w:t>
      </w:r>
      <w:r>
        <w:rPr>
          <w:rFonts w:ascii="Aptos" w:hAnsi="Aptos"/>
          <w:color w:val="17263C"/>
        </w:rPr>
        <w:t>axes obligatoires par compte ou journal; pourcentages totalisant 100 %; règles datées; ventilation indépendante du débit/crédit général</w:t>
      </w:r>
    </w:p>
    <w:p>
      <w:r>
        <w:rPr>
          <w:rFonts w:ascii="Aptos" w:hAnsi="Aptos"/>
          <w:b/>
          <w:color w:val="17263C"/>
        </w:rPr>
        <w:t xml:space="preserve">Critères d’acceptation : </w:t>
      </w:r>
      <w:r>
        <w:rPr>
          <w:rFonts w:ascii="Aptos" w:hAnsi="Aptos"/>
          <w:color w:val="17263C"/>
        </w:rPr>
        <w:t>total analytique rapproché à la comptabilité; non-affecté visible; réallocation historisée</w:t>
      </w:r>
    </w:p>
    <w:p>
      <w:pPr>
        <w:pStyle w:val="Heading2"/>
        <w:spacing w:before="160" w:after="60"/>
      </w:pPr>
      <w:r>
        <w:rPr>
          <w:rFonts w:ascii="Aptos" w:hAnsi="Aptos"/>
          <w:b/>
          <w:color w:val="17263C"/>
          <w:sz w:val="21"/>
        </w:rPr>
        <w:t>C11 — Taxes et TVA</w:t>
      </w:r>
    </w:p>
    <w:p>
      <w:r>
        <w:rPr>
          <w:rFonts w:ascii="Aptos" w:hAnsi="Aptos"/>
          <w:color w:val="17263C"/>
        </w:rPr>
        <w:t>Centraliser les règles de taxe, produire les bases de contrôle et préparer les déclarations.</w:t>
      </w:r>
    </w:p>
    <w:p>
      <w:r>
        <w:rPr>
          <w:rFonts w:ascii="Aptos" w:hAnsi="Aptos"/>
          <w:b/>
          <w:color w:val="17263C"/>
        </w:rPr>
        <w:t xml:space="preserve">Dépendances : </w:t>
      </w:r>
      <w:r>
        <w:rPr>
          <w:rFonts w:ascii="Aptos" w:hAnsi="Aptos"/>
          <w:color w:val="17263C"/>
        </w:rPr>
        <w:t>F10, C01, C04, C05, C08</w:t>
      </w:r>
    </w:p>
    <w:p>
      <w:r>
        <w:rPr>
          <w:rFonts w:ascii="Aptos" w:hAnsi="Aptos"/>
          <w:b/>
          <w:color w:val="17263C"/>
        </w:rPr>
        <w:t xml:space="preserve">Modèles : </w:t>
      </w:r>
      <w:r>
        <w:rPr>
          <w:rFonts w:ascii="Aptos" w:hAnsi="Aptos"/>
          <w:color w:val="17263C"/>
        </w:rPr>
        <w:t>TaxRule, TaxRate, TaxTransaction, TaxPeriod, TaxReturn, TaxReturnLine, TaxAdjustment, ExemptionReason</w:t>
      </w:r>
    </w:p>
    <w:p>
      <w:r>
        <w:rPr>
          <w:rFonts w:ascii="Aptos" w:hAnsi="Aptos"/>
          <w:b/>
          <w:color w:val="17263C"/>
        </w:rPr>
        <w:t xml:space="preserve">Interfaces : </w:t>
      </w:r>
      <w:r>
        <w:rPr>
          <w:rFonts w:ascii="Aptos" w:hAnsi="Aptos"/>
          <w:color w:val="17263C"/>
        </w:rPr>
        <w:t>règles; contrôle TVA; période; pré-déclaration; ajustements</w:t>
      </w:r>
    </w:p>
    <w:p>
      <w:r>
        <w:rPr>
          <w:rFonts w:ascii="Aptos" w:hAnsi="Aptos"/>
          <w:b/>
          <w:color w:val="17263C"/>
        </w:rPr>
        <w:t xml:space="preserve">Services et règles : </w:t>
      </w:r>
      <w:r>
        <w:rPr>
          <w:rFonts w:ascii="Aptos" w:hAnsi="Aptos"/>
          <w:color w:val="17263C"/>
        </w:rPr>
        <w:t>dates d’effet; collectée/déductible; exigibilité distincte; exonérations justifiées; déclaration préparée puis validée</w:t>
      </w:r>
    </w:p>
    <w:p>
      <w:r>
        <w:rPr>
          <w:rFonts w:ascii="Aptos" w:hAnsi="Aptos"/>
          <w:b/>
          <w:color w:val="17263C"/>
        </w:rPr>
        <w:t xml:space="preserve">Critères d’acceptation : </w:t>
      </w:r>
      <w:r>
        <w:rPr>
          <w:rFonts w:ascii="Aptos" w:hAnsi="Aptos"/>
          <w:color w:val="17263C"/>
        </w:rPr>
        <w:t>base et taxe rapprochées aux écritures; taux historique conservé; écarts et ajustements expliqués</w:t>
      </w:r>
    </w:p>
    <w:p>
      <w:pPr>
        <w:pStyle w:val="Heading2"/>
        <w:spacing w:before="160" w:after="60"/>
      </w:pPr>
      <w:r>
        <w:rPr>
          <w:rFonts w:ascii="Aptos" w:hAnsi="Aptos"/>
          <w:b/>
          <w:color w:val="17263C"/>
          <w:sz w:val="21"/>
        </w:rPr>
        <w:t>C12 — Immobilisations et amortissements</w:t>
      </w:r>
    </w:p>
    <w:p>
      <w:r>
        <w:rPr>
          <w:rFonts w:ascii="Aptos" w:hAnsi="Aptos"/>
          <w:color w:val="17263C"/>
        </w:rPr>
        <w:t>Tenir un registre d’actifs comptables, calculer leurs plans et générer les écritures associées.</w:t>
      </w:r>
    </w:p>
    <w:p>
      <w:r>
        <w:rPr>
          <w:rFonts w:ascii="Aptos" w:hAnsi="Aptos"/>
          <w:b/>
          <w:color w:val="17263C"/>
        </w:rPr>
        <w:t xml:space="preserve">Dépendances : </w:t>
      </w:r>
      <w:r>
        <w:rPr>
          <w:rFonts w:ascii="Aptos" w:hAnsi="Aptos"/>
          <w:color w:val="17263C"/>
        </w:rPr>
        <w:t>G14, C05, C08, C10, C11</w:t>
      </w:r>
    </w:p>
    <w:p>
      <w:r>
        <w:rPr>
          <w:rFonts w:ascii="Aptos" w:hAnsi="Aptos"/>
          <w:b/>
          <w:color w:val="17263C"/>
        </w:rPr>
        <w:t xml:space="preserve">Modèles : </w:t>
      </w:r>
      <w:r>
        <w:rPr>
          <w:rFonts w:ascii="Aptos" w:hAnsi="Aptos"/>
          <w:color w:val="17263C"/>
        </w:rPr>
        <w:t>FixedAsset, FixedAssetCategory, Capitalization, DepreciationMethod, DepreciationPlan, DepreciationPeriod, AssetDisposal, AssetImpairment</w:t>
      </w:r>
    </w:p>
    <w:p>
      <w:r>
        <w:rPr>
          <w:rFonts w:ascii="Aptos" w:hAnsi="Aptos"/>
          <w:b/>
          <w:color w:val="17263C"/>
        </w:rPr>
        <w:t xml:space="preserve">Interfaces : </w:t>
      </w:r>
      <w:r>
        <w:rPr>
          <w:rFonts w:ascii="Aptos" w:hAnsi="Aptos"/>
          <w:color w:val="17263C"/>
        </w:rPr>
        <w:t>registre; fiche; plan d’amortissement; dotations; cession</w:t>
      </w:r>
    </w:p>
    <w:p>
      <w:r>
        <w:rPr>
          <w:rFonts w:ascii="Aptos" w:hAnsi="Aptos"/>
          <w:b/>
          <w:color w:val="17263C"/>
        </w:rPr>
        <w:t xml:space="preserve">Services et règles : </w:t>
      </w:r>
      <w:r>
        <w:rPr>
          <w:rFonts w:ascii="Aptos" w:hAnsi="Aptos"/>
          <w:color w:val="17263C"/>
        </w:rPr>
        <w:t>date de mise en service; base amortissable; méthodes paramétrées; plan versionné avant comptabilisation; cession et VNC</w:t>
      </w:r>
    </w:p>
    <w:p>
      <w:r>
        <w:rPr>
          <w:rFonts w:ascii="Aptos" w:hAnsi="Aptos"/>
          <w:b/>
          <w:color w:val="17263C"/>
        </w:rPr>
        <w:t xml:space="preserve">Critères d’acceptation : </w:t>
      </w:r>
      <w:r>
        <w:rPr>
          <w:rFonts w:ascii="Aptos" w:hAnsi="Aptos"/>
          <w:color w:val="17263C"/>
        </w:rPr>
        <w:t>somme des dotations cohérente; aucune dotation double; écritures reliées à l’actif</w:t>
      </w:r>
    </w:p>
    <w:p>
      <w:pPr>
        <w:pStyle w:val="Heading2"/>
        <w:spacing w:before="160" w:after="60"/>
      </w:pPr>
      <w:r>
        <w:rPr>
          <w:rFonts w:ascii="Aptos" w:hAnsi="Aptos"/>
          <w:b/>
          <w:color w:val="17263C"/>
          <w:sz w:val="21"/>
        </w:rPr>
        <w:t>C13 — Clôture et révision</w:t>
      </w:r>
    </w:p>
    <w:p>
      <w:r>
        <w:rPr>
          <w:rFonts w:ascii="Aptos" w:hAnsi="Aptos"/>
          <w:color w:val="17263C"/>
        </w:rPr>
        <w:t>Organiser les contrôles de fin de période, ajustements, verrouillages et reports.</w:t>
      </w:r>
    </w:p>
    <w:p>
      <w:r>
        <w:rPr>
          <w:rFonts w:ascii="Aptos" w:hAnsi="Aptos"/>
          <w:b/>
          <w:color w:val="17263C"/>
        </w:rPr>
        <w:t xml:space="preserve">Dépendances : </w:t>
      </w:r>
      <w:r>
        <w:rPr>
          <w:rFonts w:ascii="Aptos" w:hAnsi="Aptos"/>
          <w:color w:val="17263C"/>
        </w:rPr>
        <w:t>C06 à C12, F05, F06</w:t>
      </w:r>
    </w:p>
    <w:p>
      <w:r>
        <w:rPr>
          <w:rFonts w:ascii="Aptos" w:hAnsi="Aptos"/>
          <w:b/>
          <w:color w:val="17263C"/>
        </w:rPr>
        <w:t xml:space="preserve">Modèles : </w:t>
      </w:r>
      <w:r>
        <w:rPr>
          <w:rFonts w:ascii="Aptos" w:hAnsi="Aptos"/>
          <w:color w:val="17263C"/>
        </w:rPr>
        <w:t>ClosingChecklist, ClosingTask, ClosingEvidence, Accrual, PrepaidExpense, Provision, ClosingAdjustment, CarryForward, ClosingRun</w:t>
      </w:r>
    </w:p>
    <w:p>
      <w:r>
        <w:rPr>
          <w:rFonts w:ascii="Aptos" w:hAnsi="Aptos"/>
          <w:b/>
          <w:color w:val="17263C"/>
        </w:rPr>
        <w:t xml:space="preserve">Interfaces : </w:t>
      </w:r>
      <w:r>
        <w:rPr>
          <w:rFonts w:ascii="Aptos" w:hAnsi="Aptos"/>
          <w:color w:val="17263C"/>
        </w:rPr>
        <w:t>checklist; dossier de révision; ajustements; verrouillage; report à nouveau</w:t>
      </w:r>
    </w:p>
    <w:p>
      <w:r>
        <w:rPr>
          <w:rFonts w:ascii="Aptos" w:hAnsi="Aptos"/>
          <w:b/>
          <w:color w:val="17263C"/>
        </w:rPr>
        <w:t xml:space="preserve">Services et règles : </w:t>
      </w:r>
      <w:r>
        <w:rPr>
          <w:rFonts w:ascii="Aptos" w:hAnsi="Aptos"/>
          <w:color w:val="17263C"/>
        </w:rPr>
        <w:t>tâches obligatoires; preuves; séparation préparation/validation; réouverture exceptionnelle auditée; reports équilibrés</w:t>
      </w:r>
    </w:p>
    <w:p>
      <w:r>
        <w:rPr>
          <w:rFonts w:ascii="Aptos" w:hAnsi="Aptos"/>
          <w:b/>
          <w:color w:val="17263C"/>
        </w:rPr>
        <w:t xml:space="preserve">Critères d’acceptation : </w:t>
      </w:r>
      <w:r>
        <w:rPr>
          <w:rFonts w:ascii="Aptos" w:hAnsi="Aptos"/>
          <w:color w:val="17263C"/>
        </w:rPr>
        <w:t>clôture bloquée si contrôle critique échoue; réouverture tracée; à-nouveaux réconciliés à la clôture précédente</w:t>
      </w:r>
    </w:p>
    <w:p>
      <w:pPr>
        <w:pStyle w:val="Heading2"/>
        <w:spacing w:before="160" w:after="60"/>
      </w:pPr>
      <w:r>
        <w:rPr>
          <w:rFonts w:ascii="Aptos" w:hAnsi="Aptos"/>
          <w:b/>
          <w:color w:val="17263C"/>
          <w:sz w:val="21"/>
        </w:rPr>
        <w:t>C14 — Facturation électronique et e-reporting</w:t>
      </w:r>
    </w:p>
    <w:p>
      <w:r>
        <w:rPr>
          <w:rFonts w:ascii="Aptos" w:hAnsi="Aptos"/>
          <w:color w:val="17263C"/>
        </w:rPr>
        <w:t>Relier le moteur de facturation à une plateforme agréée sans enfermer le client dans un prestataire.</w:t>
      </w:r>
    </w:p>
    <w:p>
      <w:r>
        <w:rPr>
          <w:rFonts w:ascii="Aptos" w:hAnsi="Aptos"/>
          <w:b/>
          <w:color w:val="17263C"/>
        </w:rPr>
        <w:t xml:space="preserve">Dépendances : </w:t>
      </w:r>
      <w:r>
        <w:rPr>
          <w:rFonts w:ascii="Aptos" w:hAnsi="Aptos"/>
          <w:color w:val="17263C"/>
        </w:rPr>
        <w:t>C01 à C03, C11, F04, F07, intégrations</w:t>
      </w:r>
    </w:p>
    <w:p>
      <w:r>
        <w:rPr>
          <w:rFonts w:ascii="Aptos" w:hAnsi="Aptos"/>
          <w:b/>
          <w:color w:val="17263C"/>
        </w:rPr>
        <w:t xml:space="preserve">Modèles : </w:t>
      </w:r>
      <w:r>
        <w:rPr>
          <w:rFonts w:ascii="Aptos" w:hAnsi="Aptos"/>
          <w:color w:val="17263C"/>
        </w:rPr>
        <w:t>ElectronicInvoice, InvoicePayload, Transmission, TransmissionStatus, DirectoryLookup, ReportingEvent, ProviderConfiguration, ProviderMessage</w:t>
      </w:r>
    </w:p>
    <w:p>
      <w:r>
        <w:rPr>
          <w:rFonts w:ascii="Aptos" w:hAnsi="Aptos"/>
          <w:b/>
          <w:color w:val="17263C"/>
        </w:rPr>
        <w:t xml:space="preserve">Interfaces : </w:t>
      </w:r>
      <w:r>
        <w:rPr>
          <w:rFonts w:ascii="Aptos" w:hAnsi="Aptos"/>
          <w:color w:val="17263C"/>
        </w:rPr>
        <w:t>prévalidation; statuts; erreurs; annuaire; renvoi; journal de transmission</w:t>
      </w:r>
    </w:p>
    <w:p>
      <w:r>
        <w:rPr>
          <w:rFonts w:ascii="Aptos" w:hAnsi="Aptos"/>
          <w:b/>
          <w:color w:val="17263C"/>
        </w:rPr>
        <w:t xml:space="preserve">Services et règles : </w:t>
      </w:r>
      <w:r>
        <w:rPr>
          <w:rFonts w:ascii="Aptos" w:hAnsi="Aptos"/>
          <w:color w:val="17263C"/>
        </w:rPr>
        <w:t>adaptateur par fournisseur; formats structurés validés; idempotence; statuts horodatés; payload original conservé; e-reporting séparé</w:t>
      </w:r>
    </w:p>
    <w:p>
      <w:r>
        <w:rPr>
          <w:rFonts w:ascii="Aptos" w:hAnsi="Aptos"/>
          <w:b/>
          <w:color w:val="17263C"/>
        </w:rPr>
        <w:t xml:space="preserve">Critères d’acceptation : </w:t>
      </w:r>
      <w:r>
        <w:rPr>
          <w:rFonts w:ascii="Aptos" w:hAnsi="Aptos"/>
          <w:color w:val="17263C"/>
        </w:rPr>
        <w:t>changement d’adaptateur sans modifier C01; rejeu sans double émission; écart entre statut local et fournisseur détecté; erreur exploitable</w:t>
      </w:r>
    </w:p>
    <w:p>
      <w:pPr>
        <w:pStyle w:val="Heading2"/>
        <w:spacing w:before="160" w:after="60"/>
      </w:pPr>
      <w:r>
        <w:rPr>
          <w:rFonts w:ascii="Aptos" w:hAnsi="Aptos"/>
          <w:b/>
          <w:color w:val="17263C"/>
          <w:sz w:val="21"/>
        </w:rPr>
        <w:t>C15 — Exports comptables et FEC</w:t>
      </w:r>
    </w:p>
    <w:p>
      <w:r>
        <w:rPr>
          <w:rFonts w:ascii="Aptos" w:hAnsi="Aptos"/>
          <w:color w:val="17263C"/>
        </w:rPr>
        <w:t>Produire des fichiers comptables traçables, contrôlés et conformes au profil choisi.</w:t>
      </w:r>
    </w:p>
    <w:p>
      <w:r>
        <w:rPr>
          <w:rFonts w:ascii="Aptos" w:hAnsi="Aptos"/>
          <w:b/>
          <w:color w:val="17263C"/>
        </w:rPr>
        <w:t xml:space="preserve">Dépendances : </w:t>
      </w:r>
      <w:r>
        <w:rPr>
          <w:rFonts w:ascii="Aptos" w:hAnsi="Aptos"/>
          <w:color w:val="17263C"/>
        </w:rPr>
        <w:t>C07 à C13, F04, F11</w:t>
      </w:r>
    </w:p>
    <w:p>
      <w:r>
        <w:rPr>
          <w:rFonts w:ascii="Aptos" w:hAnsi="Aptos"/>
          <w:b/>
          <w:color w:val="17263C"/>
        </w:rPr>
        <w:t xml:space="preserve">Modèles : </w:t>
      </w:r>
      <w:r>
        <w:rPr>
          <w:rFonts w:ascii="Aptos" w:hAnsi="Aptos"/>
          <w:color w:val="17263C"/>
        </w:rPr>
        <w:t>AccountingExportDefinition, AccountingExportRun, FECExport, ExportControl, ExportIssue, ExportArchive</w:t>
      </w:r>
    </w:p>
    <w:p>
      <w:r>
        <w:rPr>
          <w:rFonts w:ascii="Aptos" w:hAnsi="Aptos"/>
          <w:b/>
          <w:color w:val="17263C"/>
        </w:rPr>
        <w:t xml:space="preserve">Interfaces : </w:t>
      </w:r>
      <w:r>
        <w:rPr>
          <w:rFonts w:ascii="Aptos" w:hAnsi="Aptos"/>
          <w:color w:val="17263C"/>
        </w:rPr>
        <w:t>assistant d’export; contrôles; rapport d’anomalies; archives; téléchargement sécurisé</w:t>
      </w:r>
    </w:p>
    <w:p>
      <w:r>
        <w:rPr>
          <w:rFonts w:ascii="Aptos" w:hAnsi="Aptos"/>
          <w:b/>
          <w:color w:val="17263C"/>
        </w:rPr>
        <w:t xml:space="preserve">Services et règles : </w:t>
      </w:r>
      <w:r>
        <w:rPr>
          <w:rFonts w:ascii="Aptos" w:hAnsi="Aptos"/>
          <w:color w:val="17263C"/>
        </w:rPr>
        <w:t>un FEC par exercice et entité; ordre et champs imposés; écritures validées uniquement; empreinte du fichier; profil versionné</w:t>
      </w:r>
    </w:p>
    <w:p>
      <w:r>
        <w:rPr>
          <w:rFonts w:ascii="Aptos" w:hAnsi="Aptos"/>
          <w:b/>
          <w:color w:val="17263C"/>
        </w:rPr>
        <w:t xml:space="preserve">Critères d’acceptation : </w:t>
      </w:r>
      <w:r>
        <w:rPr>
          <w:rFonts w:ascii="Aptos" w:hAnsi="Aptos"/>
          <w:color w:val="17263C"/>
        </w:rPr>
        <w:t>export déterministe; séquences et journaux contrôlés; fichier lié au commit logiciel et au paramétrage; tests sur jeux de référence</w:t>
      </w:r>
    </w:p>
    <w:p>
      <w:pPr>
        <w:pStyle w:val="Heading1"/>
      </w:pPr>
      <w:r>
        <w:t>9. Interfaces, API et intégrations</w:t>
      </w:r>
    </w:p>
    <w:p>
      <w:pPr>
        <w:pStyle w:val="Heading2"/>
      </w:pPr>
      <w:r>
        <w:t>9.1 Contrat d’interface d’une brique</w:t>
      </w:r>
    </w:p>
    <w:p>
      <w:r>
        <w:rPr>
          <w:rFonts w:ascii="Aptos" w:hAnsi="Aptos"/>
          <w:color w:val="17263C"/>
        </w:rPr>
        <w:t>Toute brique livrant une interface doit fournir au minimum les gabarits suivants, adaptés aux droits et à la volumétrie de l’objet :</w:t>
      </w:r>
    </w:p>
    <w:p>
      <w:pPr>
        <w:pStyle w:val="ListBullet"/>
      </w:pPr>
      <w:r>
        <w:rPr>
          <w:rFonts w:ascii="Aptos" w:hAnsi="Aptos"/>
          <w:sz w:val="18"/>
        </w:rPr>
        <w:t>dashboard.html lorsque la capacité possède une synthèse utile ;</w:t>
      </w:r>
    </w:p>
    <w:p>
      <w:pPr>
        <w:pStyle w:val="ListBullet"/>
      </w:pPr>
      <w:r>
        <w:rPr>
          <w:rFonts w:ascii="Aptos" w:hAnsi="Aptos"/>
          <w:sz w:val="18"/>
        </w:rPr>
        <w:t>object_list.html et partials/list_results.html avec recherche, filtres, tri, pagination et actions groupées autorisées ;</w:t>
      </w:r>
    </w:p>
    <w:p>
      <w:pPr>
        <w:pStyle w:val="ListBullet"/>
      </w:pPr>
      <w:r>
        <w:rPr>
          <w:rFonts w:ascii="Aptos" w:hAnsi="Aptos"/>
          <w:sz w:val="18"/>
        </w:rPr>
        <w:t>object_detail.html avec résumé, actions, documents, commentaires et chronologie ;</w:t>
      </w:r>
    </w:p>
    <w:p>
      <w:pPr>
        <w:pStyle w:val="ListBullet"/>
      </w:pPr>
      <w:r>
        <w:rPr>
          <w:rFonts w:ascii="Aptos" w:hAnsi="Aptos"/>
          <w:sz w:val="18"/>
        </w:rPr>
        <w:t>object_form.html et partials/form.html avec validation serveur et mise à jour HTMX ;</w:t>
      </w:r>
    </w:p>
    <w:p>
      <w:pPr>
        <w:pStyle w:val="ListBullet"/>
      </w:pPr>
      <w:r>
        <w:rPr>
          <w:rFonts w:ascii="Aptos" w:hAnsi="Aptos"/>
          <w:sz w:val="18"/>
        </w:rPr>
        <w:t>object_history.html pour les événements et changements consultables ;</w:t>
      </w:r>
    </w:p>
    <w:p>
      <w:pPr>
        <w:pStyle w:val="ListBullet"/>
      </w:pPr>
      <w:r>
        <w:rPr>
          <w:rFonts w:ascii="Aptos" w:hAnsi="Aptos"/>
          <w:sz w:val="18"/>
        </w:rPr>
        <w:t>object_import.html et object_export.html lorsque les volumes ou usages le justifient ;</w:t>
      </w:r>
    </w:p>
    <w:p>
      <w:pPr>
        <w:pStyle w:val="ListBullet"/>
      </w:pPr>
      <w:r>
        <w:rPr>
          <w:rFonts w:ascii="Aptos" w:hAnsi="Aptos"/>
          <w:sz w:val="18"/>
        </w:rPr>
        <w:t>pdf/ et emails/ pour les documents ou notifications de la capacité ;</w:t>
      </w:r>
    </w:p>
    <w:p>
      <w:pPr>
        <w:pStyle w:val="ListBullet"/>
      </w:pPr>
      <w:r>
        <w:rPr>
          <w:rFonts w:ascii="Aptos" w:hAnsi="Aptos"/>
          <w:sz w:val="18"/>
        </w:rPr>
        <w:t>empty_state.html, loading.html, forbidden.html et error.html pour les états non nominaux.</w:t>
      </w:r>
    </w:p>
    <w:p>
      <w:pPr>
        <w:pStyle w:val="Heading2"/>
      </w:pPr>
      <w:r>
        <w:t>9.2 Principes UI/UX</w:t>
      </w:r>
    </w:p>
    <w:p>
      <w:pPr>
        <w:pStyle w:val="ListBullet"/>
      </w:pPr>
      <w:r>
        <w:rPr>
          <w:rFonts w:ascii="Aptos" w:hAnsi="Aptos"/>
          <w:sz w:val="18"/>
        </w:rPr>
        <w:t>Navigation construite à partir des capacités actives et des permissions, sans liens menant à des accès refusés.</w:t>
      </w:r>
    </w:p>
    <w:p>
      <w:pPr>
        <w:pStyle w:val="ListBullet"/>
      </w:pPr>
      <w:r>
        <w:rPr>
          <w:rFonts w:ascii="Aptos" w:hAnsi="Aptos"/>
          <w:sz w:val="18"/>
        </w:rPr>
        <w:t>Actions primaires limitées et placées de façon constante ; actions destructrices séparées et confirmées.</w:t>
      </w:r>
    </w:p>
    <w:p>
      <w:pPr>
        <w:pStyle w:val="ListBullet"/>
      </w:pPr>
      <w:r>
        <w:rPr>
          <w:rFonts w:ascii="Aptos" w:hAnsi="Aptos"/>
          <w:sz w:val="18"/>
        </w:rPr>
        <w:t>Statuts représentés par texte et forme en plus de la couleur.</w:t>
      </w:r>
    </w:p>
    <w:p>
      <w:pPr>
        <w:pStyle w:val="ListBullet"/>
      </w:pPr>
      <w:r>
        <w:rPr>
          <w:rFonts w:ascii="Aptos" w:hAnsi="Aptos"/>
          <w:sz w:val="18"/>
        </w:rPr>
        <w:t>Formulaires longs découpés en étapes uniquement lorsque cela réduit réellement la charge cognitive.</w:t>
      </w:r>
    </w:p>
    <w:p>
      <w:pPr>
        <w:pStyle w:val="ListBullet"/>
      </w:pPr>
      <w:r>
        <w:rPr>
          <w:rFonts w:ascii="Aptos" w:hAnsi="Aptos"/>
          <w:sz w:val="18"/>
        </w:rPr>
        <w:t>Préservation des filtres, du tri et de la page lors du retour vers une liste.</w:t>
      </w:r>
    </w:p>
    <w:p>
      <w:pPr>
        <w:pStyle w:val="ListBullet"/>
      </w:pPr>
      <w:r>
        <w:rPr>
          <w:rFonts w:ascii="Aptos" w:hAnsi="Aptos"/>
          <w:sz w:val="18"/>
        </w:rPr>
        <w:t>Aucune règle de calcul critique exécutée uniquement dans JavaScript.</w:t>
      </w:r>
    </w:p>
    <w:p>
      <w:pPr>
        <w:pStyle w:val="ListBullet"/>
      </w:pPr>
      <w:r>
        <w:rPr>
          <w:rFonts w:ascii="Aptos" w:hAnsi="Aptos"/>
          <w:sz w:val="18"/>
        </w:rPr>
        <w:t>Affichage explicite de la devise, du fuseau, de la période et de l’entité lorsque l’ambiguïté est possible.</w:t>
      </w:r>
    </w:p>
    <w:p>
      <w:pPr>
        <w:pStyle w:val="ListBullet"/>
      </w:pPr>
      <w:r>
        <w:rPr>
          <w:rFonts w:ascii="Aptos" w:hAnsi="Aptos"/>
          <w:sz w:val="18"/>
        </w:rPr>
        <w:t>Composants utilisables au clavier, focus visible, intitulés associés et messages d’erreur reliés aux champs.</w:t>
      </w:r>
    </w:p>
    <w:p>
      <w:pPr>
        <w:pStyle w:val="ListBullet"/>
      </w:pPr>
      <w:r>
        <w:rPr>
          <w:rFonts w:ascii="Aptos" w:hAnsi="Aptos"/>
          <w:sz w:val="18"/>
        </w:rPr>
        <w:t>Responsive orienté usage : consultation et actions terrain sur mobile ; tableaux complexes adaptés ou segmentés.</w:t>
      </w:r>
    </w:p>
    <w:p>
      <w:pPr>
        <w:pStyle w:val="Heading2"/>
      </w:pPr>
      <w:r>
        <w:t>9.3 API</w:t>
      </w:r>
    </w:p>
    <w:p>
      <w:pPr>
        <w:pStyle w:val="ListBullet"/>
      </w:pPr>
      <w:r>
        <w:rPr>
          <w:rFonts w:ascii="Aptos" w:hAnsi="Aptos"/>
          <w:sz w:val="18"/>
        </w:rPr>
        <w:t>API REST versionnée uniquement pour les capacités ayant un consommateur identifié ; ne pas exposer automatiquement tous les modèles.</w:t>
      </w:r>
    </w:p>
    <w:p>
      <w:pPr>
        <w:pStyle w:val="ListBullet"/>
      </w:pPr>
      <w:r>
        <w:rPr>
          <w:rFonts w:ascii="Aptos" w:hAnsi="Aptos"/>
          <w:sz w:val="18"/>
        </w:rPr>
        <w:t>Schéma OpenAPI généré et validé en CI.</w:t>
      </w:r>
    </w:p>
    <w:p>
      <w:pPr>
        <w:pStyle w:val="ListBullet"/>
      </w:pPr>
      <w:r>
        <w:rPr>
          <w:rFonts w:ascii="Aptos" w:hAnsi="Aptos"/>
          <w:sz w:val="18"/>
        </w:rPr>
        <w:t>Authentification distincte pour utilisateurs, applications et webhooks.</w:t>
      </w:r>
    </w:p>
    <w:p>
      <w:pPr>
        <w:pStyle w:val="ListBullet"/>
      </w:pPr>
      <w:r>
        <w:rPr>
          <w:rFonts w:ascii="Aptos" w:hAnsi="Aptos"/>
          <w:sz w:val="18"/>
        </w:rPr>
        <w:t>Permissions identiques ou plus restrictives que l’interface serveur.</w:t>
      </w:r>
    </w:p>
    <w:p>
      <w:pPr>
        <w:pStyle w:val="ListBullet"/>
      </w:pPr>
      <w:r>
        <w:rPr>
          <w:rFonts w:ascii="Aptos" w:hAnsi="Aptos"/>
          <w:sz w:val="18"/>
        </w:rPr>
        <w:t>Pagination, filtres et limites de volume explicites.</w:t>
      </w:r>
    </w:p>
    <w:p>
      <w:pPr>
        <w:pStyle w:val="ListBullet"/>
      </w:pPr>
      <w:r>
        <w:rPr>
          <w:rFonts w:ascii="Aptos" w:hAnsi="Aptos"/>
          <w:sz w:val="18"/>
        </w:rPr>
        <w:t>Clés d’idempotence obligatoires pour paiements, émissions, imports et commandes externes.</w:t>
      </w:r>
    </w:p>
    <w:p>
      <w:pPr>
        <w:pStyle w:val="ListBullet"/>
      </w:pPr>
      <w:r>
        <w:rPr>
          <w:rFonts w:ascii="Aptos" w:hAnsi="Aptos"/>
          <w:sz w:val="18"/>
        </w:rPr>
        <w:t>Codes d’erreur métier stables, messages humains localisables et identifiant de corrélation.</w:t>
      </w:r>
    </w:p>
    <w:p>
      <w:pPr>
        <w:pStyle w:val="ListBullet"/>
      </w:pPr>
      <w:r>
        <w:rPr>
          <w:rFonts w:ascii="Aptos" w:hAnsi="Aptos"/>
          <w:sz w:val="18"/>
        </w:rPr>
        <w:t>Politique de dépréciation documentée avant suppression d’un champ ou endpoint.</w:t>
      </w:r>
    </w:p>
    <w:p>
      <w:pPr>
        <w:pStyle w:val="Heading2"/>
      </w:pPr>
      <w:r>
        <w:t>9.4 Adaptateurs externes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0"/>
            <w:shd w:fill="EAF2F7"/>
            <w:tcMar>
              <w:top w:w="80" w:type="dxa"/>
              <w:start w:w="100" w:type="dxa"/>
              <w:bottom w:w="80" w:type="dxa"/>
              <w:end w:w="100" w:type="dxa"/>
            </w:tcMar>
            <w:vAlign w:val="center"/>
          </w:tcPr>
          <w:p>
            <w:pPr>
              <w:spacing w:after="0"/>
            </w:pPr>
            <w:r>
              <w:rPr>
                <w:rFonts w:ascii="Aptos" w:hAnsi="Aptos"/>
                <w:b/>
                <w:color w:val="17263C"/>
                <w:sz w:val="16"/>
              </w:rPr>
              <w:t>Famille</w:t>
            </w:r>
          </w:p>
        </w:tc>
        <w:tc>
          <w:tcPr>
            <w:tcW w:type="dxa" w:w="3401"/>
            <w:shd w:fill="EAF2F7"/>
            <w:tcMar>
              <w:top w:w="80" w:type="dxa"/>
              <w:start w:w="100" w:type="dxa"/>
              <w:bottom w:w="80" w:type="dxa"/>
              <w:end w:w="100" w:type="dxa"/>
            </w:tcMar>
            <w:vAlign w:val="center"/>
          </w:tcPr>
          <w:p>
            <w:pPr>
              <w:spacing w:after="0"/>
            </w:pPr>
            <w:r>
              <w:rPr>
                <w:rFonts w:ascii="Aptos" w:hAnsi="Aptos"/>
                <w:b/>
                <w:color w:val="17263C"/>
                <w:sz w:val="16"/>
              </w:rPr>
              <w:t>Contrat attendu</w:t>
            </w:r>
          </w:p>
        </w:tc>
        <w:tc>
          <w:tcPr>
            <w:tcW w:type="dxa" w:w="4762"/>
            <w:shd w:fill="EAF2F7"/>
            <w:tcMar>
              <w:top w:w="80" w:type="dxa"/>
              <w:start w:w="100" w:type="dxa"/>
              <w:bottom w:w="80" w:type="dxa"/>
              <w:end w:w="100" w:type="dxa"/>
            </w:tcMar>
            <w:vAlign w:val="center"/>
          </w:tcPr>
          <w:p>
            <w:pPr>
              <w:spacing w:after="0"/>
            </w:pPr>
            <w:r>
              <w:rPr>
                <w:rFonts w:ascii="Aptos" w:hAnsi="Aptos"/>
                <w:b/>
                <w:color w:val="17263C"/>
                <w:sz w:val="16"/>
              </w:rPr>
              <w:t>Garanties</w:t>
            </w:r>
          </w:p>
        </w:tc>
      </w:tr>
      <w:tr>
        <w:tc>
          <w:tcPr>
            <w:tcW w:type="dxa" w:w="1700"/>
            <w:tcMar>
              <w:top w:w="80" w:type="dxa"/>
              <w:start w:w="100" w:type="dxa"/>
              <w:bottom w:w="80" w:type="dxa"/>
              <w:end w:w="100" w:type="dxa"/>
            </w:tcMar>
            <w:vAlign w:val="top"/>
          </w:tcPr>
          <w:p>
            <w:pPr>
              <w:spacing w:after="0"/>
            </w:pPr>
            <w:r>
              <w:rPr>
                <w:rFonts w:ascii="Aptos" w:hAnsi="Aptos"/>
                <w:color w:val="17263C"/>
                <w:sz w:val="16"/>
              </w:rPr>
              <w:t>Paiement</w:t>
            </w:r>
          </w:p>
        </w:tc>
        <w:tc>
          <w:tcPr>
            <w:tcW w:type="dxa" w:w="3401"/>
            <w:tcMar>
              <w:top w:w="80" w:type="dxa"/>
              <w:start w:w="100" w:type="dxa"/>
              <w:bottom w:w="80" w:type="dxa"/>
              <w:end w:w="100" w:type="dxa"/>
            </w:tcMar>
            <w:vAlign w:val="top"/>
          </w:tcPr>
          <w:p>
            <w:pPr>
              <w:spacing w:after="0"/>
            </w:pPr>
            <w:r>
              <w:rPr>
                <w:rFonts w:ascii="Aptos" w:hAnsi="Aptos"/>
                <w:color w:val="17263C"/>
                <w:sz w:val="16"/>
              </w:rPr>
              <w:t>create_payment, capture, refund, verify_webhook, retrieve_status</w:t>
            </w:r>
          </w:p>
        </w:tc>
        <w:tc>
          <w:tcPr>
            <w:tcW w:type="dxa" w:w="4762"/>
            <w:tcMar>
              <w:top w:w="80" w:type="dxa"/>
              <w:start w:w="100" w:type="dxa"/>
              <w:bottom w:w="80" w:type="dxa"/>
              <w:end w:w="100" w:type="dxa"/>
            </w:tcMar>
            <w:vAlign w:val="top"/>
          </w:tcPr>
          <w:p>
            <w:pPr>
              <w:spacing w:after="0"/>
            </w:pPr>
            <w:r>
              <w:rPr>
                <w:rFonts w:ascii="Aptos" w:hAnsi="Aptos"/>
                <w:color w:val="17263C"/>
                <w:sz w:val="16"/>
              </w:rPr>
              <w:t>idempotence, signature, rapprochement, conservation de la référence fournisseur</w:t>
            </w:r>
          </w:p>
        </w:tc>
      </w:tr>
      <w:tr>
        <w:tc>
          <w:tcPr>
            <w:tcW w:type="dxa" w:w="1700"/>
            <w:tcMar>
              <w:top w:w="80" w:type="dxa"/>
              <w:start w:w="100" w:type="dxa"/>
              <w:bottom w:w="80" w:type="dxa"/>
              <w:end w:w="100" w:type="dxa"/>
            </w:tcMar>
            <w:vAlign w:val="top"/>
          </w:tcPr>
          <w:p>
            <w:pPr>
              <w:spacing w:after="0"/>
            </w:pPr>
            <w:r>
              <w:rPr>
                <w:rFonts w:ascii="Aptos" w:hAnsi="Aptos"/>
                <w:color w:val="17263C"/>
                <w:sz w:val="16"/>
              </w:rPr>
              <w:t>Banque</w:t>
            </w:r>
          </w:p>
        </w:tc>
        <w:tc>
          <w:tcPr>
            <w:tcW w:type="dxa" w:w="3401"/>
            <w:tcMar>
              <w:top w:w="80" w:type="dxa"/>
              <w:start w:w="100" w:type="dxa"/>
              <w:bottom w:w="80" w:type="dxa"/>
              <w:end w:w="100" w:type="dxa"/>
            </w:tcMar>
            <w:vAlign w:val="top"/>
          </w:tcPr>
          <w:p>
            <w:pPr>
              <w:spacing w:after="0"/>
            </w:pPr>
            <w:r>
              <w:rPr>
                <w:rFonts w:ascii="Aptos" w:hAnsi="Aptos"/>
                <w:color w:val="17263C"/>
                <w:sz w:val="16"/>
              </w:rPr>
              <w:t>import_statements ou synchronisation consentie</w:t>
            </w:r>
          </w:p>
        </w:tc>
        <w:tc>
          <w:tcPr>
            <w:tcW w:type="dxa" w:w="4762"/>
            <w:tcMar>
              <w:top w:w="80" w:type="dxa"/>
              <w:start w:w="100" w:type="dxa"/>
              <w:bottom w:w="80" w:type="dxa"/>
              <w:end w:w="100" w:type="dxa"/>
            </w:tcMar>
            <w:vAlign w:val="top"/>
          </w:tcPr>
          <w:p>
            <w:pPr>
              <w:spacing w:after="0"/>
            </w:pPr>
            <w:r>
              <w:rPr>
                <w:rFonts w:ascii="Aptos" w:hAnsi="Aptos"/>
                <w:color w:val="17263C"/>
                <w:sz w:val="16"/>
              </w:rPr>
              <w:t>déduplication, reprise, conservation de la donnée source</w:t>
            </w:r>
          </w:p>
        </w:tc>
      </w:tr>
      <w:tr>
        <w:tc>
          <w:tcPr>
            <w:tcW w:type="dxa" w:w="1700"/>
            <w:tcMar>
              <w:top w:w="80" w:type="dxa"/>
              <w:start w:w="100" w:type="dxa"/>
              <w:bottom w:w="80" w:type="dxa"/>
              <w:end w:w="100" w:type="dxa"/>
            </w:tcMar>
            <w:vAlign w:val="top"/>
          </w:tcPr>
          <w:p>
            <w:pPr>
              <w:spacing w:after="0"/>
            </w:pPr>
            <w:r>
              <w:rPr>
                <w:rFonts w:ascii="Aptos" w:hAnsi="Aptos"/>
                <w:color w:val="17263C"/>
                <w:sz w:val="16"/>
              </w:rPr>
              <w:t>Facturation électronique</w:t>
            </w:r>
          </w:p>
        </w:tc>
        <w:tc>
          <w:tcPr>
            <w:tcW w:type="dxa" w:w="3401"/>
            <w:tcMar>
              <w:top w:w="80" w:type="dxa"/>
              <w:start w:w="100" w:type="dxa"/>
              <w:bottom w:w="80" w:type="dxa"/>
              <w:end w:w="100" w:type="dxa"/>
            </w:tcMar>
            <w:vAlign w:val="top"/>
          </w:tcPr>
          <w:p>
            <w:pPr>
              <w:spacing w:after="0"/>
            </w:pPr>
            <w:r>
              <w:rPr>
                <w:rFonts w:ascii="Aptos" w:hAnsi="Aptos"/>
                <w:color w:val="17263C"/>
                <w:sz w:val="16"/>
              </w:rPr>
              <w:t>validate, send, receive, poll_status, report_transaction</w:t>
            </w:r>
          </w:p>
        </w:tc>
        <w:tc>
          <w:tcPr>
            <w:tcW w:type="dxa" w:w="4762"/>
            <w:tcMar>
              <w:top w:w="80" w:type="dxa"/>
              <w:start w:w="100" w:type="dxa"/>
              <w:bottom w:w="80" w:type="dxa"/>
              <w:end w:w="100" w:type="dxa"/>
            </w:tcMar>
            <w:vAlign w:val="top"/>
          </w:tcPr>
          <w:p>
            <w:pPr>
              <w:spacing w:after="0"/>
            </w:pPr>
            <w:r>
              <w:rPr>
                <w:rFonts w:ascii="Aptos" w:hAnsi="Aptos"/>
                <w:color w:val="17263C"/>
                <w:sz w:val="16"/>
              </w:rPr>
              <w:t>adaptateur substituable, statuts, payloads, erreurs exploitables</w:t>
            </w:r>
          </w:p>
        </w:tc>
      </w:tr>
      <w:tr>
        <w:tc>
          <w:tcPr>
            <w:tcW w:type="dxa" w:w="1700"/>
            <w:tcMar>
              <w:top w:w="80" w:type="dxa"/>
              <w:start w:w="100" w:type="dxa"/>
              <w:bottom w:w="80" w:type="dxa"/>
              <w:end w:w="100" w:type="dxa"/>
            </w:tcMar>
            <w:vAlign w:val="top"/>
          </w:tcPr>
          <w:p>
            <w:pPr>
              <w:spacing w:after="0"/>
            </w:pPr>
            <w:r>
              <w:rPr>
                <w:rFonts w:ascii="Aptos" w:hAnsi="Aptos"/>
                <w:color w:val="17263C"/>
                <w:sz w:val="16"/>
              </w:rPr>
              <w:t>Courriel/SMS</w:t>
            </w:r>
          </w:p>
        </w:tc>
        <w:tc>
          <w:tcPr>
            <w:tcW w:type="dxa" w:w="3401"/>
            <w:tcMar>
              <w:top w:w="80" w:type="dxa"/>
              <w:start w:w="100" w:type="dxa"/>
              <w:bottom w:w="80" w:type="dxa"/>
              <w:end w:w="100" w:type="dxa"/>
            </w:tcMar>
            <w:vAlign w:val="top"/>
          </w:tcPr>
          <w:p>
            <w:pPr>
              <w:spacing w:after="0"/>
            </w:pPr>
            <w:r>
              <w:rPr>
                <w:rFonts w:ascii="Aptos" w:hAnsi="Aptos"/>
                <w:color w:val="17263C"/>
                <w:sz w:val="16"/>
              </w:rPr>
              <w:t>send, get_status, suppress</w:t>
            </w:r>
          </w:p>
        </w:tc>
        <w:tc>
          <w:tcPr>
            <w:tcW w:type="dxa" w:w="4762"/>
            <w:tcMar>
              <w:top w:w="80" w:type="dxa"/>
              <w:start w:w="100" w:type="dxa"/>
              <w:bottom w:w="80" w:type="dxa"/>
              <w:end w:w="100" w:type="dxa"/>
            </w:tcMar>
            <w:vAlign w:val="top"/>
          </w:tcPr>
          <w:p>
            <w:pPr>
              <w:spacing w:after="0"/>
            </w:pPr>
            <w:r>
              <w:rPr>
                <w:rFonts w:ascii="Aptos" w:hAnsi="Aptos"/>
                <w:color w:val="17263C"/>
                <w:sz w:val="16"/>
              </w:rPr>
              <w:t>templates validés, files d’attente, reprises plafonnées</w:t>
            </w:r>
          </w:p>
        </w:tc>
      </w:tr>
      <w:tr>
        <w:tc>
          <w:tcPr>
            <w:tcW w:type="dxa" w:w="1700"/>
            <w:tcMar>
              <w:top w:w="80" w:type="dxa"/>
              <w:start w:w="100" w:type="dxa"/>
              <w:bottom w:w="80" w:type="dxa"/>
              <w:end w:w="100" w:type="dxa"/>
            </w:tcMar>
            <w:vAlign w:val="top"/>
          </w:tcPr>
          <w:p>
            <w:pPr>
              <w:spacing w:after="0"/>
            </w:pPr>
            <w:r>
              <w:rPr>
                <w:rFonts w:ascii="Aptos" w:hAnsi="Aptos"/>
                <w:color w:val="17263C"/>
                <w:sz w:val="16"/>
              </w:rPr>
              <w:t>Stockage</w:t>
            </w:r>
          </w:p>
        </w:tc>
        <w:tc>
          <w:tcPr>
            <w:tcW w:type="dxa" w:w="3401"/>
            <w:tcMar>
              <w:top w:w="80" w:type="dxa"/>
              <w:start w:w="100" w:type="dxa"/>
              <w:bottom w:w="80" w:type="dxa"/>
              <w:end w:w="100" w:type="dxa"/>
            </w:tcMar>
            <w:vAlign w:val="top"/>
          </w:tcPr>
          <w:p>
            <w:pPr>
              <w:spacing w:after="0"/>
            </w:pPr>
            <w:r>
              <w:rPr>
                <w:rFonts w:ascii="Aptos" w:hAnsi="Aptos"/>
                <w:color w:val="17263C"/>
                <w:sz w:val="16"/>
              </w:rPr>
              <w:t>store, retrieve, signed_access, delete_when_allowed</w:t>
            </w:r>
          </w:p>
        </w:tc>
        <w:tc>
          <w:tcPr>
            <w:tcW w:type="dxa" w:w="4762"/>
            <w:tcMar>
              <w:top w:w="80" w:type="dxa"/>
              <w:start w:w="100" w:type="dxa"/>
              <w:bottom w:w="80" w:type="dxa"/>
              <w:end w:w="100" w:type="dxa"/>
            </w:tcMar>
            <w:vAlign w:val="top"/>
          </w:tcPr>
          <w:p>
            <w:pPr>
              <w:spacing w:after="0"/>
            </w:pPr>
            <w:r>
              <w:rPr>
                <w:rFonts w:ascii="Aptos" w:hAnsi="Aptos"/>
                <w:color w:val="17263C"/>
                <w:sz w:val="16"/>
              </w:rPr>
              <w:t>chiffrement, antivirus, métadonnées, rétention</w:t>
            </w:r>
          </w:p>
        </w:tc>
      </w:tr>
      <w:tr>
        <w:tc>
          <w:tcPr>
            <w:tcW w:type="dxa" w:w="1700"/>
            <w:tcMar>
              <w:top w:w="80" w:type="dxa"/>
              <w:start w:w="100" w:type="dxa"/>
              <w:bottom w:w="80" w:type="dxa"/>
              <w:end w:w="100" w:type="dxa"/>
            </w:tcMar>
            <w:vAlign w:val="top"/>
          </w:tcPr>
          <w:p>
            <w:pPr>
              <w:spacing w:after="0"/>
            </w:pPr>
            <w:r>
              <w:rPr>
                <w:rFonts w:ascii="Aptos" w:hAnsi="Aptos"/>
                <w:color w:val="17263C"/>
                <w:sz w:val="16"/>
              </w:rPr>
              <w:t>Comptabilité tierce</w:t>
            </w:r>
          </w:p>
        </w:tc>
        <w:tc>
          <w:tcPr>
            <w:tcW w:type="dxa" w:w="3401"/>
            <w:tcMar>
              <w:top w:w="80" w:type="dxa"/>
              <w:start w:w="100" w:type="dxa"/>
              <w:bottom w:w="80" w:type="dxa"/>
              <w:end w:w="100" w:type="dxa"/>
            </w:tcMar>
            <w:vAlign w:val="top"/>
          </w:tcPr>
          <w:p>
            <w:pPr>
              <w:spacing w:after="0"/>
            </w:pPr>
            <w:r>
              <w:rPr>
                <w:rFonts w:ascii="Aptos" w:hAnsi="Aptos"/>
                <w:color w:val="17263C"/>
                <w:sz w:val="16"/>
              </w:rPr>
              <w:t>export ou API par profil</w:t>
            </w:r>
          </w:p>
        </w:tc>
        <w:tc>
          <w:tcPr>
            <w:tcW w:type="dxa" w:w="4762"/>
            <w:tcMar>
              <w:top w:w="80" w:type="dxa"/>
              <w:start w:w="100" w:type="dxa"/>
              <w:bottom w:w="80" w:type="dxa"/>
              <w:end w:w="100" w:type="dxa"/>
            </w:tcMar>
            <w:vAlign w:val="top"/>
          </w:tcPr>
          <w:p>
            <w:pPr>
              <w:spacing w:after="0"/>
            </w:pPr>
            <w:r>
              <w:rPr>
                <w:rFonts w:ascii="Aptos" w:hAnsi="Aptos"/>
                <w:color w:val="17263C"/>
                <w:sz w:val="16"/>
              </w:rPr>
              <w:t>mappages versionnés, lots, journaux et pièces</w:t>
            </w:r>
          </w:p>
        </w:tc>
      </w:tr>
      <w:tr>
        <w:tc>
          <w:tcPr>
            <w:tcW w:type="dxa" w:w="1700"/>
            <w:tcMar>
              <w:top w:w="80" w:type="dxa"/>
              <w:start w:w="100" w:type="dxa"/>
              <w:bottom w:w="80" w:type="dxa"/>
              <w:end w:w="100" w:type="dxa"/>
            </w:tcMar>
            <w:vAlign w:val="top"/>
          </w:tcPr>
          <w:p>
            <w:pPr>
              <w:spacing w:after="0"/>
            </w:pPr>
            <w:r>
              <w:rPr>
                <w:rFonts w:ascii="Aptos" w:hAnsi="Aptos"/>
                <w:color w:val="17263C"/>
                <w:sz w:val="16"/>
              </w:rPr>
              <w:t>Webhooks sortants</w:t>
            </w:r>
          </w:p>
        </w:tc>
        <w:tc>
          <w:tcPr>
            <w:tcW w:type="dxa" w:w="3401"/>
            <w:tcMar>
              <w:top w:w="80" w:type="dxa"/>
              <w:start w:w="100" w:type="dxa"/>
              <w:bottom w:w="80" w:type="dxa"/>
              <w:end w:w="100" w:type="dxa"/>
            </w:tcMar>
            <w:vAlign w:val="top"/>
          </w:tcPr>
          <w:p>
            <w:pPr>
              <w:spacing w:after="0"/>
            </w:pPr>
            <w:r>
              <w:rPr>
                <w:rFonts w:ascii="Aptos" w:hAnsi="Aptos"/>
                <w:color w:val="17263C"/>
                <w:sz w:val="16"/>
              </w:rPr>
              <w:t>subscribe, sign, deliver, retry</w:t>
            </w:r>
          </w:p>
        </w:tc>
        <w:tc>
          <w:tcPr>
            <w:tcW w:type="dxa" w:w="4762"/>
            <w:tcMar>
              <w:top w:w="80" w:type="dxa"/>
              <w:start w:w="100" w:type="dxa"/>
              <w:bottom w:w="80" w:type="dxa"/>
              <w:end w:w="100" w:type="dxa"/>
            </w:tcMar>
            <w:vAlign w:val="top"/>
          </w:tcPr>
          <w:p>
            <w:pPr>
              <w:spacing w:after="0"/>
            </w:pPr>
            <w:r>
              <w:rPr>
                <w:rFonts w:ascii="Aptos" w:hAnsi="Aptos"/>
                <w:color w:val="17263C"/>
                <w:sz w:val="16"/>
              </w:rPr>
              <w:t>secret rotatif, idempotence, journal des tentatives</w:t>
            </w:r>
          </w:p>
        </w:tc>
      </w:tr>
    </w:tbl>
    <w:p>
      <w:pPr>
        <w:spacing w:after="0"/>
      </w:pPr>
    </w:p>
    <w:p>
      <w:pPr>
        <w:pStyle w:val="Heading2"/>
      </w:pPr>
      <w:r>
        <w:t>9.5 Documents générés</w:t>
      </w:r>
    </w:p>
    <w:p>
      <w:pPr>
        <w:pStyle w:val="ListBullet"/>
      </w:pPr>
      <w:r>
        <w:rPr>
          <w:rFonts w:ascii="Aptos" w:hAnsi="Aptos"/>
          <w:sz w:val="18"/>
        </w:rPr>
        <w:t>Un document PDF est généré depuis un snapshot métier, jamais depuis des données susceptibles de changer silencieusement.</w:t>
      </w:r>
    </w:p>
    <w:p>
      <w:pPr>
        <w:pStyle w:val="ListBullet"/>
      </w:pPr>
      <w:r>
        <w:rPr>
          <w:rFonts w:ascii="Aptos" w:hAnsi="Aptos"/>
          <w:sz w:val="18"/>
        </w:rPr>
        <w:t>Les modèles de documents sont versionnés et rattachés au document produit.</w:t>
      </w:r>
    </w:p>
    <w:p>
      <w:pPr>
        <w:pStyle w:val="ListBullet"/>
      </w:pPr>
      <w:r>
        <w:rPr>
          <w:rFonts w:ascii="Aptos" w:hAnsi="Aptos"/>
          <w:sz w:val="18"/>
        </w:rPr>
        <w:t>Les montants, taxes et totaux sont fournis par le service de calcul, pas recalculés dans le template.</w:t>
      </w:r>
    </w:p>
    <w:p>
      <w:pPr>
        <w:pStyle w:val="ListBullet"/>
      </w:pPr>
      <w:r>
        <w:rPr>
          <w:rFonts w:ascii="Aptos" w:hAnsi="Aptos"/>
          <w:sz w:val="18"/>
        </w:rPr>
        <w:t>L’empreinte du fichier, la date de génération et le générateur sont conservés.</w:t>
      </w:r>
    </w:p>
    <w:p>
      <w:pPr>
        <w:pStyle w:val="ListBullet"/>
      </w:pPr>
      <w:r>
        <w:rPr>
          <w:rFonts w:ascii="Aptos" w:hAnsi="Aptos"/>
          <w:sz w:val="18"/>
        </w:rPr>
        <w:t>La prévisualisation d’un brouillon est marquée comme telle et ne consomme pas de numéro définitif.</w:t>
      </w:r>
    </w:p>
    <w:p>
      <w:pPr>
        <w:pStyle w:val="Heading1"/>
      </w:pPr>
      <w:r>
        <w:t>10. Sécurité, conformité, performance et exploitation</w:t>
      </w:r>
    </w:p>
    <w:p>
      <w:pPr>
        <w:pStyle w:val="Heading2"/>
      </w:pPr>
      <w:r>
        <w:t>10.1 Sécurité applicative</w:t>
      </w:r>
    </w:p>
    <w:p>
      <w:pPr>
        <w:pStyle w:val="ListBullet"/>
      </w:pPr>
      <w:r>
        <w:rPr>
          <w:rFonts w:ascii="Aptos" w:hAnsi="Aptos"/>
          <w:sz w:val="18"/>
        </w:rPr>
        <w:t>HTTPS obligatoire en production, cookies Secure, HttpOnly et SameSite adaptés.</w:t>
      </w:r>
    </w:p>
    <w:p>
      <w:pPr>
        <w:pStyle w:val="ListBullet"/>
      </w:pPr>
      <w:r>
        <w:rPr>
          <w:rFonts w:ascii="Aptos" w:hAnsi="Aptos"/>
          <w:sz w:val="18"/>
        </w:rPr>
        <w:t>Protection CSRF sur toutes les mutations serveur et politique CORS restrictive pour les API.</w:t>
      </w:r>
    </w:p>
    <w:p>
      <w:pPr>
        <w:pStyle w:val="ListBullet"/>
      </w:pPr>
      <w:r>
        <w:rPr>
          <w:rFonts w:ascii="Aptos" w:hAnsi="Aptos"/>
          <w:sz w:val="18"/>
        </w:rPr>
        <w:t>MFA disponible et imposable aux administrateurs, validateurs financiers et accès comptables.</w:t>
      </w:r>
    </w:p>
    <w:p>
      <w:pPr>
        <w:pStyle w:val="ListBullet"/>
      </w:pPr>
      <w:r>
        <w:rPr>
          <w:rFonts w:ascii="Aptos" w:hAnsi="Aptos"/>
          <w:sz w:val="18"/>
        </w:rPr>
        <w:t>Argon2 ou mécanisme recommandé par la version Django retenue, avec politique de migration des hash.</w:t>
      </w:r>
    </w:p>
    <w:p>
      <w:pPr>
        <w:pStyle w:val="ListBullet"/>
      </w:pPr>
      <w:r>
        <w:rPr>
          <w:rFonts w:ascii="Aptos" w:hAnsi="Aptos"/>
          <w:sz w:val="18"/>
        </w:rPr>
        <w:t>Rate limiting sur authentification, récupération de compte, exports et endpoints sensibles.</w:t>
      </w:r>
    </w:p>
    <w:p>
      <w:pPr>
        <w:pStyle w:val="ListBullet"/>
      </w:pPr>
      <w:r>
        <w:rPr>
          <w:rFonts w:ascii="Aptos" w:hAnsi="Aptos"/>
          <w:sz w:val="18"/>
        </w:rPr>
        <w:t>Politique de contenu, en-têtes de sécurité, absence de secrets dans le code et rotation documentée.</w:t>
      </w:r>
    </w:p>
    <w:p>
      <w:pPr>
        <w:pStyle w:val="ListBullet"/>
      </w:pPr>
      <w:r>
        <w:rPr>
          <w:rFonts w:ascii="Aptos" w:hAnsi="Aptos"/>
          <w:sz w:val="18"/>
        </w:rPr>
        <w:t>Contrôle des fichiers déposés : taille, extension, type réel, antivirus et stockage non exécutable.</w:t>
      </w:r>
    </w:p>
    <w:p>
      <w:pPr>
        <w:pStyle w:val="ListBullet"/>
      </w:pPr>
      <w:r>
        <w:rPr>
          <w:rFonts w:ascii="Aptos" w:hAnsi="Aptos"/>
          <w:sz w:val="18"/>
        </w:rPr>
        <w:t>Dépendances verrouillées, analyse de vulnérabilités et correctifs de sécurité intégrés au cycle de maintenance.</w:t>
      </w:r>
    </w:p>
    <w:p>
      <w:pPr>
        <w:pStyle w:val="ListBullet"/>
      </w:pPr>
      <w:r>
        <w:rPr>
          <w:rFonts w:ascii="Aptos" w:hAnsi="Aptos"/>
          <w:sz w:val="18"/>
        </w:rPr>
        <w:t>Principe du moindre privilège pour base de données, stockage, tâches et intégrations.</w:t>
      </w:r>
    </w:p>
    <w:p>
      <w:pPr>
        <w:pStyle w:val="Heading2"/>
      </w:pPr>
      <w:r>
        <w:t>10.2 Protection des données</w:t>
      </w:r>
    </w:p>
    <w:p>
      <w:pPr>
        <w:pStyle w:val="ListBullet"/>
      </w:pPr>
      <w:r>
        <w:rPr>
          <w:rFonts w:ascii="Aptos" w:hAnsi="Aptos"/>
          <w:sz w:val="18"/>
        </w:rPr>
        <w:t>Finalité et base de traitement documentées dans le projet client.</w:t>
      </w:r>
    </w:p>
    <w:p>
      <w:pPr>
        <w:pStyle w:val="ListBullet"/>
      </w:pPr>
      <w:r>
        <w:rPr>
          <w:rFonts w:ascii="Aptos" w:hAnsi="Aptos"/>
          <w:sz w:val="18"/>
        </w:rPr>
        <w:t>Collecte limitée aux données nécessaires ; champs sensibles désactivés par défaut.</w:t>
      </w:r>
    </w:p>
    <w:p>
      <w:pPr>
        <w:pStyle w:val="ListBullet"/>
      </w:pPr>
      <w:r>
        <w:rPr>
          <w:rFonts w:ascii="Aptos" w:hAnsi="Aptos"/>
          <w:sz w:val="18"/>
        </w:rPr>
        <w:t>Durées de conservation configurées par catégorie, avec distinction base active, archivage et suppression.</w:t>
      </w:r>
    </w:p>
    <w:p>
      <w:pPr>
        <w:pStyle w:val="ListBullet"/>
      </w:pPr>
      <w:r>
        <w:rPr>
          <w:rFonts w:ascii="Aptos" w:hAnsi="Aptos"/>
          <w:sz w:val="18"/>
        </w:rPr>
        <w:t>Procédures d’accès, rectification, export et suppression lorsque les obligations légales le permettent.</w:t>
      </w:r>
    </w:p>
    <w:p>
      <w:pPr>
        <w:pStyle w:val="ListBullet"/>
      </w:pPr>
      <w:r>
        <w:rPr>
          <w:rFonts w:ascii="Aptos" w:hAnsi="Aptos"/>
          <w:sz w:val="18"/>
        </w:rPr>
        <w:t>Anonymisation ou pseudonymisation des environnements de test et de démonstration.</w:t>
      </w:r>
    </w:p>
    <w:p>
      <w:pPr>
        <w:pStyle w:val="ListBullet"/>
      </w:pPr>
      <w:r>
        <w:rPr>
          <w:rFonts w:ascii="Aptos" w:hAnsi="Aptos"/>
          <w:sz w:val="18"/>
        </w:rPr>
        <w:t>Sous-traitants et transferts externes recensés dans la configuration d’intégration.</w:t>
      </w:r>
    </w:p>
    <w:p>
      <w:pPr>
        <w:pStyle w:val="ListBullet"/>
      </w:pPr>
      <w:r>
        <w:rPr>
          <w:rFonts w:ascii="Aptos" w:hAnsi="Aptos"/>
          <w:sz w:val="18"/>
        </w:rPr>
        <w:t>Consultation et export de données sensibles journalisés.</w:t>
      </w:r>
    </w:p>
    <w:tbl>
      <w:tblPr>
        <w:tblW w:type="auto" w:w="0"/>
        <w:jc w:val="center"/>
        <w:tblLayout w:type="fixed"/>
        <w:tblLook w:firstColumn="1" w:firstRow="1" w:lastColumn="0" w:lastRow="0" w:noHBand="0" w:noVBand="1" w:val="04A0"/>
      </w:tblPr>
      <w:tblGrid>
        <w:gridCol w:w="9866"/>
      </w:tblGrid>
      <w:tr>
        <w:trPr>
          <w:tblHeader w:val="true"/>
        </w:trPr>
        <w:tc>
          <w:tcPr>
            <w:tcW w:type="dxa" w:w="9864"/>
            <w:shd w:fill="F3F5F7"/>
            <w:tcMar>
              <w:top w:w="120" w:type="dxa"/>
              <w:start w:w="150" w:type="dxa"/>
              <w:bottom w:w="120" w:type="dxa"/>
              <w:end w:w="150" w:type="dxa"/>
            </w:tcMar>
          </w:tcPr>
          <w:p>
            <w:pPr>
              <w:spacing w:after="40"/>
            </w:pPr>
            <w:r>
              <w:rPr>
                <w:rFonts w:ascii="Aptos" w:hAnsi="Aptos"/>
                <w:b/>
                <w:color w:val="8B6508"/>
                <w:sz w:val="19"/>
              </w:rPr>
              <w:t>Point de vigilance</w:t>
            </w:r>
          </w:p>
          <w:p>
            <w:pPr>
              <w:spacing w:after="0"/>
            </w:pPr>
            <w:r>
              <w:rPr>
                <w:rFonts w:ascii="Aptos" w:hAnsi="Aptos"/>
                <w:color w:val="17263C"/>
                <w:sz w:val="18"/>
              </w:rPr>
              <w:t>La conservation comptable et la suppression RGPD ne s’opposent pas mécaniquement : les règles de rétention doivent distinguer la pièce comptable obligatoire des données personnelles non nécessaires. La matrice de conservation est validée pour chaque client.</w:t>
            </w:r>
          </w:p>
        </w:tc>
      </w:tr>
    </w:tbl>
    <w:p>
      <w:pPr>
        <w:spacing w:after="0"/>
      </w:pPr>
    </w:p>
    <w:p>
      <w:pPr>
        <w:pStyle w:val="Heading2"/>
      </w:pPr>
      <w:r>
        <w:t>10.3 Facturation et comptabilité</w:t>
      </w:r>
    </w:p>
    <w:p>
      <w:pPr>
        <w:pStyle w:val="ListBullet"/>
      </w:pPr>
      <w:r>
        <w:rPr>
          <w:rFonts w:ascii="Aptos" w:hAnsi="Aptos"/>
          <w:sz w:val="18"/>
        </w:rPr>
        <w:t>La facture comporte une date d’émission, un numéro unique fondé sur une séquence chronologique et continue, les identités des parties, le détail des biens ou services, les montants HT/TTC, les taxes et les conditions de paiement [S2].</w:t>
      </w:r>
    </w:p>
    <w:p>
      <w:pPr>
        <w:pStyle w:val="ListBullet"/>
      </w:pPr>
      <w:r>
        <w:rPr>
          <w:rFonts w:ascii="Aptos" w:hAnsi="Aptos"/>
          <w:sz w:val="18"/>
        </w:rPr>
        <w:t>Les quatre mentions introduites avec la réforme sont prévues dans le modèle : SIREN du client, catégorie d’opération, option TVA sur les débits le cas échéant et adresse de livraison distincte [S1].</w:t>
      </w:r>
    </w:p>
    <w:p>
      <w:pPr>
        <w:pStyle w:val="ListBullet"/>
      </w:pPr>
      <w:r>
        <w:rPr>
          <w:rFonts w:ascii="Aptos" w:hAnsi="Aptos"/>
          <w:sz w:val="18"/>
        </w:rPr>
        <w:t>À compter du 1er septembre 2026, toutes les entreprises doivent pouvoir recevoir des factures électroniques ; l’émission concerne à cette date grandes entreprises et ETI, puis PME et micro-entreprises au 1er septembre 2027 [S1].</w:t>
      </w:r>
    </w:p>
    <w:p>
      <w:pPr>
        <w:pStyle w:val="ListBullet"/>
      </w:pPr>
      <w:r>
        <w:rPr>
          <w:rFonts w:ascii="Aptos" w:hAnsi="Aptos"/>
          <w:sz w:val="18"/>
        </w:rPr>
        <w:t>Le PDF ordinaire envoyé par courriel n’est pas assimilé à la facture électronique normée de la réforme ; C14 doit passer par une plateforme agréée directement ou via une solution compatible [S1].</w:t>
      </w:r>
    </w:p>
    <w:p>
      <w:pPr>
        <w:pStyle w:val="ListBullet"/>
      </w:pPr>
      <w:r>
        <w:rPr>
          <w:rFonts w:ascii="Aptos" w:hAnsi="Aptos"/>
          <w:sz w:val="18"/>
        </w:rPr>
        <w:t>Les factures, bons et pièces comptables sont conservés selon la durée applicable ; la référence générale retenue pour les pièces comptables est dix ans à compter de la clôture [S5].</w:t>
      </w:r>
    </w:p>
    <w:p>
      <w:pPr>
        <w:pStyle w:val="ListBullet"/>
      </w:pPr>
      <w:r>
        <w:rPr>
          <w:rFonts w:ascii="Aptos" w:hAnsi="Aptos"/>
          <w:sz w:val="18"/>
        </w:rPr>
        <w:t>Le FEC regroupe les écritures des journaux pour un exercice et impose notamment un ordre et une numérotation chronologiques ; les profils d’export sont testés sur des jeux de référence [S3, S4].</w:t>
      </w:r>
    </w:p>
    <w:p>
      <w:pPr>
        <w:pStyle w:val="Heading2"/>
      </w:pPr>
      <w:r>
        <w:t>10.4 Performance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27"/>
            <w:shd w:fill="EAF2F7"/>
            <w:tcMar>
              <w:top w:w="80" w:type="dxa"/>
              <w:start w:w="100" w:type="dxa"/>
              <w:bottom w:w="80" w:type="dxa"/>
              <w:end w:w="100" w:type="dxa"/>
            </w:tcMar>
            <w:vAlign w:val="center"/>
          </w:tcPr>
          <w:p>
            <w:pPr>
              <w:spacing w:after="0"/>
            </w:pPr>
            <w:r>
              <w:rPr>
                <w:rFonts w:ascii="Aptos" w:hAnsi="Aptos"/>
                <w:b/>
                <w:color w:val="17263C"/>
                <w:sz w:val="16"/>
              </w:rPr>
              <w:t>Indicateur</w:t>
            </w:r>
          </w:p>
        </w:tc>
        <w:tc>
          <w:tcPr>
            <w:tcW w:type="dxa" w:w="3968"/>
            <w:shd w:fill="EAF2F7"/>
            <w:tcMar>
              <w:top w:w="80" w:type="dxa"/>
              <w:start w:w="100" w:type="dxa"/>
              <w:bottom w:w="80" w:type="dxa"/>
              <w:end w:w="100" w:type="dxa"/>
            </w:tcMar>
            <w:vAlign w:val="center"/>
          </w:tcPr>
          <w:p>
            <w:pPr>
              <w:spacing w:after="0"/>
            </w:pPr>
            <w:r>
              <w:rPr>
                <w:rFonts w:ascii="Aptos" w:hAnsi="Aptos"/>
                <w:b/>
                <w:color w:val="17263C"/>
                <w:sz w:val="16"/>
              </w:rPr>
              <w:t>Cible de conception</w:t>
            </w:r>
          </w:p>
        </w:tc>
        <w:tc>
          <w:tcPr>
            <w:tcW w:type="dxa" w:w="3968"/>
            <w:shd w:fill="EAF2F7"/>
            <w:tcMar>
              <w:top w:w="80" w:type="dxa"/>
              <w:start w:w="100" w:type="dxa"/>
              <w:bottom w:w="80" w:type="dxa"/>
              <w:end w:w="100" w:type="dxa"/>
            </w:tcMar>
            <w:vAlign w:val="center"/>
          </w:tcPr>
          <w:p>
            <w:pPr>
              <w:spacing w:after="0"/>
            </w:pPr>
            <w:r>
              <w:rPr>
                <w:rFonts w:ascii="Aptos" w:hAnsi="Aptos"/>
                <w:b/>
                <w:color w:val="17263C"/>
                <w:sz w:val="16"/>
              </w:rPr>
              <w:t>Méthode de validation</w:t>
            </w:r>
          </w:p>
        </w:tc>
      </w:tr>
      <w:tr>
        <w:tc>
          <w:tcPr>
            <w:tcW w:type="dxa" w:w="1927"/>
            <w:tcMar>
              <w:top w:w="80" w:type="dxa"/>
              <w:start w:w="100" w:type="dxa"/>
              <w:bottom w:w="80" w:type="dxa"/>
              <w:end w:w="100" w:type="dxa"/>
            </w:tcMar>
            <w:vAlign w:val="top"/>
          </w:tcPr>
          <w:p>
            <w:pPr>
              <w:spacing w:after="0"/>
            </w:pPr>
            <w:r>
              <w:rPr>
                <w:rFonts w:ascii="Aptos" w:hAnsi="Aptos"/>
                <w:color w:val="17263C"/>
                <w:sz w:val="16"/>
              </w:rPr>
              <w:t>Pages usuelles</w:t>
            </w:r>
          </w:p>
        </w:tc>
        <w:tc>
          <w:tcPr>
            <w:tcW w:type="dxa" w:w="3968"/>
            <w:tcMar>
              <w:top w:w="80" w:type="dxa"/>
              <w:start w:w="100" w:type="dxa"/>
              <w:bottom w:w="80" w:type="dxa"/>
              <w:end w:w="100" w:type="dxa"/>
            </w:tcMar>
            <w:vAlign w:val="top"/>
          </w:tcPr>
          <w:p>
            <w:pPr>
              <w:spacing w:after="0"/>
            </w:pPr>
            <w:r>
              <w:rPr>
                <w:rFonts w:ascii="Aptos" w:hAnsi="Aptos"/>
                <w:color w:val="17263C"/>
                <w:sz w:val="16"/>
              </w:rPr>
              <w:t>p95 inférieur à 700 ms côté serveur hors réseau externe</w:t>
            </w:r>
          </w:p>
        </w:tc>
        <w:tc>
          <w:tcPr>
            <w:tcW w:type="dxa" w:w="3968"/>
            <w:tcMar>
              <w:top w:w="80" w:type="dxa"/>
              <w:start w:w="100" w:type="dxa"/>
              <w:bottom w:w="80" w:type="dxa"/>
              <w:end w:w="100" w:type="dxa"/>
            </w:tcMar>
            <w:vAlign w:val="top"/>
          </w:tcPr>
          <w:p>
            <w:pPr>
              <w:spacing w:after="0"/>
            </w:pPr>
            <w:r>
              <w:rPr>
                <w:rFonts w:ascii="Aptos" w:hAnsi="Aptos"/>
                <w:color w:val="17263C"/>
                <w:sz w:val="16"/>
              </w:rPr>
              <w:t>tests de charge sur jeu volumineux</w:t>
            </w:r>
          </w:p>
        </w:tc>
      </w:tr>
      <w:tr>
        <w:tc>
          <w:tcPr>
            <w:tcW w:type="dxa" w:w="1927"/>
            <w:tcMar>
              <w:top w:w="80" w:type="dxa"/>
              <w:start w:w="100" w:type="dxa"/>
              <w:bottom w:w="80" w:type="dxa"/>
              <w:end w:w="100" w:type="dxa"/>
            </w:tcMar>
            <w:vAlign w:val="top"/>
          </w:tcPr>
          <w:p>
            <w:pPr>
              <w:spacing w:after="0"/>
            </w:pPr>
            <w:r>
              <w:rPr>
                <w:rFonts w:ascii="Aptos" w:hAnsi="Aptos"/>
                <w:color w:val="17263C"/>
                <w:sz w:val="16"/>
              </w:rPr>
              <w:t>Actions HTMX</w:t>
            </w:r>
          </w:p>
        </w:tc>
        <w:tc>
          <w:tcPr>
            <w:tcW w:type="dxa" w:w="3968"/>
            <w:tcMar>
              <w:top w:w="80" w:type="dxa"/>
              <w:start w:w="100" w:type="dxa"/>
              <w:bottom w:w="80" w:type="dxa"/>
              <w:end w:w="100" w:type="dxa"/>
            </w:tcMar>
            <w:vAlign w:val="top"/>
          </w:tcPr>
          <w:p>
            <w:pPr>
              <w:spacing w:after="0"/>
            </w:pPr>
            <w:r>
              <w:rPr>
                <w:rFonts w:ascii="Aptos" w:hAnsi="Aptos"/>
                <w:color w:val="17263C"/>
                <w:sz w:val="16"/>
              </w:rPr>
              <w:t>p95 inférieur à 500 ms pour filtres et transitions simples</w:t>
            </w:r>
          </w:p>
        </w:tc>
        <w:tc>
          <w:tcPr>
            <w:tcW w:type="dxa" w:w="3968"/>
            <w:tcMar>
              <w:top w:w="80" w:type="dxa"/>
              <w:start w:w="100" w:type="dxa"/>
              <w:bottom w:w="80" w:type="dxa"/>
              <w:end w:w="100" w:type="dxa"/>
            </w:tcMar>
            <w:vAlign w:val="top"/>
          </w:tcPr>
          <w:p>
            <w:pPr>
              <w:spacing w:after="0"/>
            </w:pPr>
            <w:r>
              <w:rPr>
                <w:rFonts w:ascii="Aptos" w:hAnsi="Aptos"/>
                <w:color w:val="17263C"/>
                <w:sz w:val="16"/>
              </w:rPr>
              <w:t>mesure APM et requêtes SQL</w:t>
            </w:r>
          </w:p>
        </w:tc>
      </w:tr>
      <w:tr>
        <w:tc>
          <w:tcPr>
            <w:tcW w:type="dxa" w:w="1927"/>
            <w:tcMar>
              <w:top w:w="80" w:type="dxa"/>
              <w:start w:w="100" w:type="dxa"/>
              <w:bottom w:w="80" w:type="dxa"/>
              <w:end w:w="100" w:type="dxa"/>
            </w:tcMar>
            <w:vAlign w:val="top"/>
          </w:tcPr>
          <w:p>
            <w:pPr>
              <w:spacing w:after="0"/>
            </w:pPr>
            <w:r>
              <w:rPr>
                <w:rFonts w:ascii="Aptos" w:hAnsi="Aptos"/>
                <w:color w:val="17263C"/>
                <w:sz w:val="16"/>
              </w:rPr>
              <w:t>Listes</w:t>
            </w:r>
          </w:p>
        </w:tc>
        <w:tc>
          <w:tcPr>
            <w:tcW w:type="dxa" w:w="3968"/>
            <w:tcMar>
              <w:top w:w="80" w:type="dxa"/>
              <w:start w:w="100" w:type="dxa"/>
              <w:bottom w:w="80" w:type="dxa"/>
              <w:end w:w="100" w:type="dxa"/>
            </w:tcMar>
            <w:vAlign w:val="top"/>
          </w:tcPr>
          <w:p>
            <w:pPr>
              <w:spacing w:after="0"/>
            </w:pPr>
            <w:r>
              <w:rPr>
                <w:rFonts w:ascii="Aptos" w:hAnsi="Aptos"/>
                <w:color w:val="17263C"/>
                <w:sz w:val="16"/>
              </w:rPr>
              <w:t>pagination obligatoire au-delà du seuil configuré</w:t>
            </w:r>
          </w:p>
        </w:tc>
        <w:tc>
          <w:tcPr>
            <w:tcW w:type="dxa" w:w="3968"/>
            <w:tcMar>
              <w:top w:w="80" w:type="dxa"/>
              <w:start w:w="100" w:type="dxa"/>
              <w:bottom w:w="80" w:type="dxa"/>
              <w:end w:w="100" w:type="dxa"/>
            </w:tcMar>
            <w:vAlign w:val="top"/>
          </w:tcPr>
          <w:p>
            <w:pPr>
              <w:spacing w:after="0"/>
            </w:pPr>
            <w:r>
              <w:rPr>
                <w:rFonts w:ascii="Aptos" w:hAnsi="Aptos"/>
                <w:color w:val="17263C"/>
                <w:sz w:val="16"/>
              </w:rPr>
              <w:t>tests 100 000 objets par entité</w:t>
            </w:r>
          </w:p>
        </w:tc>
      </w:tr>
      <w:tr>
        <w:tc>
          <w:tcPr>
            <w:tcW w:type="dxa" w:w="1927"/>
            <w:tcMar>
              <w:top w:w="80" w:type="dxa"/>
              <w:start w:w="100" w:type="dxa"/>
              <w:bottom w:w="80" w:type="dxa"/>
              <w:end w:w="100" w:type="dxa"/>
            </w:tcMar>
            <w:vAlign w:val="top"/>
          </w:tcPr>
          <w:p>
            <w:pPr>
              <w:spacing w:after="0"/>
            </w:pPr>
            <w:r>
              <w:rPr>
                <w:rFonts w:ascii="Aptos" w:hAnsi="Aptos"/>
                <w:color w:val="17263C"/>
                <w:sz w:val="16"/>
              </w:rPr>
              <w:t>Requêtes</w:t>
            </w:r>
          </w:p>
        </w:tc>
        <w:tc>
          <w:tcPr>
            <w:tcW w:type="dxa" w:w="3968"/>
            <w:tcMar>
              <w:top w:w="80" w:type="dxa"/>
              <w:start w:w="100" w:type="dxa"/>
              <w:bottom w:w="80" w:type="dxa"/>
              <w:end w:w="100" w:type="dxa"/>
            </w:tcMar>
            <w:vAlign w:val="top"/>
          </w:tcPr>
          <w:p>
            <w:pPr>
              <w:spacing w:after="0"/>
            </w:pPr>
            <w:r>
              <w:rPr>
                <w:rFonts w:ascii="Aptos" w:hAnsi="Aptos"/>
                <w:color w:val="17263C"/>
                <w:sz w:val="16"/>
              </w:rPr>
              <w:t>absence de N+1 sur parcours critiques</w:t>
            </w:r>
          </w:p>
        </w:tc>
        <w:tc>
          <w:tcPr>
            <w:tcW w:type="dxa" w:w="3968"/>
            <w:tcMar>
              <w:top w:w="80" w:type="dxa"/>
              <w:start w:w="100" w:type="dxa"/>
              <w:bottom w:w="80" w:type="dxa"/>
              <w:end w:w="100" w:type="dxa"/>
            </w:tcMar>
            <w:vAlign w:val="top"/>
          </w:tcPr>
          <w:p>
            <w:pPr>
              <w:spacing w:after="0"/>
            </w:pPr>
            <w:r>
              <w:rPr>
                <w:rFonts w:ascii="Aptos" w:hAnsi="Aptos"/>
                <w:color w:val="17263C"/>
                <w:sz w:val="16"/>
              </w:rPr>
              <w:t>assertion du nombre de requêtes</w:t>
            </w:r>
          </w:p>
        </w:tc>
      </w:tr>
      <w:tr>
        <w:tc>
          <w:tcPr>
            <w:tcW w:type="dxa" w:w="1927"/>
            <w:tcMar>
              <w:top w:w="80" w:type="dxa"/>
              <w:start w:w="100" w:type="dxa"/>
              <w:bottom w:w="80" w:type="dxa"/>
              <w:end w:w="100" w:type="dxa"/>
            </w:tcMar>
            <w:vAlign w:val="top"/>
          </w:tcPr>
          <w:p>
            <w:pPr>
              <w:spacing w:after="0"/>
            </w:pPr>
            <w:r>
              <w:rPr>
                <w:rFonts w:ascii="Aptos" w:hAnsi="Aptos"/>
                <w:color w:val="17263C"/>
                <w:sz w:val="16"/>
              </w:rPr>
              <w:t>Exports</w:t>
            </w:r>
          </w:p>
        </w:tc>
        <w:tc>
          <w:tcPr>
            <w:tcW w:type="dxa" w:w="3968"/>
            <w:tcMar>
              <w:top w:w="80" w:type="dxa"/>
              <w:start w:w="100" w:type="dxa"/>
              <w:bottom w:w="80" w:type="dxa"/>
              <w:end w:w="100" w:type="dxa"/>
            </w:tcMar>
            <w:vAlign w:val="top"/>
          </w:tcPr>
          <w:p>
            <w:pPr>
              <w:spacing w:after="0"/>
            </w:pPr>
            <w:r>
              <w:rPr>
                <w:rFonts w:ascii="Aptos" w:hAnsi="Aptos"/>
                <w:color w:val="17263C"/>
                <w:sz w:val="16"/>
              </w:rPr>
              <w:t>traitement asynchrone au-delà du seuil</w:t>
            </w:r>
          </w:p>
        </w:tc>
        <w:tc>
          <w:tcPr>
            <w:tcW w:type="dxa" w:w="3968"/>
            <w:tcMar>
              <w:top w:w="80" w:type="dxa"/>
              <w:start w:w="100" w:type="dxa"/>
              <w:bottom w:w="80" w:type="dxa"/>
              <w:end w:w="100" w:type="dxa"/>
            </w:tcMar>
            <w:vAlign w:val="top"/>
          </w:tcPr>
          <w:p>
            <w:pPr>
              <w:spacing w:after="0"/>
            </w:pPr>
            <w:r>
              <w:rPr>
                <w:rFonts w:ascii="Aptos" w:hAnsi="Aptos"/>
                <w:color w:val="17263C"/>
                <w:sz w:val="16"/>
              </w:rPr>
              <w:t>tests de volume et notification de fin</w:t>
            </w:r>
          </w:p>
        </w:tc>
      </w:tr>
      <w:tr>
        <w:tc>
          <w:tcPr>
            <w:tcW w:type="dxa" w:w="1927"/>
            <w:tcMar>
              <w:top w:w="80" w:type="dxa"/>
              <w:start w:w="100" w:type="dxa"/>
              <w:bottom w:w="80" w:type="dxa"/>
              <w:end w:w="100" w:type="dxa"/>
            </w:tcMar>
            <w:vAlign w:val="top"/>
          </w:tcPr>
          <w:p>
            <w:pPr>
              <w:spacing w:after="0"/>
            </w:pPr>
            <w:r>
              <w:rPr>
                <w:rFonts w:ascii="Aptos" w:hAnsi="Aptos"/>
                <w:color w:val="17263C"/>
                <w:sz w:val="16"/>
              </w:rPr>
              <w:t>Tableaux de bord</w:t>
            </w:r>
          </w:p>
        </w:tc>
        <w:tc>
          <w:tcPr>
            <w:tcW w:type="dxa" w:w="3968"/>
            <w:tcMar>
              <w:top w:w="80" w:type="dxa"/>
              <w:start w:w="100" w:type="dxa"/>
              <w:bottom w:w="80" w:type="dxa"/>
              <w:end w:w="100" w:type="dxa"/>
            </w:tcMar>
            <w:vAlign w:val="top"/>
          </w:tcPr>
          <w:p>
            <w:pPr>
              <w:spacing w:after="0"/>
            </w:pPr>
            <w:r>
              <w:rPr>
                <w:rFonts w:ascii="Aptos" w:hAnsi="Aptos"/>
                <w:color w:val="17263C"/>
                <w:sz w:val="16"/>
              </w:rPr>
              <w:t>widgets chargés indépendamment et mis en cache si sûr</w:t>
            </w:r>
          </w:p>
        </w:tc>
        <w:tc>
          <w:tcPr>
            <w:tcW w:type="dxa" w:w="3968"/>
            <w:tcMar>
              <w:top w:w="80" w:type="dxa"/>
              <w:start w:w="100" w:type="dxa"/>
              <w:bottom w:w="80" w:type="dxa"/>
              <w:end w:w="100" w:type="dxa"/>
            </w:tcMar>
            <w:vAlign w:val="top"/>
          </w:tcPr>
          <w:p>
            <w:pPr>
              <w:spacing w:after="0"/>
            </w:pPr>
            <w:r>
              <w:rPr>
                <w:rFonts w:ascii="Aptos" w:hAnsi="Aptos"/>
                <w:color w:val="17263C"/>
                <w:sz w:val="16"/>
              </w:rPr>
              <w:t>profilage et invalidation testée</w:t>
            </w:r>
          </w:p>
        </w:tc>
      </w:tr>
    </w:tbl>
    <w:p>
      <w:pPr>
        <w:spacing w:after="0"/>
      </w:pPr>
    </w:p>
    <w:p>
      <w:r>
        <w:rPr>
          <w:rFonts w:ascii="Aptos" w:hAnsi="Aptos"/>
          <w:color w:val="667085"/>
        </w:rPr>
        <w:t>Ces valeurs sont des objectifs de conception initiaux. Chaque projet client les confirme selon son hébergement, ses volumes et ses intégrations.</w:t>
      </w:r>
    </w:p>
    <w:p>
      <w:pPr>
        <w:pStyle w:val="Heading2"/>
      </w:pPr>
      <w:r>
        <w:t>10.5 Exploitation et résilience</w:t>
      </w:r>
    </w:p>
    <w:p>
      <w:pPr>
        <w:pStyle w:val="ListBullet"/>
      </w:pPr>
      <w:r>
        <w:rPr>
          <w:rFonts w:ascii="Aptos" w:hAnsi="Aptos"/>
          <w:sz w:val="18"/>
        </w:rPr>
        <w:t>Environnements développement, test, préproduction et production séparés.</w:t>
      </w:r>
    </w:p>
    <w:p>
      <w:pPr>
        <w:pStyle w:val="ListBullet"/>
      </w:pPr>
      <w:r>
        <w:rPr>
          <w:rFonts w:ascii="Aptos" w:hAnsi="Aptos"/>
          <w:sz w:val="18"/>
        </w:rPr>
        <w:t>Migrations automatiques contrôlées, sauvegarde avant migration sensible et procédure de retour documentée.</w:t>
      </w:r>
    </w:p>
    <w:p>
      <w:pPr>
        <w:pStyle w:val="ListBullet"/>
      </w:pPr>
      <w:r>
        <w:rPr>
          <w:rFonts w:ascii="Aptos" w:hAnsi="Aptos"/>
          <w:sz w:val="18"/>
        </w:rPr>
        <w:t>Sauvegardes chiffrées, test de restauration planifié et objectifs RPO/RTO définis par le contrat d’hébergement.</w:t>
      </w:r>
    </w:p>
    <w:p>
      <w:pPr>
        <w:pStyle w:val="ListBullet"/>
      </w:pPr>
      <w:r>
        <w:rPr>
          <w:rFonts w:ascii="Aptos" w:hAnsi="Aptos"/>
          <w:sz w:val="18"/>
        </w:rPr>
        <w:t>Health checks distincts pour application, base, file de tâches et intégrations critiques.</w:t>
      </w:r>
    </w:p>
    <w:p>
      <w:pPr>
        <w:pStyle w:val="ListBullet"/>
      </w:pPr>
      <w:r>
        <w:rPr>
          <w:rFonts w:ascii="Aptos" w:hAnsi="Aptos"/>
          <w:sz w:val="18"/>
        </w:rPr>
        <w:t>Logs structurés avec identifiant de corrélation, sans données personnelles ou secrets inutiles.</w:t>
      </w:r>
    </w:p>
    <w:p>
      <w:pPr>
        <w:pStyle w:val="ListBullet"/>
      </w:pPr>
      <w:r>
        <w:rPr>
          <w:rFonts w:ascii="Aptos" w:hAnsi="Aptos"/>
          <w:sz w:val="18"/>
        </w:rPr>
        <w:t>Alertes sur erreurs, files bloquées, échecs de sauvegarde, divergence de transmission et saturation.</w:t>
      </w:r>
    </w:p>
    <w:p>
      <w:pPr>
        <w:pStyle w:val="ListBullet"/>
      </w:pPr>
      <w:r>
        <w:rPr>
          <w:rFonts w:ascii="Aptos" w:hAnsi="Aptos"/>
          <w:sz w:val="18"/>
        </w:rPr>
        <w:t>Tâches asynchrones avec reprise, délai maximal, dead-letter queue ou équivalent et outil de relance contrôlée.</w:t>
      </w:r>
    </w:p>
    <w:p>
      <w:pPr>
        <w:pStyle w:val="ListBullet"/>
      </w:pPr>
      <w:r>
        <w:rPr>
          <w:rFonts w:ascii="Aptos" w:hAnsi="Aptos"/>
          <w:sz w:val="18"/>
        </w:rPr>
        <w:t>Plan de continuité pour indisponibilité d’un fournisseur de paiement ou de facturation électronique.</w:t>
      </w:r>
    </w:p>
    <w:p>
      <w:pPr>
        <w:pStyle w:val="Heading1"/>
      </w:pPr>
      <w:r>
        <w:t>11. Qualité, tests, documentation et recette</w:t>
      </w:r>
    </w:p>
    <w:p>
      <w:pPr>
        <w:pStyle w:val="Heading2"/>
      </w:pPr>
      <w:r>
        <w:t>11.1 Stratégie de tests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0"/>
            <w:shd w:fill="EAF2F7"/>
            <w:tcMar>
              <w:top w:w="80" w:type="dxa"/>
              <w:start w:w="100" w:type="dxa"/>
              <w:bottom w:w="80" w:type="dxa"/>
              <w:end w:w="100" w:type="dxa"/>
            </w:tcMar>
            <w:vAlign w:val="center"/>
          </w:tcPr>
          <w:p>
            <w:pPr>
              <w:spacing w:after="0"/>
            </w:pPr>
            <w:r>
              <w:rPr>
                <w:rFonts w:ascii="Aptos" w:hAnsi="Aptos"/>
                <w:b/>
                <w:color w:val="17263C"/>
                <w:sz w:val="16"/>
              </w:rPr>
              <w:t>Niveau</w:t>
            </w:r>
          </w:p>
        </w:tc>
        <w:tc>
          <w:tcPr>
            <w:tcW w:type="dxa" w:w="3401"/>
            <w:shd w:fill="EAF2F7"/>
            <w:tcMar>
              <w:top w:w="80" w:type="dxa"/>
              <w:start w:w="100" w:type="dxa"/>
              <w:bottom w:w="80" w:type="dxa"/>
              <w:end w:w="100" w:type="dxa"/>
            </w:tcMar>
            <w:vAlign w:val="center"/>
          </w:tcPr>
          <w:p>
            <w:pPr>
              <w:spacing w:after="0"/>
            </w:pPr>
            <w:r>
              <w:rPr>
                <w:rFonts w:ascii="Aptos" w:hAnsi="Aptos"/>
                <w:b/>
                <w:color w:val="17263C"/>
                <w:sz w:val="16"/>
              </w:rPr>
              <w:t>Objet</w:t>
            </w:r>
          </w:p>
        </w:tc>
        <w:tc>
          <w:tcPr>
            <w:tcW w:type="dxa" w:w="4762"/>
            <w:shd w:fill="EAF2F7"/>
            <w:tcMar>
              <w:top w:w="80" w:type="dxa"/>
              <w:start w:w="100" w:type="dxa"/>
              <w:bottom w:w="80" w:type="dxa"/>
              <w:end w:w="100" w:type="dxa"/>
            </w:tcMar>
            <w:vAlign w:val="center"/>
          </w:tcPr>
          <w:p>
            <w:pPr>
              <w:spacing w:after="0"/>
            </w:pPr>
            <w:r>
              <w:rPr>
                <w:rFonts w:ascii="Aptos" w:hAnsi="Aptos"/>
                <w:b/>
                <w:color w:val="17263C"/>
                <w:sz w:val="16"/>
              </w:rPr>
              <w:t>Exigence</w:t>
            </w:r>
          </w:p>
        </w:tc>
      </w:tr>
      <w:tr>
        <w:tc>
          <w:tcPr>
            <w:tcW w:type="dxa" w:w="1700"/>
            <w:tcMar>
              <w:top w:w="80" w:type="dxa"/>
              <w:start w:w="100" w:type="dxa"/>
              <w:bottom w:w="80" w:type="dxa"/>
              <w:end w:w="100" w:type="dxa"/>
            </w:tcMar>
            <w:vAlign w:val="top"/>
          </w:tcPr>
          <w:p>
            <w:pPr>
              <w:spacing w:after="0"/>
            </w:pPr>
            <w:r>
              <w:rPr>
                <w:rFonts w:ascii="Aptos" w:hAnsi="Aptos"/>
                <w:color w:val="17263C"/>
                <w:sz w:val="16"/>
              </w:rPr>
              <w:t>Unitaire</w:t>
            </w:r>
          </w:p>
        </w:tc>
        <w:tc>
          <w:tcPr>
            <w:tcW w:type="dxa" w:w="3401"/>
            <w:tcMar>
              <w:top w:w="80" w:type="dxa"/>
              <w:start w:w="100" w:type="dxa"/>
              <w:bottom w:w="80" w:type="dxa"/>
              <w:end w:w="100" w:type="dxa"/>
            </w:tcMar>
            <w:vAlign w:val="top"/>
          </w:tcPr>
          <w:p>
            <w:pPr>
              <w:spacing w:after="0"/>
            </w:pPr>
            <w:r>
              <w:rPr>
                <w:rFonts w:ascii="Aptos" w:hAnsi="Aptos"/>
                <w:color w:val="17263C"/>
                <w:sz w:val="16"/>
              </w:rPr>
              <w:t>calculs, transitions, politiques, validateurs</w:t>
            </w:r>
          </w:p>
        </w:tc>
        <w:tc>
          <w:tcPr>
            <w:tcW w:type="dxa" w:w="4762"/>
            <w:tcMar>
              <w:top w:w="80" w:type="dxa"/>
              <w:start w:w="100" w:type="dxa"/>
              <w:bottom w:w="80" w:type="dxa"/>
              <w:end w:w="100" w:type="dxa"/>
            </w:tcMar>
            <w:vAlign w:val="top"/>
          </w:tcPr>
          <w:p>
            <w:pPr>
              <w:spacing w:after="0"/>
            </w:pPr>
            <w:r>
              <w:rPr>
                <w:rFonts w:ascii="Aptos" w:hAnsi="Aptos"/>
                <w:color w:val="17263C"/>
                <w:sz w:val="16"/>
              </w:rPr>
              <w:t>cas nominaux, limites, erreurs et propriétés invariantes</w:t>
            </w:r>
          </w:p>
        </w:tc>
      </w:tr>
      <w:tr>
        <w:tc>
          <w:tcPr>
            <w:tcW w:type="dxa" w:w="1700"/>
            <w:tcMar>
              <w:top w:w="80" w:type="dxa"/>
              <w:start w:w="100" w:type="dxa"/>
              <w:bottom w:w="80" w:type="dxa"/>
              <w:end w:w="100" w:type="dxa"/>
            </w:tcMar>
            <w:vAlign w:val="top"/>
          </w:tcPr>
          <w:p>
            <w:pPr>
              <w:spacing w:after="0"/>
            </w:pPr>
            <w:r>
              <w:rPr>
                <w:rFonts w:ascii="Aptos" w:hAnsi="Aptos"/>
                <w:color w:val="17263C"/>
                <w:sz w:val="16"/>
              </w:rPr>
              <w:t>Modèle/DB</w:t>
            </w:r>
          </w:p>
        </w:tc>
        <w:tc>
          <w:tcPr>
            <w:tcW w:type="dxa" w:w="3401"/>
            <w:tcMar>
              <w:top w:w="80" w:type="dxa"/>
              <w:start w:w="100" w:type="dxa"/>
              <w:bottom w:w="80" w:type="dxa"/>
              <w:end w:w="100" w:type="dxa"/>
            </w:tcMar>
            <w:vAlign w:val="top"/>
          </w:tcPr>
          <w:p>
            <w:pPr>
              <w:spacing w:after="0"/>
            </w:pPr>
            <w:r>
              <w:rPr>
                <w:rFonts w:ascii="Aptos" w:hAnsi="Aptos"/>
                <w:color w:val="17263C"/>
                <w:sz w:val="16"/>
              </w:rPr>
              <w:t>contraintes, index, concurrence, migrations</w:t>
            </w:r>
          </w:p>
        </w:tc>
        <w:tc>
          <w:tcPr>
            <w:tcW w:type="dxa" w:w="4762"/>
            <w:tcMar>
              <w:top w:w="80" w:type="dxa"/>
              <w:start w:w="100" w:type="dxa"/>
              <w:bottom w:w="80" w:type="dxa"/>
              <w:end w:w="100" w:type="dxa"/>
            </w:tcMar>
            <w:vAlign w:val="top"/>
          </w:tcPr>
          <w:p>
            <w:pPr>
              <w:spacing w:after="0"/>
            </w:pPr>
            <w:r>
              <w:rPr>
                <w:rFonts w:ascii="Aptos" w:hAnsi="Aptos"/>
                <w:color w:val="17263C"/>
                <w:sz w:val="16"/>
              </w:rPr>
              <w:t>PostgreSQL réel dans la CI d’intégration</w:t>
            </w:r>
          </w:p>
        </w:tc>
      </w:tr>
      <w:tr>
        <w:tc>
          <w:tcPr>
            <w:tcW w:type="dxa" w:w="1700"/>
            <w:tcMar>
              <w:top w:w="80" w:type="dxa"/>
              <w:start w:w="100" w:type="dxa"/>
              <w:bottom w:w="80" w:type="dxa"/>
              <w:end w:w="100" w:type="dxa"/>
            </w:tcMar>
            <w:vAlign w:val="top"/>
          </w:tcPr>
          <w:p>
            <w:pPr>
              <w:spacing w:after="0"/>
            </w:pPr>
            <w:r>
              <w:rPr>
                <w:rFonts w:ascii="Aptos" w:hAnsi="Aptos"/>
                <w:color w:val="17263C"/>
                <w:sz w:val="16"/>
              </w:rPr>
              <w:t>Service</w:t>
            </w:r>
          </w:p>
        </w:tc>
        <w:tc>
          <w:tcPr>
            <w:tcW w:type="dxa" w:w="3401"/>
            <w:tcMar>
              <w:top w:w="80" w:type="dxa"/>
              <w:start w:w="100" w:type="dxa"/>
              <w:bottom w:w="80" w:type="dxa"/>
              <w:end w:w="100" w:type="dxa"/>
            </w:tcMar>
            <w:vAlign w:val="top"/>
          </w:tcPr>
          <w:p>
            <w:pPr>
              <w:spacing w:after="0"/>
            </w:pPr>
            <w:r>
              <w:rPr>
                <w:rFonts w:ascii="Aptos" w:hAnsi="Aptos"/>
                <w:color w:val="17263C"/>
                <w:sz w:val="16"/>
              </w:rPr>
              <w:t>transactions métier</w:t>
            </w:r>
          </w:p>
        </w:tc>
        <w:tc>
          <w:tcPr>
            <w:tcW w:type="dxa" w:w="4762"/>
            <w:tcMar>
              <w:top w:w="80" w:type="dxa"/>
              <w:start w:w="100" w:type="dxa"/>
              <w:bottom w:w="80" w:type="dxa"/>
              <w:end w:w="100" w:type="dxa"/>
            </w:tcMar>
            <w:vAlign w:val="top"/>
          </w:tcPr>
          <w:p>
            <w:pPr>
              <w:spacing w:after="0"/>
            </w:pPr>
            <w:r>
              <w:rPr>
                <w:rFonts w:ascii="Aptos" w:hAnsi="Aptos"/>
                <w:color w:val="17263C"/>
                <w:sz w:val="16"/>
              </w:rPr>
              <w:t>atomicité, idempotence, rollback et événements</w:t>
            </w:r>
          </w:p>
        </w:tc>
      </w:tr>
      <w:tr>
        <w:tc>
          <w:tcPr>
            <w:tcW w:type="dxa" w:w="1700"/>
            <w:tcMar>
              <w:top w:w="80" w:type="dxa"/>
              <w:start w:w="100" w:type="dxa"/>
              <w:bottom w:w="80" w:type="dxa"/>
              <w:end w:w="100" w:type="dxa"/>
            </w:tcMar>
            <w:vAlign w:val="top"/>
          </w:tcPr>
          <w:p>
            <w:pPr>
              <w:spacing w:after="0"/>
            </w:pPr>
            <w:r>
              <w:rPr>
                <w:rFonts w:ascii="Aptos" w:hAnsi="Aptos"/>
                <w:color w:val="17263C"/>
                <w:sz w:val="16"/>
              </w:rPr>
              <w:t>Permissions</w:t>
            </w:r>
          </w:p>
        </w:tc>
        <w:tc>
          <w:tcPr>
            <w:tcW w:type="dxa" w:w="3401"/>
            <w:tcMar>
              <w:top w:w="80" w:type="dxa"/>
              <w:start w:w="100" w:type="dxa"/>
              <w:bottom w:w="80" w:type="dxa"/>
              <w:end w:w="100" w:type="dxa"/>
            </w:tcMar>
            <w:vAlign w:val="top"/>
          </w:tcPr>
          <w:p>
            <w:pPr>
              <w:spacing w:after="0"/>
            </w:pPr>
            <w:r>
              <w:rPr>
                <w:rFonts w:ascii="Aptos" w:hAnsi="Aptos"/>
                <w:color w:val="17263C"/>
                <w:sz w:val="16"/>
              </w:rPr>
              <w:t>vues, API, exports, objets</w:t>
            </w:r>
          </w:p>
        </w:tc>
        <w:tc>
          <w:tcPr>
            <w:tcW w:type="dxa" w:w="4762"/>
            <w:tcMar>
              <w:top w:w="80" w:type="dxa"/>
              <w:start w:w="100" w:type="dxa"/>
              <w:bottom w:w="80" w:type="dxa"/>
              <w:end w:w="100" w:type="dxa"/>
            </w:tcMar>
            <w:vAlign w:val="top"/>
          </w:tcPr>
          <w:p>
            <w:pPr>
              <w:spacing w:after="0"/>
            </w:pPr>
            <w:r>
              <w:rPr>
                <w:rFonts w:ascii="Aptos" w:hAnsi="Aptos"/>
                <w:color w:val="17263C"/>
                <w:sz w:val="16"/>
              </w:rPr>
              <w:t>matrice par rôle et portée</w:t>
            </w:r>
          </w:p>
        </w:tc>
      </w:tr>
      <w:tr>
        <w:tc>
          <w:tcPr>
            <w:tcW w:type="dxa" w:w="1700"/>
            <w:tcMar>
              <w:top w:w="80" w:type="dxa"/>
              <w:start w:w="100" w:type="dxa"/>
              <w:bottom w:w="80" w:type="dxa"/>
              <w:end w:w="100" w:type="dxa"/>
            </w:tcMar>
            <w:vAlign w:val="top"/>
          </w:tcPr>
          <w:p>
            <w:pPr>
              <w:spacing w:after="0"/>
            </w:pPr>
            <w:r>
              <w:rPr>
                <w:rFonts w:ascii="Aptos" w:hAnsi="Aptos"/>
                <w:color w:val="17263C"/>
                <w:sz w:val="16"/>
              </w:rPr>
              <w:t>Intégration</w:t>
            </w:r>
          </w:p>
        </w:tc>
        <w:tc>
          <w:tcPr>
            <w:tcW w:type="dxa" w:w="3401"/>
            <w:tcMar>
              <w:top w:w="80" w:type="dxa"/>
              <w:start w:w="100" w:type="dxa"/>
              <w:bottom w:w="80" w:type="dxa"/>
              <w:end w:w="100" w:type="dxa"/>
            </w:tcMar>
            <w:vAlign w:val="top"/>
          </w:tcPr>
          <w:p>
            <w:pPr>
              <w:spacing w:after="0"/>
            </w:pPr>
            <w:r>
              <w:rPr>
                <w:rFonts w:ascii="Aptos" w:hAnsi="Aptos"/>
                <w:color w:val="17263C"/>
                <w:sz w:val="16"/>
              </w:rPr>
              <w:t>paiement, courriel, banque, PA</w:t>
            </w:r>
          </w:p>
        </w:tc>
        <w:tc>
          <w:tcPr>
            <w:tcW w:type="dxa" w:w="4762"/>
            <w:tcMar>
              <w:top w:w="80" w:type="dxa"/>
              <w:start w:w="100" w:type="dxa"/>
              <w:bottom w:w="80" w:type="dxa"/>
              <w:end w:w="100" w:type="dxa"/>
            </w:tcMar>
            <w:vAlign w:val="top"/>
          </w:tcPr>
          <w:p>
            <w:pPr>
              <w:spacing w:after="0"/>
            </w:pPr>
            <w:r>
              <w:rPr>
                <w:rFonts w:ascii="Aptos" w:hAnsi="Aptos"/>
                <w:color w:val="17263C"/>
                <w:sz w:val="16"/>
              </w:rPr>
              <w:t>sandboxes ou simulateurs contractuels</w:t>
            </w:r>
          </w:p>
        </w:tc>
      </w:tr>
      <w:tr>
        <w:tc>
          <w:tcPr>
            <w:tcW w:type="dxa" w:w="1700"/>
            <w:tcMar>
              <w:top w:w="80" w:type="dxa"/>
              <w:start w:w="100" w:type="dxa"/>
              <w:bottom w:w="80" w:type="dxa"/>
              <w:end w:w="100" w:type="dxa"/>
            </w:tcMar>
            <w:vAlign w:val="top"/>
          </w:tcPr>
          <w:p>
            <w:pPr>
              <w:spacing w:after="0"/>
            </w:pPr>
            <w:r>
              <w:rPr>
                <w:rFonts w:ascii="Aptos" w:hAnsi="Aptos"/>
                <w:color w:val="17263C"/>
                <w:sz w:val="16"/>
              </w:rPr>
              <w:t>Composants</w:t>
            </w:r>
          </w:p>
        </w:tc>
        <w:tc>
          <w:tcPr>
            <w:tcW w:type="dxa" w:w="3401"/>
            <w:tcMar>
              <w:top w:w="80" w:type="dxa"/>
              <w:start w:w="100" w:type="dxa"/>
              <w:bottom w:w="80" w:type="dxa"/>
              <w:end w:w="100" w:type="dxa"/>
            </w:tcMar>
            <w:vAlign w:val="top"/>
          </w:tcPr>
          <w:p>
            <w:pPr>
              <w:spacing w:after="0"/>
            </w:pPr>
            <w:r>
              <w:rPr>
                <w:rFonts w:ascii="Aptos" w:hAnsi="Aptos"/>
                <w:color w:val="17263C"/>
                <w:sz w:val="16"/>
              </w:rPr>
              <w:t>templates et HTMX</w:t>
            </w:r>
          </w:p>
        </w:tc>
        <w:tc>
          <w:tcPr>
            <w:tcW w:type="dxa" w:w="4762"/>
            <w:tcMar>
              <w:top w:w="80" w:type="dxa"/>
              <w:start w:w="100" w:type="dxa"/>
              <w:bottom w:w="80" w:type="dxa"/>
              <w:end w:w="100" w:type="dxa"/>
            </w:tcMar>
            <w:vAlign w:val="top"/>
          </w:tcPr>
          <w:p>
            <w:pPr>
              <w:spacing w:after="0"/>
            </w:pPr>
            <w:r>
              <w:rPr>
                <w:rFonts w:ascii="Aptos" w:hAnsi="Aptos"/>
                <w:color w:val="17263C"/>
                <w:sz w:val="16"/>
              </w:rPr>
              <w:t>rendu, accessibilité, erreurs et états vides</w:t>
            </w:r>
          </w:p>
        </w:tc>
      </w:tr>
      <w:tr>
        <w:tc>
          <w:tcPr>
            <w:tcW w:type="dxa" w:w="1700"/>
            <w:tcMar>
              <w:top w:w="80" w:type="dxa"/>
              <w:start w:w="100" w:type="dxa"/>
              <w:bottom w:w="80" w:type="dxa"/>
              <w:end w:w="100" w:type="dxa"/>
            </w:tcMar>
            <w:vAlign w:val="top"/>
          </w:tcPr>
          <w:p>
            <w:pPr>
              <w:spacing w:after="0"/>
            </w:pPr>
            <w:r>
              <w:rPr>
                <w:rFonts w:ascii="Aptos" w:hAnsi="Aptos"/>
                <w:color w:val="17263C"/>
                <w:sz w:val="16"/>
              </w:rPr>
              <w:t>End-to-end</w:t>
            </w:r>
          </w:p>
        </w:tc>
        <w:tc>
          <w:tcPr>
            <w:tcW w:type="dxa" w:w="3401"/>
            <w:tcMar>
              <w:top w:w="80" w:type="dxa"/>
              <w:start w:w="100" w:type="dxa"/>
              <w:bottom w:w="80" w:type="dxa"/>
              <w:end w:w="100" w:type="dxa"/>
            </w:tcMar>
            <w:vAlign w:val="top"/>
          </w:tcPr>
          <w:p>
            <w:pPr>
              <w:spacing w:after="0"/>
            </w:pPr>
            <w:r>
              <w:rPr>
                <w:rFonts w:ascii="Aptos" w:hAnsi="Aptos"/>
                <w:color w:val="17263C"/>
                <w:sz w:val="16"/>
              </w:rPr>
              <w:t>parcours essentiels</w:t>
            </w:r>
          </w:p>
        </w:tc>
        <w:tc>
          <w:tcPr>
            <w:tcW w:type="dxa" w:w="4762"/>
            <w:tcMar>
              <w:top w:w="80" w:type="dxa"/>
              <w:start w:w="100" w:type="dxa"/>
              <w:bottom w:w="80" w:type="dxa"/>
              <w:end w:w="100" w:type="dxa"/>
            </w:tcMar>
            <w:vAlign w:val="top"/>
          </w:tcPr>
          <w:p>
            <w:pPr>
              <w:spacing w:after="0"/>
            </w:pPr>
            <w:r>
              <w:rPr>
                <w:rFonts w:ascii="Aptos" w:hAnsi="Aptos"/>
                <w:color w:val="17263C"/>
                <w:sz w:val="16"/>
              </w:rPr>
              <w:t>devis→commande→facture→paiement et achat→facture→paiement</w:t>
            </w:r>
          </w:p>
        </w:tc>
      </w:tr>
      <w:tr>
        <w:tc>
          <w:tcPr>
            <w:tcW w:type="dxa" w:w="1700"/>
            <w:tcMar>
              <w:top w:w="80" w:type="dxa"/>
              <w:start w:w="100" w:type="dxa"/>
              <w:bottom w:w="80" w:type="dxa"/>
              <w:end w:w="100" w:type="dxa"/>
            </w:tcMar>
            <w:vAlign w:val="top"/>
          </w:tcPr>
          <w:p>
            <w:pPr>
              <w:spacing w:after="0"/>
            </w:pPr>
            <w:r>
              <w:rPr>
                <w:rFonts w:ascii="Aptos" w:hAnsi="Aptos"/>
                <w:color w:val="17263C"/>
                <w:sz w:val="16"/>
              </w:rPr>
              <w:t>Performance</w:t>
            </w:r>
          </w:p>
        </w:tc>
        <w:tc>
          <w:tcPr>
            <w:tcW w:type="dxa" w:w="3401"/>
            <w:tcMar>
              <w:top w:w="80" w:type="dxa"/>
              <w:start w:w="100" w:type="dxa"/>
              <w:bottom w:w="80" w:type="dxa"/>
              <w:end w:w="100" w:type="dxa"/>
            </w:tcMar>
            <w:vAlign w:val="top"/>
          </w:tcPr>
          <w:p>
            <w:pPr>
              <w:spacing w:after="0"/>
            </w:pPr>
            <w:r>
              <w:rPr>
                <w:rFonts w:ascii="Aptos" w:hAnsi="Aptos"/>
                <w:color w:val="17263C"/>
                <w:sz w:val="16"/>
              </w:rPr>
              <w:t>listes, dashboards, exports</w:t>
            </w:r>
          </w:p>
        </w:tc>
        <w:tc>
          <w:tcPr>
            <w:tcW w:type="dxa" w:w="4762"/>
            <w:tcMar>
              <w:top w:w="80" w:type="dxa"/>
              <w:start w:w="100" w:type="dxa"/>
              <w:bottom w:w="80" w:type="dxa"/>
              <w:end w:w="100" w:type="dxa"/>
            </w:tcMar>
            <w:vAlign w:val="top"/>
          </w:tcPr>
          <w:p>
            <w:pPr>
              <w:spacing w:after="0"/>
            </w:pPr>
            <w:r>
              <w:rPr>
                <w:rFonts w:ascii="Aptos" w:hAnsi="Aptos"/>
                <w:color w:val="17263C"/>
                <w:sz w:val="16"/>
              </w:rPr>
              <w:t>volumes de référence et seuils mesurés</w:t>
            </w:r>
          </w:p>
        </w:tc>
      </w:tr>
      <w:tr>
        <w:tc>
          <w:tcPr>
            <w:tcW w:type="dxa" w:w="1700"/>
            <w:tcMar>
              <w:top w:w="80" w:type="dxa"/>
              <w:start w:w="100" w:type="dxa"/>
              <w:bottom w:w="80" w:type="dxa"/>
              <w:end w:w="100" w:type="dxa"/>
            </w:tcMar>
            <w:vAlign w:val="top"/>
          </w:tcPr>
          <w:p>
            <w:pPr>
              <w:spacing w:after="0"/>
            </w:pPr>
            <w:r>
              <w:rPr>
                <w:rFonts w:ascii="Aptos" w:hAnsi="Aptos"/>
                <w:color w:val="17263C"/>
                <w:sz w:val="16"/>
              </w:rPr>
              <w:t>Sécurité</w:t>
            </w:r>
          </w:p>
        </w:tc>
        <w:tc>
          <w:tcPr>
            <w:tcW w:type="dxa" w:w="3401"/>
            <w:tcMar>
              <w:top w:w="80" w:type="dxa"/>
              <w:start w:w="100" w:type="dxa"/>
              <w:bottom w:w="80" w:type="dxa"/>
              <w:end w:w="100" w:type="dxa"/>
            </w:tcMar>
            <w:vAlign w:val="top"/>
          </w:tcPr>
          <w:p>
            <w:pPr>
              <w:spacing w:after="0"/>
            </w:pPr>
            <w:r>
              <w:rPr>
                <w:rFonts w:ascii="Aptos" w:hAnsi="Aptos"/>
                <w:color w:val="17263C"/>
                <w:sz w:val="16"/>
              </w:rPr>
              <w:t>authentification, accès, fichiers, API</w:t>
            </w:r>
          </w:p>
        </w:tc>
        <w:tc>
          <w:tcPr>
            <w:tcW w:type="dxa" w:w="4762"/>
            <w:tcMar>
              <w:top w:w="80" w:type="dxa"/>
              <w:start w:w="100" w:type="dxa"/>
              <w:bottom w:w="80" w:type="dxa"/>
              <w:end w:w="100" w:type="dxa"/>
            </w:tcMar>
            <w:vAlign w:val="top"/>
          </w:tcPr>
          <w:p>
            <w:pPr>
              <w:spacing w:after="0"/>
            </w:pPr>
            <w:r>
              <w:rPr>
                <w:rFonts w:ascii="Aptos" w:hAnsi="Aptos"/>
                <w:color w:val="17263C"/>
                <w:sz w:val="16"/>
              </w:rPr>
              <w:t>tests automatiques et revue ciblée</w:t>
            </w:r>
          </w:p>
        </w:tc>
      </w:tr>
    </w:tbl>
    <w:p>
      <w:pPr>
        <w:spacing w:after="0"/>
      </w:pPr>
    </w:p>
    <w:p>
      <w:pPr>
        <w:pStyle w:val="Heading2"/>
      </w:pPr>
      <w:r>
        <w:t>11.2 Invariants à tester systématiquement</w:t>
      </w:r>
    </w:p>
    <w:p>
      <w:pPr>
        <w:pStyle w:val="ListBullet"/>
      </w:pPr>
      <w:r>
        <w:rPr>
          <w:rFonts w:ascii="Aptos" w:hAnsi="Aptos"/>
          <w:sz w:val="18"/>
        </w:rPr>
        <w:t>Une écriture comptable validée est équilibrée et ne peut plus être modifiée.</w:t>
      </w:r>
    </w:p>
    <w:p>
      <w:pPr>
        <w:pStyle w:val="ListBullet"/>
      </w:pPr>
      <w:r>
        <w:rPr>
          <w:rFonts w:ascii="Aptos" w:hAnsi="Aptos"/>
          <w:sz w:val="18"/>
        </w:rPr>
        <w:t>Une facture émise garde son numéro, son snapshot, ses montants et son fichier d’origine.</w:t>
      </w:r>
    </w:p>
    <w:p>
      <w:pPr>
        <w:pStyle w:val="ListBullet"/>
      </w:pPr>
      <w:r>
        <w:rPr>
          <w:rFonts w:ascii="Aptos" w:hAnsi="Aptos"/>
          <w:sz w:val="18"/>
        </w:rPr>
        <w:t>Un avoir ne dépasse pas les montants ou quantités autorisés de la facture référencée.</w:t>
      </w:r>
    </w:p>
    <w:p>
      <w:pPr>
        <w:pStyle w:val="ListBullet"/>
      </w:pPr>
      <w:r>
        <w:rPr>
          <w:rFonts w:ascii="Aptos" w:hAnsi="Aptos"/>
          <w:sz w:val="18"/>
        </w:rPr>
        <w:t>Une allocation de paiement ne peut dépasser ni le paiement disponible ni le poste restant dû.</w:t>
      </w:r>
    </w:p>
    <w:p>
      <w:pPr>
        <w:pStyle w:val="ListBullet"/>
      </w:pPr>
      <w:r>
        <w:rPr>
          <w:rFonts w:ascii="Aptos" w:hAnsi="Aptos"/>
          <w:sz w:val="18"/>
        </w:rPr>
        <w:t>Une période verrouillée refuse les nouvelles opérations concernées, sauf procédure de réouverture autorisée.</w:t>
      </w:r>
    </w:p>
    <w:p>
      <w:pPr>
        <w:pStyle w:val="ListBullet"/>
      </w:pPr>
      <w:r>
        <w:rPr>
          <w:rFonts w:ascii="Aptos" w:hAnsi="Aptos"/>
          <w:sz w:val="18"/>
        </w:rPr>
        <w:t>Une réservation de stock ou de ressource ne devient pas négative en concurrence lorsque la règle l’interdit.</w:t>
      </w:r>
    </w:p>
    <w:p>
      <w:pPr>
        <w:pStyle w:val="ListBullet"/>
      </w:pPr>
      <w:r>
        <w:rPr>
          <w:rFonts w:ascii="Aptos" w:hAnsi="Aptos"/>
          <w:sz w:val="18"/>
        </w:rPr>
        <w:t>Un utilisateur ne voit jamais de données hors de son organisation ou de sa portée, y compris dans les totaux et exports.</w:t>
      </w:r>
    </w:p>
    <w:p>
      <w:pPr>
        <w:pStyle w:val="ListBullet"/>
      </w:pPr>
      <w:r>
        <w:rPr>
          <w:rFonts w:ascii="Aptos" w:hAnsi="Aptos"/>
          <w:sz w:val="18"/>
        </w:rPr>
        <w:t>Le même événement externe reçu plusieurs fois ne produit qu’un seul effet métier.</w:t>
      </w:r>
    </w:p>
    <w:p>
      <w:pPr>
        <w:pStyle w:val="ListBullet"/>
      </w:pPr>
      <w:r>
        <w:rPr>
          <w:rFonts w:ascii="Aptos" w:hAnsi="Aptos"/>
          <w:sz w:val="18"/>
        </w:rPr>
        <w:t>Un calcul monétaire donne le même résultat dans le service, l’API, le PDF et l’export.</w:t>
      </w:r>
    </w:p>
    <w:p>
      <w:pPr>
        <w:pStyle w:val="Heading2"/>
      </w:pPr>
      <w:r>
        <w:t>11.3 Seuils de qualité</w:t>
      </w:r>
    </w:p>
    <w:p>
      <w:pPr>
        <w:pStyle w:val="ListBullet"/>
      </w:pPr>
      <w:r>
        <w:rPr>
          <w:rFonts w:ascii="Aptos" w:hAnsi="Aptos"/>
          <w:sz w:val="18"/>
        </w:rPr>
        <w:t>Couverture globale minimale de 85 % pour une version stable ; 95 % sur services financiers et règles de calcul critiques.</w:t>
      </w:r>
    </w:p>
    <w:p>
      <w:pPr>
        <w:pStyle w:val="ListBullet"/>
      </w:pPr>
      <w:r>
        <w:rPr>
          <w:rFonts w:ascii="Aptos" w:hAnsi="Aptos"/>
          <w:sz w:val="18"/>
        </w:rPr>
        <w:t>100 % des transitions réglementaires, permissions sensibles et invariants comptables couverts par au moins un test positif et négatif.</w:t>
      </w:r>
    </w:p>
    <w:p>
      <w:pPr>
        <w:pStyle w:val="ListBullet"/>
      </w:pPr>
      <w:r>
        <w:rPr>
          <w:rFonts w:ascii="Aptos" w:hAnsi="Aptos"/>
          <w:sz w:val="18"/>
        </w:rPr>
        <w:t>Zéro migration manquante, conflit de migration ou modification de modèle non reflétée en CI.</w:t>
      </w:r>
    </w:p>
    <w:p>
      <w:pPr>
        <w:pStyle w:val="ListBullet"/>
      </w:pPr>
      <w:r>
        <w:rPr>
          <w:rFonts w:ascii="Aptos" w:hAnsi="Aptos"/>
          <w:sz w:val="18"/>
        </w:rPr>
        <w:t>Analyse statique, formatage, typage progressif et contrôle des dépendances obligatoires.</w:t>
      </w:r>
    </w:p>
    <w:p>
      <w:pPr>
        <w:pStyle w:val="ListBullet"/>
      </w:pPr>
      <w:r>
        <w:rPr>
          <w:rFonts w:ascii="Aptos" w:hAnsi="Aptos"/>
          <w:sz w:val="18"/>
        </w:rPr>
        <w:t>Aucun test marqué skip dans les parcours critiques sans justification et ticket associé.</w:t>
      </w:r>
    </w:p>
    <w:p>
      <w:pPr>
        <w:pStyle w:val="ListBullet"/>
      </w:pPr>
      <w:r>
        <w:rPr>
          <w:rFonts w:ascii="Aptos" w:hAnsi="Aptos"/>
          <w:sz w:val="18"/>
        </w:rPr>
        <w:t>Jeux de référence versionnés pour facturation, taxes, écritures, FEC et arrondis.</w:t>
      </w:r>
    </w:p>
    <w:p>
      <w:pPr>
        <w:pStyle w:val="Heading2"/>
      </w:pPr>
      <w:r>
        <w:t>11.4 Documentation obligatoire par brique</w:t>
      </w:r>
    </w:p>
    <w:p>
      <w:pPr>
        <w:pStyle w:val="ListBullet"/>
      </w:pPr>
      <w:r>
        <w:rPr>
          <w:rFonts w:ascii="Aptos" w:hAnsi="Aptos"/>
          <w:sz w:val="18"/>
        </w:rPr>
        <w:t>Finalité, limites et dépendances.</w:t>
      </w:r>
    </w:p>
    <w:p>
      <w:pPr>
        <w:pStyle w:val="ListBullet"/>
      </w:pPr>
      <w:r>
        <w:rPr>
          <w:rFonts w:ascii="Aptos" w:hAnsi="Aptos"/>
          <w:sz w:val="18"/>
        </w:rPr>
        <w:t>Schéma des modèles et relations importantes.</w:t>
      </w:r>
    </w:p>
    <w:p>
      <w:pPr>
        <w:pStyle w:val="ListBullet"/>
      </w:pPr>
      <w:r>
        <w:rPr>
          <w:rFonts w:ascii="Aptos" w:hAnsi="Aptos"/>
          <w:sz w:val="18"/>
        </w:rPr>
        <w:t>Services publics et exemples d’appel.</w:t>
      </w:r>
    </w:p>
    <w:p>
      <w:pPr>
        <w:pStyle w:val="ListBullet"/>
      </w:pPr>
      <w:r>
        <w:rPr>
          <w:rFonts w:ascii="Aptos" w:hAnsi="Aptos"/>
          <w:sz w:val="18"/>
        </w:rPr>
        <w:t>Permissions et événements publiés/consommés.</w:t>
      </w:r>
    </w:p>
    <w:p>
      <w:pPr>
        <w:pStyle w:val="ListBullet"/>
      </w:pPr>
      <w:r>
        <w:rPr>
          <w:rFonts w:ascii="Aptos" w:hAnsi="Aptos"/>
          <w:sz w:val="18"/>
        </w:rPr>
        <w:t>Paramètres, valeurs par défaut et points d’extension.</w:t>
      </w:r>
    </w:p>
    <w:p>
      <w:pPr>
        <w:pStyle w:val="ListBullet"/>
      </w:pPr>
      <w:r>
        <w:rPr>
          <w:rFonts w:ascii="Aptos" w:hAnsi="Aptos"/>
          <w:sz w:val="18"/>
        </w:rPr>
        <w:t>Guide d’installation, migrations et données initiales.</w:t>
      </w:r>
    </w:p>
    <w:p>
      <w:pPr>
        <w:pStyle w:val="ListBullet"/>
      </w:pPr>
      <w:r>
        <w:rPr>
          <w:rFonts w:ascii="Aptos" w:hAnsi="Aptos"/>
          <w:sz w:val="18"/>
        </w:rPr>
        <w:t>Parcours d’interface et captures de référence.</w:t>
      </w:r>
    </w:p>
    <w:p>
      <w:pPr>
        <w:pStyle w:val="ListBullet"/>
      </w:pPr>
      <w:r>
        <w:rPr>
          <w:rFonts w:ascii="Aptos" w:hAnsi="Aptos"/>
          <w:sz w:val="18"/>
        </w:rPr>
        <w:t>Cas de recette, limitations connues et procédure de désactivation.</w:t>
      </w:r>
    </w:p>
    <w:p>
      <w:pPr>
        <w:pStyle w:val="Heading2"/>
      </w:pPr>
      <w:r>
        <w:t>11.5 Définition de terminé</w:t>
      </w:r>
    </w:p>
    <w:p>
      <w:r>
        <w:rPr>
          <w:rFonts w:ascii="Aptos" w:hAnsi="Aptos"/>
          <w:color w:val="17263C"/>
        </w:rPr>
        <w:t>Une brique n’est déclarée disponible que si toutes les conditions suivantes sont remplies :</w:t>
      </w:r>
    </w:p>
    <w:p>
      <w:pPr>
        <w:pStyle w:val="ListBullet"/>
      </w:pPr>
      <w:r>
        <w:rPr>
          <w:rFonts w:ascii="Aptos" w:hAnsi="Aptos"/>
          <w:sz w:val="18"/>
        </w:rPr>
        <w:t>code relu et fusionné ;</w:t>
      </w:r>
    </w:p>
    <w:p>
      <w:pPr>
        <w:pStyle w:val="ListBullet"/>
      </w:pPr>
      <w:r>
        <w:rPr>
          <w:rFonts w:ascii="Aptos" w:hAnsi="Aptos"/>
          <w:sz w:val="18"/>
        </w:rPr>
        <w:t>migrations créées et testées depuis une base vide et depuis la version précédente ;</w:t>
      </w:r>
    </w:p>
    <w:p>
      <w:pPr>
        <w:pStyle w:val="ListBullet"/>
      </w:pPr>
      <w:r>
        <w:rPr>
          <w:rFonts w:ascii="Aptos" w:hAnsi="Aptos"/>
          <w:sz w:val="18"/>
        </w:rPr>
        <w:t>tests passants sur la matrice de versions retenue ;</w:t>
      </w:r>
    </w:p>
    <w:p>
      <w:pPr>
        <w:pStyle w:val="ListBullet"/>
      </w:pPr>
      <w:r>
        <w:rPr>
          <w:rFonts w:ascii="Aptos" w:hAnsi="Aptos"/>
          <w:sz w:val="18"/>
        </w:rPr>
        <w:t>permissions et audit vérifiés ;</w:t>
      </w:r>
    </w:p>
    <w:p>
      <w:pPr>
        <w:pStyle w:val="ListBullet"/>
      </w:pPr>
      <w:r>
        <w:rPr>
          <w:rFonts w:ascii="Aptos" w:hAnsi="Aptos"/>
          <w:sz w:val="18"/>
        </w:rPr>
        <w:t>interfaces responsive et accessibles contrôlées ;</w:t>
      </w:r>
    </w:p>
    <w:p>
      <w:pPr>
        <w:pStyle w:val="ListBullet"/>
      </w:pPr>
      <w:r>
        <w:rPr>
          <w:rFonts w:ascii="Aptos" w:hAnsi="Aptos"/>
          <w:sz w:val="18"/>
        </w:rPr>
        <w:t>documentation et exemple mis à jour ;</w:t>
      </w:r>
    </w:p>
    <w:p>
      <w:pPr>
        <w:pStyle w:val="ListBullet"/>
      </w:pPr>
      <w:r>
        <w:rPr>
          <w:rFonts w:ascii="Aptos" w:hAnsi="Aptos"/>
          <w:sz w:val="18"/>
        </w:rPr>
        <w:t>données de démonstration non personnelles fournies ;</w:t>
      </w:r>
    </w:p>
    <w:p>
      <w:pPr>
        <w:pStyle w:val="ListBullet"/>
      </w:pPr>
      <w:r>
        <w:rPr>
          <w:rFonts w:ascii="Aptos" w:hAnsi="Aptos"/>
          <w:sz w:val="18"/>
        </w:rPr>
        <w:t>mesures de performance sur volume de référence ;</w:t>
      </w:r>
    </w:p>
    <w:p>
      <w:pPr>
        <w:pStyle w:val="ListBullet"/>
      </w:pPr>
      <w:r>
        <w:rPr>
          <w:rFonts w:ascii="Aptos" w:hAnsi="Aptos"/>
          <w:sz w:val="18"/>
        </w:rPr>
        <w:t>aucune chaîne de marque ou secret inscrit en dur ;</w:t>
      </w:r>
    </w:p>
    <w:p>
      <w:pPr>
        <w:pStyle w:val="ListBullet"/>
      </w:pPr>
      <w:r>
        <w:rPr>
          <w:rFonts w:ascii="Aptos" w:hAnsi="Aptos"/>
          <w:sz w:val="18"/>
        </w:rPr>
        <w:t>critères d’acceptation fonctionnels signés.</w:t>
      </w:r>
    </w:p>
    <w:p>
      <w:pPr>
        <w:pStyle w:val="Heading1"/>
      </w:pPr>
      <w:r>
        <w:t>12. Réalisation, livrables et gouvernance</w:t>
      </w:r>
    </w:p>
    <w:p>
      <w:pPr>
        <w:pStyle w:val="Heading2"/>
      </w:pPr>
      <w:r>
        <w:t>12.1 Découpage recommandé</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57"/>
            <w:shd w:fill="EAF2F7"/>
            <w:tcMar>
              <w:top w:w="80" w:type="dxa"/>
              <w:start w:w="100" w:type="dxa"/>
              <w:bottom w:w="80" w:type="dxa"/>
              <w:end w:w="100" w:type="dxa"/>
            </w:tcMar>
            <w:vAlign w:val="center"/>
          </w:tcPr>
          <w:p>
            <w:pPr>
              <w:spacing w:after="0"/>
            </w:pPr>
            <w:r>
              <w:rPr>
                <w:rFonts w:ascii="Aptos" w:hAnsi="Aptos"/>
                <w:b/>
                <w:color w:val="17263C"/>
                <w:sz w:val="16"/>
              </w:rPr>
              <w:t>Lot</w:t>
            </w:r>
          </w:p>
        </w:tc>
        <w:tc>
          <w:tcPr>
            <w:tcW w:type="dxa" w:w="4648"/>
            <w:shd w:fill="EAF2F7"/>
            <w:tcMar>
              <w:top w:w="80" w:type="dxa"/>
              <w:start w:w="100" w:type="dxa"/>
              <w:bottom w:w="80" w:type="dxa"/>
              <w:end w:w="100" w:type="dxa"/>
            </w:tcMar>
            <w:vAlign w:val="center"/>
          </w:tcPr>
          <w:p>
            <w:pPr>
              <w:spacing w:after="0"/>
            </w:pPr>
            <w:r>
              <w:rPr>
                <w:rFonts w:ascii="Aptos" w:hAnsi="Aptos"/>
                <w:b/>
                <w:color w:val="17263C"/>
                <w:sz w:val="16"/>
              </w:rPr>
              <w:t>Contenu</w:t>
            </w:r>
          </w:p>
        </w:tc>
        <w:tc>
          <w:tcPr>
            <w:tcW w:type="dxa" w:w="3458"/>
            <w:shd w:fill="EAF2F7"/>
            <w:tcMar>
              <w:top w:w="80" w:type="dxa"/>
              <w:start w:w="100" w:type="dxa"/>
              <w:bottom w:w="80" w:type="dxa"/>
              <w:end w:w="100" w:type="dxa"/>
            </w:tcMar>
            <w:vAlign w:val="center"/>
          </w:tcPr>
          <w:p>
            <w:pPr>
              <w:spacing w:after="0"/>
            </w:pPr>
            <w:r>
              <w:rPr>
                <w:rFonts w:ascii="Aptos" w:hAnsi="Aptos"/>
                <w:b/>
                <w:color w:val="17263C"/>
                <w:sz w:val="16"/>
              </w:rPr>
              <w:t>Condition de sortie</w:t>
            </w:r>
          </w:p>
        </w:tc>
      </w:tr>
      <w:tr>
        <w:tc>
          <w:tcPr>
            <w:tcW w:type="dxa" w:w="1757"/>
            <w:tcMar>
              <w:top w:w="80" w:type="dxa"/>
              <w:start w:w="100" w:type="dxa"/>
              <w:bottom w:w="80" w:type="dxa"/>
              <w:end w:w="100" w:type="dxa"/>
            </w:tcMar>
            <w:vAlign w:val="top"/>
          </w:tcPr>
          <w:p>
            <w:pPr>
              <w:spacing w:after="0"/>
            </w:pPr>
            <w:r>
              <w:rPr>
                <w:rFonts w:ascii="Aptos" w:hAnsi="Aptos"/>
                <w:color w:val="17263C"/>
                <w:sz w:val="16"/>
              </w:rPr>
              <w:t>0 — Initialisation</w:t>
            </w:r>
          </w:p>
        </w:tc>
        <w:tc>
          <w:tcPr>
            <w:tcW w:type="dxa" w:w="4648"/>
            <w:tcMar>
              <w:top w:w="80" w:type="dxa"/>
              <w:start w:w="100" w:type="dxa"/>
              <w:bottom w:w="80" w:type="dxa"/>
              <w:end w:w="100" w:type="dxa"/>
            </w:tcMar>
            <w:vAlign w:val="top"/>
          </w:tcPr>
          <w:p>
            <w:pPr>
              <w:spacing w:after="0"/>
            </w:pPr>
            <w:r>
              <w:rPr>
                <w:rFonts w:ascii="Aptos" w:hAnsi="Aptos"/>
                <w:color w:val="17263C"/>
                <w:sz w:val="16"/>
              </w:rPr>
              <w:t>dépôt neuf, namespace, packaging, Django 5.2 LTS, squelette des fondations, migrations initiales, projet de référence, CI et documentation</w:t>
            </w:r>
          </w:p>
        </w:tc>
        <w:tc>
          <w:tcPr>
            <w:tcW w:type="dxa" w:w="3458"/>
            <w:tcMar>
              <w:top w:w="80" w:type="dxa"/>
              <w:start w:w="100" w:type="dxa"/>
              <w:bottom w:w="80" w:type="dxa"/>
              <w:end w:w="100" w:type="dxa"/>
            </w:tcMar>
            <w:vAlign w:val="top"/>
          </w:tcPr>
          <w:p>
            <w:pPr>
              <w:spacing w:after="0"/>
            </w:pPr>
            <w:r>
              <w:rPr>
                <w:rFonts w:ascii="Aptos" w:hAnsi="Aptos"/>
                <w:color w:val="17263C"/>
                <w:sz w:val="16"/>
              </w:rPr>
              <w:t>version 0.1.0 installable depuis zéro et tests du squelette passants</w:t>
            </w:r>
          </w:p>
        </w:tc>
      </w:tr>
      <w:tr>
        <w:tc>
          <w:tcPr>
            <w:tcW w:type="dxa" w:w="1757"/>
            <w:tcMar>
              <w:top w:w="80" w:type="dxa"/>
              <w:start w:w="100" w:type="dxa"/>
              <w:bottom w:w="80" w:type="dxa"/>
              <w:end w:w="100" w:type="dxa"/>
            </w:tcMar>
            <w:vAlign w:val="top"/>
          </w:tcPr>
          <w:p>
            <w:pPr>
              <w:spacing w:after="0"/>
            </w:pPr>
            <w:r>
              <w:rPr>
                <w:rFonts w:ascii="Aptos" w:hAnsi="Aptos"/>
                <w:color w:val="17263C"/>
                <w:sz w:val="16"/>
              </w:rPr>
              <w:t>1 — Fondations</w:t>
            </w:r>
          </w:p>
        </w:tc>
        <w:tc>
          <w:tcPr>
            <w:tcW w:type="dxa" w:w="4648"/>
            <w:tcMar>
              <w:top w:w="80" w:type="dxa"/>
              <w:start w:w="100" w:type="dxa"/>
              <w:bottom w:w="80" w:type="dxa"/>
              <w:end w:w="100" w:type="dxa"/>
            </w:tcMar>
            <w:vAlign w:val="top"/>
          </w:tcPr>
          <w:p>
            <w:pPr>
              <w:spacing w:after="0"/>
            </w:pPr>
            <w:r>
              <w:rPr>
                <w:rFonts w:ascii="Aptos" w:hAnsi="Aptos"/>
                <w:color w:val="17263C"/>
                <w:sz w:val="16"/>
              </w:rPr>
              <w:t>F01 à F12</w:t>
            </w:r>
          </w:p>
        </w:tc>
        <w:tc>
          <w:tcPr>
            <w:tcW w:type="dxa" w:w="3458"/>
            <w:tcMar>
              <w:top w:w="80" w:type="dxa"/>
              <w:start w:w="100" w:type="dxa"/>
              <w:bottom w:w="80" w:type="dxa"/>
              <w:end w:w="100" w:type="dxa"/>
            </w:tcMar>
            <w:vAlign w:val="top"/>
          </w:tcPr>
          <w:p>
            <w:pPr>
              <w:spacing w:after="0"/>
            </w:pPr>
            <w:r>
              <w:rPr>
                <w:rFonts w:ascii="Aptos" w:hAnsi="Aptos"/>
                <w:color w:val="17263C"/>
                <w:sz w:val="16"/>
              </w:rPr>
              <w:t>première plateforme neutre avec droits, audit, workflow, documents et UI</w:t>
            </w:r>
          </w:p>
        </w:tc>
      </w:tr>
      <w:tr>
        <w:tc>
          <w:tcPr>
            <w:tcW w:type="dxa" w:w="1757"/>
            <w:tcMar>
              <w:top w:w="80" w:type="dxa"/>
              <w:start w:w="100" w:type="dxa"/>
              <w:bottom w:w="80" w:type="dxa"/>
              <w:end w:w="100" w:type="dxa"/>
            </w:tcMar>
            <w:vAlign w:val="top"/>
          </w:tcPr>
          <w:p>
            <w:pPr>
              <w:spacing w:after="0"/>
            </w:pPr>
            <w:r>
              <w:rPr>
                <w:rFonts w:ascii="Aptos" w:hAnsi="Aptos"/>
                <w:color w:val="17263C"/>
                <w:sz w:val="16"/>
              </w:rPr>
              <w:t>2 — Cycle commercial</w:t>
            </w:r>
          </w:p>
        </w:tc>
        <w:tc>
          <w:tcPr>
            <w:tcW w:type="dxa" w:w="4648"/>
            <w:tcMar>
              <w:top w:w="80" w:type="dxa"/>
              <w:start w:w="100" w:type="dxa"/>
              <w:bottom w:w="80" w:type="dxa"/>
              <w:end w:w="100" w:type="dxa"/>
            </w:tcMar>
            <w:vAlign w:val="top"/>
          </w:tcPr>
          <w:p>
            <w:pPr>
              <w:spacing w:after="0"/>
            </w:pPr>
            <w:r>
              <w:rPr>
                <w:rFonts w:ascii="Aptos" w:hAnsi="Aptos"/>
                <w:color w:val="17263C"/>
                <w:sz w:val="16"/>
              </w:rPr>
              <w:t>G01 à G05, C01 à C03</w:t>
            </w:r>
          </w:p>
        </w:tc>
        <w:tc>
          <w:tcPr>
            <w:tcW w:type="dxa" w:w="3458"/>
            <w:tcMar>
              <w:top w:w="80" w:type="dxa"/>
              <w:start w:w="100" w:type="dxa"/>
              <w:bottom w:w="80" w:type="dxa"/>
              <w:end w:w="100" w:type="dxa"/>
            </w:tcMar>
            <w:vAlign w:val="top"/>
          </w:tcPr>
          <w:p>
            <w:pPr>
              <w:spacing w:after="0"/>
            </w:pPr>
            <w:r>
              <w:rPr>
                <w:rFonts w:ascii="Aptos" w:hAnsi="Aptos"/>
                <w:color w:val="17263C"/>
                <w:sz w:val="16"/>
              </w:rPr>
              <w:t>devis→commande→facture→paiement entièrement recetté</w:t>
            </w:r>
          </w:p>
        </w:tc>
      </w:tr>
      <w:tr>
        <w:tc>
          <w:tcPr>
            <w:tcW w:type="dxa" w:w="1757"/>
            <w:tcMar>
              <w:top w:w="80" w:type="dxa"/>
              <w:start w:w="100" w:type="dxa"/>
              <w:bottom w:w="80" w:type="dxa"/>
              <w:end w:w="100" w:type="dxa"/>
            </w:tcMar>
            <w:vAlign w:val="top"/>
          </w:tcPr>
          <w:p>
            <w:pPr>
              <w:spacing w:after="0"/>
            </w:pPr>
            <w:r>
              <w:rPr>
                <w:rFonts w:ascii="Aptos" w:hAnsi="Aptos"/>
                <w:color w:val="17263C"/>
                <w:sz w:val="16"/>
              </w:rPr>
              <w:t>3 — Pilotage initial</w:t>
            </w:r>
          </w:p>
        </w:tc>
        <w:tc>
          <w:tcPr>
            <w:tcW w:type="dxa" w:w="4648"/>
            <w:tcMar>
              <w:top w:w="80" w:type="dxa"/>
              <w:start w:w="100" w:type="dxa"/>
              <w:bottom w:w="80" w:type="dxa"/>
              <w:end w:w="100" w:type="dxa"/>
            </w:tcMar>
            <w:vAlign w:val="top"/>
          </w:tcPr>
          <w:p>
            <w:pPr>
              <w:spacing w:after="0"/>
            </w:pPr>
            <w:r>
              <w:rPr>
                <w:rFonts w:ascii="Aptos" w:hAnsi="Aptos"/>
                <w:color w:val="17263C"/>
                <w:sz w:val="16"/>
              </w:rPr>
              <w:t>P01 à P09, P13</w:t>
            </w:r>
          </w:p>
        </w:tc>
        <w:tc>
          <w:tcPr>
            <w:tcW w:type="dxa" w:w="3458"/>
            <w:tcMar>
              <w:top w:w="80" w:type="dxa"/>
              <w:start w:w="100" w:type="dxa"/>
              <w:bottom w:w="80" w:type="dxa"/>
              <w:end w:w="100" w:type="dxa"/>
            </w:tcMar>
            <w:vAlign w:val="top"/>
          </w:tcPr>
          <w:p>
            <w:pPr>
              <w:spacing w:after="0"/>
            </w:pPr>
            <w:r>
              <w:rPr>
                <w:rFonts w:ascii="Aptos" w:hAnsi="Aptos"/>
                <w:color w:val="17263C"/>
                <w:sz w:val="16"/>
              </w:rPr>
              <w:t>KPI, budget, prévisions, trésorerie et rapports sourcés</w:t>
            </w:r>
          </w:p>
        </w:tc>
      </w:tr>
      <w:tr>
        <w:tc>
          <w:tcPr>
            <w:tcW w:type="dxa" w:w="1757"/>
            <w:tcMar>
              <w:top w:w="80" w:type="dxa"/>
              <w:start w:w="100" w:type="dxa"/>
              <w:bottom w:w="80" w:type="dxa"/>
              <w:end w:w="100" w:type="dxa"/>
            </w:tcMar>
            <w:vAlign w:val="top"/>
          </w:tcPr>
          <w:p>
            <w:pPr>
              <w:spacing w:after="0"/>
            </w:pPr>
            <w:r>
              <w:rPr>
                <w:rFonts w:ascii="Aptos" w:hAnsi="Aptos"/>
                <w:color w:val="17263C"/>
                <w:sz w:val="16"/>
              </w:rPr>
              <w:t>4 — Opérations</w:t>
            </w:r>
          </w:p>
        </w:tc>
        <w:tc>
          <w:tcPr>
            <w:tcW w:type="dxa" w:w="4648"/>
            <w:tcMar>
              <w:top w:w="80" w:type="dxa"/>
              <w:start w:w="100" w:type="dxa"/>
              <w:bottom w:w="80" w:type="dxa"/>
              <w:end w:w="100" w:type="dxa"/>
            </w:tcMar>
            <w:vAlign w:val="top"/>
          </w:tcPr>
          <w:p>
            <w:pPr>
              <w:spacing w:after="0"/>
            </w:pPr>
            <w:r>
              <w:rPr>
                <w:rFonts w:ascii="Aptos" w:hAnsi="Aptos"/>
                <w:color w:val="17263C"/>
                <w:sz w:val="16"/>
              </w:rPr>
              <w:t>G06 à G15, P10 à P12</w:t>
            </w:r>
          </w:p>
        </w:tc>
        <w:tc>
          <w:tcPr>
            <w:tcW w:type="dxa" w:w="3458"/>
            <w:tcMar>
              <w:top w:w="80" w:type="dxa"/>
              <w:start w:w="100" w:type="dxa"/>
              <w:bottom w:w="80" w:type="dxa"/>
              <w:end w:w="100" w:type="dxa"/>
            </w:tcMar>
            <w:vAlign w:val="top"/>
          </w:tcPr>
          <w:p>
            <w:pPr>
              <w:spacing w:after="0"/>
            </w:pPr>
            <w:r>
              <w:rPr>
                <w:rFonts w:ascii="Aptos" w:hAnsi="Aptos"/>
                <w:color w:val="17263C"/>
                <w:sz w:val="16"/>
              </w:rPr>
              <w:t>achats, stock, projets, interventions, capacité, qualité et actifs</w:t>
            </w:r>
          </w:p>
        </w:tc>
      </w:tr>
      <w:tr>
        <w:tc>
          <w:tcPr>
            <w:tcW w:type="dxa" w:w="1757"/>
            <w:tcMar>
              <w:top w:w="80" w:type="dxa"/>
              <w:start w:w="100" w:type="dxa"/>
              <w:bottom w:w="80" w:type="dxa"/>
              <w:end w:w="100" w:type="dxa"/>
            </w:tcMar>
            <w:vAlign w:val="top"/>
          </w:tcPr>
          <w:p>
            <w:pPr>
              <w:spacing w:after="0"/>
            </w:pPr>
            <w:r>
              <w:rPr>
                <w:rFonts w:ascii="Aptos" w:hAnsi="Aptos"/>
                <w:color w:val="17263C"/>
                <w:sz w:val="16"/>
              </w:rPr>
              <w:t>5 — Pré-comptabilité</w:t>
            </w:r>
          </w:p>
        </w:tc>
        <w:tc>
          <w:tcPr>
            <w:tcW w:type="dxa" w:w="4648"/>
            <w:tcMar>
              <w:top w:w="80" w:type="dxa"/>
              <w:start w:w="100" w:type="dxa"/>
              <w:bottom w:w="80" w:type="dxa"/>
              <w:end w:w="100" w:type="dxa"/>
            </w:tcMar>
            <w:vAlign w:val="top"/>
          </w:tcPr>
          <w:p>
            <w:pPr>
              <w:spacing w:after="0"/>
            </w:pPr>
            <w:r>
              <w:rPr>
                <w:rFonts w:ascii="Aptos" w:hAnsi="Aptos"/>
                <w:color w:val="17263C"/>
                <w:sz w:val="16"/>
              </w:rPr>
              <w:t>C04 à C07, C10</w:t>
            </w:r>
          </w:p>
        </w:tc>
        <w:tc>
          <w:tcPr>
            <w:tcW w:type="dxa" w:w="3458"/>
            <w:tcMar>
              <w:top w:w="80" w:type="dxa"/>
              <w:start w:w="100" w:type="dxa"/>
              <w:bottom w:w="80" w:type="dxa"/>
              <w:end w:w="100" w:type="dxa"/>
            </w:tcMar>
            <w:vAlign w:val="top"/>
          </w:tcPr>
          <w:p>
            <w:pPr>
              <w:spacing w:after="0"/>
            </w:pPr>
            <w:r>
              <w:rPr>
                <w:rFonts w:ascii="Aptos" w:hAnsi="Aptos"/>
                <w:color w:val="17263C"/>
                <w:sz w:val="16"/>
              </w:rPr>
              <w:t>dépenses, fournisseurs, banque, analytique et transmission comptable</w:t>
            </w:r>
          </w:p>
        </w:tc>
      </w:tr>
      <w:tr>
        <w:tc>
          <w:tcPr>
            <w:tcW w:type="dxa" w:w="1757"/>
            <w:tcMar>
              <w:top w:w="80" w:type="dxa"/>
              <w:start w:w="100" w:type="dxa"/>
              <w:bottom w:w="80" w:type="dxa"/>
              <w:end w:w="100" w:type="dxa"/>
            </w:tcMar>
            <w:vAlign w:val="top"/>
          </w:tcPr>
          <w:p>
            <w:pPr>
              <w:spacing w:after="0"/>
            </w:pPr>
            <w:r>
              <w:rPr>
                <w:rFonts w:ascii="Aptos" w:hAnsi="Aptos"/>
                <w:color w:val="17263C"/>
                <w:sz w:val="16"/>
              </w:rPr>
              <w:t>6 — Comptabilité</w:t>
            </w:r>
          </w:p>
        </w:tc>
        <w:tc>
          <w:tcPr>
            <w:tcW w:type="dxa" w:w="4648"/>
            <w:tcMar>
              <w:top w:w="80" w:type="dxa"/>
              <w:start w:w="100" w:type="dxa"/>
              <w:bottom w:w="80" w:type="dxa"/>
              <w:end w:w="100" w:type="dxa"/>
            </w:tcMar>
            <w:vAlign w:val="top"/>
          </w:tcPr>
          <w:p>
            <w:pPr>
              <w:spacing w:after="0"/>
            </w:pPr>
            <w:r>
              <w:rPr>
                <w:rFonts w:ascii="Aptos" w:hAnsi="Aptos"/>
                <w:color w:val="17263C"/>
                <w:sz w:val="16"/>
              </w:rPr>
              <w:t>C08, C09, C11 à C13, C15</w:t>
            </w:r>
          </w:p>
        </w:tc>
        <w:tc>
          <w:tcPr>
            <w:tcW w:type="dxa" w:w="3458"/>
            <w:tcMar>
              <w:top w:w="80" w:type="dxa"/>
              <w:start w:w="100" w:type="dxa"/>
              <w:bottom w:w="80" w:type="dxa"/>
              <w:end w:w="100" w:type="dxa"/>
            </w:tcMar>
            <w:vAlign w:val="top"/>
          </w:tcPr>
          <w:p>
            <w:pPr>
              <w:spacing w:after="0"/>
            </w:pPr>
            <w:r>
              <w:rPr>
                <w:rFonts w:ascii="Aptos" w:hAnsi="Aptos"/>
                <w:color w:val="17263C"/>
                <w:sz w:val="16"/>
              </w:rPr>
              <w:t>journaux, états, taxes, immobilisations, clôture et FEC</w:t>
            </w:r>
          </w:p>
        </w:tc>
      </w:tr>
      <w:tr>
        <w:tc>
          <w:tcPr>
            <w:tcW w:type="dxa" w:w="1757"/>
            <w:tcMar>
              <w:top w:w="80" w:type="dxa"/>
              <w:start w:w="100" w:type="dxa"/>
              <w:bottom w:w="80" w:type="dxa"/>
              <w:end w:w="100" w:type="dxa"/>
            </w:tcMar>
            <w:vAlign w:val="top"/>
          </w:tcPr>
          <w:p>
            <w:pPr>
              <w:spacing w:after="0"/>
            </w:pPr>
            <w:r>
              <w:rPr>
                <w:rFonts w:ascii="Aptos" w:hAnsi="Aptos"/>
                <w:color w:val="17263C"/>
                <w:sz w:val="16"/>
              </w:rPr>
              <w:t>7 — Échanges réglementés</w:t>
            </w:r>
          </w:p>
        </w:tc>
        <w:tc>
          <w:tcPr>
            <w:tcW w:type="dxa" w:w="4648"/>
            <w:tcMar>
              <w:top w:w="80" w:type="dxa"/>
              <w:start w:w="100" w:type="dxa"/>
              <w:bottom w:w="80" w:type="dxa"/>
              <w:end w:w="100" w:type="dxa"/>
            </w:tcMar>
            <w:vAlign w:val="top"/>
          </w:tcPr>
          <w:p>
            <w:pPr>
              <w:spacing w:after="0"/>
            </w:pPr>
            <w:r>
              <w:rPr>
                <w:rFonts w:ascii="Aptos" w:hAnsi="Aptos"/>
                <w:color w:val="17263C"/>
                <w:sz w:val="16"/>
              </w:rPr>
              <w:t>C14 et adaptateurs</w:t>
            </w:r>
          </w:p>
        </w:tc>
        <w:tc>
          <w:tcPr>
            <w:tcW w:type="dxa" w:w="3458"/>
            <w:tcMar>
              <w:top w:w="80" w:type="dxa"/>
              <w:start w:w="100" w:type="dxa"/>
              <w:bottom w:w="80" w:type="dxa"/>
              <w:end w:w="100" w:type="dxa"/>
            </w:tcMar>
            <w:vAlign w:val="top"/>
          </w:tcPr>
          <w:p>
            <w:pPr>
              <w:spacing w:after="0"/>
            </w:pPr>
            <w:r>
              <w:rPr>
                <w:rFonts w:ascii="Aptos" w:hAnsi="Aptos"/>
                <w:color w:val="17263C"/>
                <w:sz w:val="16"/>
              </w:rPr>
              <w:t>émission/réception et e-reporting validés avec prestataire choisi</w:t>
            </w:r>
          </w:p>
        </w:tc>
      </w:tr>
      <w:tr>
        <w:tc>
          <w:tcPr>
            <w:tcW w:type="dxa" w:w="1757"/>
            <w:tcMar>
              <w:top w:w="80" w:type="dxa"/>
              <w:start w:w="100" w:type="dxa"/>
              <w:bottom w:w="80" w:type="dxa"/>
              <w:end w:w="100" w:type="dxa"/>
            </w:tcMar>
            <w:vAlign w:val="top"/>
          </w:tcPr>
          <w:p>
            <w:pPr>
              <w:spacing w:after="0"/>
            </w:pPr>
            <w:r>
              <w:rPr>
                <w:rFonts w:ascii="Aptos" w:hAnsi="Aptos"/>
                <w:color w:val="17263C"/>
                <w:sz w:val="16"/>
              </w:rPr>
              <w:t>8 — Durcissement</w:t>
            </w:r>
          </w:p>
        </w:tc>
        <w:tc>
          <w:tcPr>
            <w:tcW w:type="dxa" w:w="4648"/>
            <w:tcMar>
              <w:top w:w="80" w:type="dxa"/>
              <w:start w:w="100" w:type="dxa"/>
              <w:bottom w:w="80" w:type="dxa"/>
              <w:end w:w="100" w:type="dxa"/>
            </w:tcMar>
            <w:vAlign w:val="top"/>
          </w:tcPr>
          <w:p>
            <w:pPr>
              <w:spacing w:after="0"/>
            </w:pPr>
            <w:r>
              <w:rPr>
                <w:rFonts w:ascii="Aptos" w:hAnsi="Aptos"/>
                <w:color w:val="17263C"/>
                <w:sz w:val="16"/>
              </w:rPr>
              <w:t>charge, sécurité, restauration, accessibilité, documentation opérateur</w:t>
            </w:r>
          </w:p>
        </w:tc>
        <w:tc>
          <w:tcPr>
            <w:tcW w:type="dxa" w:w="3458"/>
            <w:tcMar>
              <w:top w:w="80" w:type="dxa"/>
              <w:start w:w="100" w:type="dxa"/>
              <w:bottom w:w="80" w:type="dxa"/>
              <w:end w:w="100" w:type="dxa"/>
            </w:tcMar>
            <w:vAlign w:val="top"/>
          </w:tcPr>
          <w:p>
            <w:pPr>
              <w:spacing w:after="0"/>
            </w:pPr>
            <w:r>
              <w:rPr>
                <w:rFonts w:ascii="Aptos" w:hAnsi="Aptos"/>
                <w:color w:val="17263C"/>
                <w:sz w:val="16"/>
              </w:rPr>
              <w:t>release stable et dossier de recette complet</w:t>
            </w:r>
          </w:p>
        </w:tc>
      </w:tr>
    </w:tbl>
    <w:p>
      <w:pPr>
        <w:spacing w:after="0"/>
      </w:pPr>
    </w:p>
    <w:p>
      <w:pPr>
        <w:pStyle w:val="Heading2"/>
      </w:pPr>
      <w:r>
        <w:t>12.2 Priorités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247"/>
            <w:shd w:fill="EAF2F7"/>
            <w:tcMar>
              <w:top w:w="80" w:type="dxa"/>
              <w:start w:w="100" w:type="dxa"/>
              <w:bottom w:w="80" w:type="dxa"/>
              <w:end w:w="100" w:type="dxa"/>
            </w:tcMar>
            <w:vAlign w:val="center"/>
          </w:tcPr>
          <w:p>
            <w:pPr>
              <w:spacing w:after="0"/>
            </w:pPr>
            <w:r>
              <w:rPr>
                <w:rFonts w:ascii="Aptos" w:hAnsi="Aptos"/>
                <w:b/>
                <w:color w:val="17263C"/>
                <w:sz w:val="16"/>
              </w:rPr>
              <w:t>Niveau</w:t>
            </w:r>
          </w:p>
        </w:tc>
        <w:tc>
          <w:tcPr>
            <w:tcW w:type="dxa" w:w="4648"/>
            <w:shd w:fill="EAF2F7"/>
            <w:tcMar>
              <w:top w:w="80" w:type="dxa"/>
              <w:start w:w="100" w:type="dxa"/>
              <w:bottom w:w="80" w:type="dxa"/>
              <w:end w:w="100" w:type="dxa"/>
            </w:tcMar>
            <w:vAlign w:val="center"/>
          </w:tcPr>
          <w:p>
            <w:pPr>
              <w:spacing w:after="0"/>
            </w:pPr>
            <w:r>
              <w:rPr>
                <w:rFonts w:ascii="Aptos" w:hAnsi="Aptos"/>
                <w:b/>
                <w:color w:val="17263C"/>
                <w:sz w:val="16"/>
              </w:rPr>
              <w:t>Briques</w:t>
            </w:r>
          </w:p>
        </w:tc>
        <w:tc>
          <w:tcPr>
            <w:tcW w:type="dxa" w:w="3968"/>
            <w:shd w:fill="EAF2F7"/>
            <w:tcMar>
              <w:top w:w="80" w:type="dxa"/>
              <w:start w:w="100" w:type="dxa"/>
              <w:bottom w:w="80" w:type="dxa"/>
              <w:end w:w="100" w:type="dxa"/>
            </w:tcMar>
            <w:vAlign w:val="center"/>
          </w:tcPr>
          <w:p>
            <w:pPr>
              <w:spacing w:after="0"/>
            </w:pPr>
            <w:r>
              <w:rPr>
                <w:rFonts w:ascii="Aptos" w:hAnsi="Aptos"/>
                <w:b/>
                <w:color w:val="17263C"/>
                <w:sz w:val="16"/>
              </w:rPr>
              <w:t>Justification</w:t>
            </w:r>
          </w:p>
        </w:tc>
      </w:tr>
      <w:tr>
        <w:tc>
          <w:tcPr>
            <w:tcW w:type="dxa" w:w="1247"/>
            <w:tcMar>
              <w:top w:w="80" w:type="dxa"/>
              <w:start w:w="100" w:type="dxa"/>
              <w:bottom w:w="80" w:type="dxa"/>
              <w:end w:w="100" w:type="dxa"/>
            </w:tcMar>
            <w:vAlign w:val="top"/>
          </w:tcPr>
          <w:p>
            <w:pPr>
              <w:spacing w:after="0"/>
            </w:pPr>
            <w:r>
              <w:rPr>
                <w:rFonts w:ascii="Aptos" w:hAnsi="Aptos"/>
                <w:color w:val="17263C"/>
                <w:sz w:val="16"/>
              </w:rPr>
              <w:t>P0</w:t>
            </w:r>
          </w:p>
        </w:tc>
        <w:tc>
          <w:tcPr>
            <w:tcW w:type="dxa" w:w="4648"/>
            <w:tcMar>
              <w:top w:w="80" w:type="dxa"/>
              <w:start w:w="100" w:type="dxa"/>
              <w:bottom w:w="80" w:type="dxa"/>
              <w:end w:w="100" w:type="dxa"/>
            </w:tcMar>
            <w:vAlign w:val="top"/>
          </w:tcPr>
          <w:p>
            <w:pPr>
              <w:spacing w:after="0"/>
            </w:pPr>
            <w:r>
              <w:rPr>
                <w:rFonts w:ascii="Aptos" w:hAnsi="Aptos"/>
                <w:color w:val="17263C"/>
                <w:sz w:val="16"/>
              </w:rPr>
              <w:t>Lot 0 — initialisation, puis F01–F12</w:t>
            </w:r>
          </w:p>
        </w:tc>
        <w:tc>
          <w:tcPr>
            <w:tcW w:type="dxa" w:w="3968"/>
            <w:tcMar>
              <w:top w:w="80" w:type="dxa"/>
              <w:start w:w="100" w:type="dxa"/>
              <w:bottom w:w="80" w:type="dxa"/>
              <w:end w:w="100" w:type="dxa"/>
            </w:tcMar>
            <w:vAlign w:val="top"/>
          </w:tcPr>
          <w:p>
            <w:pPr>
              <w:spacing w:after="0"/>
            </w:pPr>
            <w:r>
              <w:rPr>
                <w:rFonts w:ascii="Aptos" w:hAnsi="Aptos"/>
                <w:color w:val="17263C"/>
                <w:sz w:val="16"/>
              </w:rPr>
              <w:t>Le programme démarre par un environnement reproductible, puis sécurise toutes les fondations communes.</w:t>
            </w:r>
          </w:p>
        </w:tc>
      </w:tr>
      <w:tr>
        <w:tc>
          <w:tcPr>
            <w:tcW w:type="dxa" w:w="1247"/>
            <w:tcMar>
              <w:top w:w="80" w:type="dxa"/>
              <w:start w:w="100" w:type="dxa"/>
              <w:bottom w:w="80" w:type="dxa"/>
              <w:end w:w="100" w:type="dxa"/>
            </w:tcMar>
            <w:vAlign w:val="top"/>
          </w:tcPr>
          <w:p>
            <w:pPr>
              <w:spacing w:after="0"/>
            </w:pPr>
            <w:r>
              <w:rPr>
                <w:rFonts w:ascii="Aptos" w:hAnsi="Aptos"/>
                <w:color w:val="17263C"/>
                <w:sz w:val="16"/>
              </w:rPr>
              <w:t>P1</w:t>
            </w:r>
          </w:p>
        </w:tc>
        <w:tc>
          <w:tcPr>
            <w:tcW w:type="dxa" w:w="4648"/>
            <w:tcMar>
              <w:top w:w="80" w:type="dxa"/>
              <w:start w:w="100" w:type="dxa"/>
              <w:bottom w:w="80" w:type="dxa"/>
              <w:end w:w="100" w:type="dxa"/>
            </w:tcMar>
            <w:vAlign w:val="top"/>
          </w:tcPr>
          <w:p>
            <w:pPr>
              <w:spacing w:after="0"/>
            </w:pPr>
            <w:r>
              <w:rPr>
                <w:rFonts w:ascii="Aptos" w:hAnsi="Aptos"/>
                <w:color w:val="17263C"/>
                <w:sz w:val="16"/>
              </w:rPr>
              <w:t>G01–G05, C01–C03, P01, P02, P07, P08, P09, P13</w:t>
            </w:r>
          </w:p>
        </w:tc>
        <w:tc>
          <w:tcPr>
            <w:tcW w:type="dxa" w:w="3968"/>
            <w:tcMar>
              <w:top w:w="80" w:type="dxa"/>
              <w:start w:w="100" w:type="dxa"/>
              <w:bottom w:w="80" w:type="dxa"/>
              <w:end w:w="100" w:type="dxa"/>
            </w:tcMar>
            <w:vAlign w:val="top"/>
          </w:tcPr>
          <w:p>
            <w:pPr>
              <w:spacing w:after="0"/>
            </w:pPr>
            <w:r>
              <w:rPr>
                <w:rFonts w:ascii="Aptos" w:hAnsi="Aptos"/>
                <w:color w:val="17263C"/>
                <w:sz w:val="16"/>
              </w:rPr>
              <w:t>Noyau commun aux plateformes de services, associations et PME.</w:t>
            </w:r>
          </w:p>
        </w:tc>
      </w:tr>
      <w:tr>
        <w:tc>
          <w:tcPr>
            <w:tcW w:type="dxa" w:w="1247"/>
            <w:tcMar>
              <w:top w:w="80" w:type="dxa"/>
              <w:start w:w="100" w:type="dxa"/>
              <w:bottom w:w="80" w:type="dxa"/>
              <w:end w:w="100" w:type="dxa"/>
            </w:tcMar>
            <w:vAlign w:val="top"/>
          </w:tcPr>
          <w:p>
            <w:pPr>
              <w:spacing w:after="0"/>
            </w:pPr>
            <w:r>
              <w:rPr>
                <w:rFonts w:ascii="Aptos" w:hAnsi="Aptos"/>
                <w:color w:val="17263C"/>
                <w:sz w:val="16"/>
              </w:rPr>
              <w:t>P2</w:t>
            </w:r>
          </w:p>
        </w:tc>
        <w:tc>
          <w:tcPr>
            <w:tcW w:type="dxa" w:w="4648"/>
            <w:tcMar>
              <w:top w:w="80" w:type="dxa"/>
              <w:start w:w="100" w:type="dxa"/>
              <w:bottom w:w="80" w:type="dxa"/>
              <w:end w:w="100" w:type="dxa"/>
            </w:tcMar>
            <w:vAlign w:val="top"/>
          </w:tcPr>
          <w:p>
            <w:pPr>
              <w:spacing w:after="0"/>
            </w:pPr>
            <w:r>
              <w:rPr>
                <w:rFonts w:ascii="Aptos" w:hAnsi="Aptos"/>
                <w:color w:val="17263C"/>
                <w:sz w:val="16"/>
              </w:rPr>
              <w:t>G06–G14, C04–C07, C10, P03–P06, P10–P12</w:t>
            </w:r>
          </w:p>
        </w:tc>
        <w:tc>
          <w:tcPr>
            <w:tcW w:type="dxa" w:w="3968"/>
            <w:tcMar>
              <w:top w:w="80" w:type="dxa"/>
              <w:start w:w="100" w:type="dxa"/>
              <w:bottom w:w="80" w:type="dxa"/>
              <w:end w:w="100" w:type="dxa"/>
            </w:tcMar>
            <w:vAlign w:val="top"/>
          </w:tcPr>
          <w:p>
            <w:pPr>
              <w:spacing w:after="0"/>
            </w:pPr>
            <w:r>
              <w:rPr>
                <w:rFonts w:ascii="Aptos" w:hAnsi="Aptos"/>
                <w:color w:val="17263C"/>
                <w:sz w:val="16"/>
              </w:rPr>
              <w:t>Extension aux opérations, achats et pré-comptabilité.</w:t>
            </w:r>
          </w:p>
        </w:tc>
      </w:tr>
      <w:tr>
        <w:tc>
          <w:tcPr>
            <w:tcW w:type="dxa" w:w="1247"/>
            <w:tcMar>
              <w:top w:w="80" w:type="dxa"/>
              <w:start w:w="100" w:type="dxa"/>
              <w:bottom w:w="80" w:type="dxa"/>
              <w:end w:w="100" w:type="dxa"/>
            </w:tcMar>
            <w:vAlign w:val="top"/>
          </w:tcPr>
          <w:p>
            <w:pPr>
              <w:spacing w:after="0"/>
            </w:pPr>
            <w:r>
              <w:rPr>
                <w:rFonts w:ascii="Aptos" w:hAnsi="Aptos"/>
                <w:color w:val="17263C"/>
                <w:sz w:val="16"/>
              </w:rPr>
              <w:t>P3</w:t>
            </w:r>
          </w:p>
        </w:tc>
        <w:tc>
          <w:tcPr>
            <w:tcW w:type="dxa" w:w="4648"/>
            <w:tcMar>
              <w:top w:w="80" w:type="dxa"/>
              <w:start w:w="100" w:type="dxa"/>
              <w:bottom w:w="80" w:type="dxa"/>
              <w:end w:w="100" w:type="dxa"/>
            </w:tcMar>
            <w:vAlign w:val="top"/>
          </w:tcPr>
          <w:p>
            <w:pPr>
              <w:spacing w:after="0"/>
            </w:pPr>
            <w:r>
              <w:rPr>
                <w:rFonts w:ascii="Aptos" w:hAnsi="Aptos"/>
                <w:color w:val="17263C"/>
                <w:sz w:val="16"/>
              </w:rPr>
              <w:t>C08, C09, C11–C15, G15</w:t>
            </w:r>
          </w:p>
        </w:tc>
        <w:tc>
          <w:tcPr>
            <w:tcW w:type="dxa" w:w="3968"/>
            <w:tcMar>
              <w:top w:w="80" w:type="dxa"/>
              <w:start w:w="100" w:type="dxa"/>
              <w:bottom w:w="80" w:type="dxa"/>
              <w:end w:w="100" w:type="dxa"/>
            </w:tcMar>
            <w:vAlign w:val="top"/>
          </w:tcPr>
          <w:p>
            <w:pPr>
              <w:spacing w:after="0"/>
            </w:pPr>
            <w:r>
              <w:rPr>
                <w:rFonts w:ascii="Aptos" w:hAnsi="Aptos"/>
                <w:color w:val="17263C"/>
                <w:sz w:val="16"/>
              </w:rPr>
              <w:t>Complexité réglementaire, validation métier et maintenance plus élevées.</w:t>
            </w:r>
          </w:p>
        </w:tc>
      </w:tr>
    </w:tbl>
    <w:p>
      <w:pPr>
        <w:spacing w:after="0"/>
      </w:pPr>
    </w:p>
    <w:p>
      <w:pPr>
        <w:pStyle w:val="Heading2"/>
      </w:pPr>
      <w:r>
        <w:t>12.3 Livrables</w:t>
      </w:r>
    </w:p>
    <w:p>
      <w:pPr>
        <w:pStyle w:val="ListBullet"/>
      </w:pPr>
      <w:r>
        <w:rPr>
          <w:rFonts w:ascii="Aptos" w:hAnsi="Aptos"/>
          <w:sz w:val="18"/>
        </w:rPr>
        <w:t>Dépôt source neutre et historique Git propre.</w:t>
      </w:r>
    </w:p>
    <w:p>
      <w:pPr>
        <w:pStyle w:val="ListBullet"/>
      </w:pPr>
      <w:r>
        <w:rPr>
          <w:rFonts w:ascii="Aptos" w:hAnsi="Aptos"/>
          <w:sz w:val="18"/>
        </w:rPr>
        <w:t>Paquets Django installables et exemple de projet exécutable.</w:t>
      </w:r>
    </w:p>
    <w:p>
      <w:pPr>
        <w:pStyle w:val="ListBullet"/>
      </w:pPr>
      <w:r>
        <w:rPr>
          <w:rFonts w:ascii="Aptos" w:hAnsi="Aptos"/>
          <w:sz w:val="18"/>
        </w:rPr>
        <w:t>Migrations et scripts de données initiales.</w:t>
      </w:r>
    </w:p>
    <w:p>
      <w:pPr>
        <w:pStyle w:val="ListBullet"/>
      </w:pPr>
      <w:r>
        <w:rPr>
          <w:rFonts w:ascii="Aptos" w:hAnsi="Aptos"/>
          <w:sz w:val="18"/>
        </w:rPr>
        <w:t>Bibliothèque de templates et catalogue des composants.</w:t>
      </w:r>
    </w:p>
    <w:p>
      <w:pPr>
        <w:pStyle w:val="ListBullet"/>
      </w:pPr>
      <w:r>
        <w:rPr>
          <w:rFonts w:ascii="Aptos" w:hAnsi="Aptos"/>
          <w:sz w:val="18"/>
        </w:rPr>
        <w:t>API documentée et collections d’exemples lorsqu’elle existe.</w:t>
      </w:r>
    </w:p>
    <w:p>
      <w:pPr>
        <w:pStyle w:val="ListBullet"/>
      </w:pPr>
      <w:r>
        <w:rPr>
          <w:rFonts w:ascii="Aptos" w:hAnsi="Aptos"/>
          <w:sz w:val="18"/>
        </w:rPr>
        <w:t>Suite de tests, rapports de couverture et jeux de référence.</w:t>
      </w:r>
    </w:p>
    <w:p>
      <w:pPr>
        <w:pStyle w:val="ListBullet"/>
      </w:pPr>
      <w:r>
        <w:rPr>
          <w:rFonts w:ascii="Aptos" w:hAnsi="Aptos"/>
          <w:sz w:val="18"/>
        </w:rPr>
        <w:t>Documentation architecture, intégration, exploitation et contribution.</w:t>
      </w:r>
    </w:p>
    <w:p>
      <w:pPr>
        <w:pStyle w:val="ListBullet"/>
      </w:pPr>
      <w:r>
        <w:rPr>
          <w:rFonts w:ascii="Aptos" w:hAnsi="Aptos"/>
          <w:sz w:val="18"/>
        </w:rPr>
        <w:t>Guide de personnalisation client sans modification du noyau.</w:t>
      </w:r>
    </w:p>
    <w:p>
      <w:pPr>
        <w:pStyle w:val="ListBullet"/>
      </w:pPr>
      <w:r>
        <w:rPr>
          <w:rFonts w:ascii="Aptos" w:hAnsi="Aptos"/>
          <w:sz w:val="18"/>
        </w:rPr>
        <w:t>Matrice des permissions, des événements et des dépendances.</w:t>
      </w:r>
    </w:p>
    <w:p>
      <w:pPr>
        <w:pStyle w:val="ListBullet"/>
      </w:pPr>
      <w:r>
        <w:rPr>
          <w:rFonts w:ascii="Aptos" w:hAnsi="Aptos"/>
          <w:sz w:val="18"/>
        </w:rPr>
        <w:t>Dossier de recette par lot et registre des écarts connus.</w:t>
      </w:r>
    </w:p>
    <w:p>
      <w:pPr>
        <w:pStyle w:val="Heading2"/>
      </w:pPr>
      <w:r>
        <w:t>12.4 Gouvernance technique</w:t>
      </w:r>
    </w:p>
    <w:p>
      <w:pPr>
        <w:pStyle w:val="ListBullet"/>
      </w:pPr>
      <w:r>
        <w:rPr>
          <w:rFonts w:ascii="Aptos" w:hAnsi="Aptos"/>
          <w:sz w:val="18"/>
        </w:rPr>
        <w:t>Versionnement sémantique des briques et changelog par release.</w:t>
      </w:r>
    </w:p>
    <w:p>
      <w:pPr>
        <w:pStyle w:val="ListBullet"/>
      </w:pPr>
      <w:r>
        <w:rPr>
          <w:rFonts w:ascii="Aptos" w:hAnsi="Aptos"/>
          <w:sz w:val="18"/>
        </w:rPr>
        <w:t>Architecture Decision Records pour les décisions structurantes.</w:t>
      </w:r>
    </w:p>
    <w:p>
      <w:pPr>
        <w:pStyle w:val="ListBullet"/>
      </w:pPr>
      <w:r>
        <w:rPr>
          <w:rFonts w:ascii="Aptos" w:hAnsi="Aptos"/>
          <w:sz w:val="18"/>
        </w:rPr>
        <w:t>Revue obligatoire des modifications touchant facturation, taxes, écritures, permissions et rétention.</w:t>
      </w:r>
    </w:p>
    <w:p>
      <w:pPr>
        <w:pStyle w:val="ListBullet"/>
      </w:pPr>
      <w:r>
        <w:rPr>
          <w:rFonts w:ascii="Aptos" w:hAnsi="Aptos"/>
          <w:sz w:val="18"/>
        </w:rPr>
        <w:t>Une migration destructive nécessite plan de sauvegarde, essai sur copie et fenêtre validée.</w:t>
      </w:r>
    </w:p>
    <w:p>
      <w:pPr>
        <w:pStyle w:val="ListBullet"/>
      </w:pPr>
      <w:r>
        <w:rPr>
          <w:rFonts w:ascii="Aptos" w:hAnsi="Aptos"/>
          <w:sz w:val="18"/>
        </w:rPr>
        <w:t>Les variantes client restent hors du noyau sauf si leur caractère générique est démontré par plusieurs cas.</w:t>
      </w:r>
    </w:p>
    <w:p>
      <w:pPr>
        <w:pStyle w:val="ListBullet"/>
      </w:pPr>
      <w:r>
        <w:rPr>
          <w:rFonts w:ascii="Aptos" w:hAnsi="Aptos"/>
          <w:sz w:val="18"/>
        </w:rPr>
        <w:t>Une capacité dépréciée reste supportée pendant une période définie avant retrait.</w:t>
      </w:r>
    </w:p>
    <w:p>
      <w:pPr>
        <w:pStyle w:val="ListBullet"/>
      </w:pPr>
      <w:r>
        <w:rPr>
          <w:rFonts w:ascii="Aptos" w:hAnsi="Aptos"/>
          <w:sz w:val="18"/>
        </w:rPr>
        <w:t>Aucune promesse de compatibilité ou de conformité n’est publiée sans tests et preuve associée.</w:t>
      </w:r>
    </w:p>
    <w:p>
      <w:pPr>
        <w:pStyle w:val="Heading2"/>
      </w:pPr>
      <w:r>
        <w:t>12.5 Risques principaux</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7"/>
            <w:shd w:fill="EAF2F7"/>
            <w:tcMar>
              <w:top w:w="80" w:type="dxa"/>
              <w:start w:w="100" w:type="dxa"/>
              <w:bottom w:w="80" w:type="dxa"/>
              <w:end w:w="100" w:type="dxa"/>
            </w:tcMar>
            <w:vAlign w:val="center"/>
          </w:tcPr>
          <w:p>
            <w:pPr>
              <w:spacing w:after="0"/>
            </w:pPr>
            <w:r>
              <w:rPr>
                <w:rFonts w:ascii="Aptos" w:hAnsi="Aptos"/>
                <w:b/>
                <w:color w:val="17263C"/>
                <w:sz w:val="16"/>
              </w:rPr>
              <w:t>Risque</w:t>
            </w:r>
          </w:p>
        </w:tc>
        <w:tc>
          <w:tcPr>
            <w:tcW w:type="dxa" w:w="2891"/>
            <w:shd w:fill="EAF2F7"/>
            <w:tcMar>
              <w:top w:w="80" w:type="dxa"/>
              <w:start w:w="100" w:type="dxa"/>
              <w:bottom w:w="80" w:type="dxa"/>
              <w:end w:w="100" w:type="dxa"/>
            </w:tcMar>
            <w:vAlign w:val="center"/>
          </w:tcPr>
          <w:p>
            <w:pPr>
              <w:spacing w:after="0"/>
            </w:pPr>
            <w:r>
              <w:rPr>
                <w:rFonts w:ascii="Aptos" w:hAnsi="Aptos"/>
                <w:b/>
                <w:color w:val="17263C"/>
                <w:sz w:val="16"/>
              </w:rPr>
              <w:t>Impact</w:t>
            </w:r>
          </w:p>
        </w:tc>
        <w:tc>
          <w:tcPr>
            <w:tcW w:type="dxa" w:w="4705"/>
            <w:shd w:fill="EAF2F7"/>
            <w:tcMar>
              <w:top w:w="80" w:type="dxa"/>
              <w:start w:w="100" w:type="dxa"/>
              <w:bottom w:w="80" w:type="dxa"/>
              <w:end w:w="100" w:type="dxa"/>
            </w:tcMar>
            <w:vAlign w:val="center"/>
          </w:tcPr>
          <w:p>
            <w:pPr>
              <w:spacing w:after="0"/>
            </w:pPr>
            <w:r>
              <w:rPr>
                <w:rFonts w:ascii="Aptos" w:hAnsi="Aptos"/>
                <w:b/>
                <w:color w:val="17263C"/>
                <w:sz w:val="16"/>
              </w:rPr>
              <w:t>Traitement prévu</w:t>
            </w:r>
          </w:p>
        </w:tc>
      </w:tr>
      <w:tr>
        <w:tc>
          <w:tcPr>
            <w:tcW w:type="dxa" w:w="2267"/>
            <w:tcMar>
              <w:top w:w="80" w:type="dxa"/>
              <w:start w:w="100" w:type="dxa"/>
              <w:bottom w:w="80" w:type="dxa"/>
              <w:end w:w="100" w:type="dxa"/>
            </w:tcMar>
            <w:vAlign w:val="top"/>
          </w:tcPr>
          <w:p>
            <w:pPr>
              <w:spacing w:after="0"/>
            </w:pPr>
            <w:r>
              <w:rPr>
                <w:rFonts w:ascii="Aptos" w:hAnsi="Aptos"/>
                <w:color w:val="17263C"/>
                <w:sz w:val="16"/>
              </w:rPr>
              <w:t>Sur-généralisation</w:t>
            </w:r>
          </w:p>
        </w:tc>
        <w:tc>
          <w:tcPr>
            <w:tcW w:type="dxa" w:w="2891"/>
            <w:tcMar>
              <w:top w:w="80" w:type="dxa"/>
              <w:start w:w="100" w:type="dxa"/>
              <w:bottom w:w="80" w:type="dxa"/>
              <w:end w:w="100" w:type="dxa"/>
            </w:tcMar>
            <w:vAlign w:val="top"/>
          </w:tcPr>
          <w:p>
            <w:pPr>
              <w:spacing w:after="0"/>
            </w:pPr>
            <w:r>
              <w:rPr>
                <w:rFonts w:ascii="Aptos" w:hAnsi="Aptos"/>
                <w:color w:val="17263C"/>
                <w:sz w:val="16"/>
              </w:rPr>
              <w:t>modèles illisibles et adaptations difficiles</w:t>
            </w:r>
          </w:p>
        </w:tc>
        <w:tc>
          <w:tcPr>
            <w:tcW w:type="dxa" w:w="4705"/>
            <w:tcMar>
              <w:top w:w="80" w:type="dxa"/>
              <w:start w:w="100" w:type="dxa"/>
              <w:bottom w:w="80" w:type="dxa"/>
              <w:end w:w="100" w:type="dxa"/>
            </w:tcMar>
            <w:vAlign w:val="top"/>
          </w:tcPr>
          <w:p>
            <w:pPr>
              <w:spacing w:after="0"/>
            </w:pPr>
            <w:r>
              <w:rPr>
                <w:rFonts w:ascii="Aptos" w:hAnsi="Aptos"/>
                <w:color w:val="17263C"/>
                <w:sz w:val="16"/>
              </w:rPr>
              <w:t>noyau minimal, extensions explicites, validation sur plusieurs cas clients</w:t>
            </w:r>
          </w:p>
        </w:tc>
      </w:tr>
      <w:tr>
        <w:tc>
          <w:tcPr>
            <w:tcW w:type="dxa" w:w="2267"/>
            <w:tcMar>
              <w:top w:w="80" w:type="dxa"/>
              <w:start w:w="100" w:type="dxa"/>
              <w:bottom w:w="80" w:type="dxa"/>
              <w:end w:w="100" w:type="dxa"/>
            </w:tcMar>
            <w:vAlign w:val="top"/>
          </w:tcPr>
          <w:p>
            <w:pPr>
              <w:spacing w:after="0"/>
            </w:pPr>
            <w:r>
              <w:rPr>
                <w:rFonts w:ascii="Aptos" w:hAnsi="Aptos"/>
                <w:color w:val="17263C"/>
                <w:sz w:val="16"/>
              </w:rPr>
              <w:t>Couplage entre modules</w:t>
            </w:r>
          </w:p>
        </w:tc>
        <w:tc>
          <w:tcPr>
            <w:tcW w:type="dxa" w:w="2891"/>
            <w:tcMar>
              <w:top w:w="80" w:type="dxa"/>
              <w:start w:w="100" w:type="dxa"/>
              <w:bottom w:w="80" w:type="dxa"/>
              <w:end w:w="100" w:type="dxa"/>
            </w:tcMar>
            <w:vAlign w:val="top"/>
          </w:tcPr>
          <w:p>
            <w:pPr>
              <w:spacing w:after="0"/>
            </w:pPr>
            <w:r>
              <w:rPr>
                <w:rFonts w:ascii="Aptos" w:hAnsi="Aptos"/>
                <w:color w:val="17263C"/>
                <w:sz w:val="16"/>
              </w:rPr>
              <w:t>installation sélective impossible</w:t>
            </w:r>
          </w:p>
        </w:tc>
        <w:tc>
          <w:tcPr>
            <w:tcW w:type="dxa" w:w="4705"/>
            <w:tcMar>
              <w:top w:w="80" w:type="dxa"/>
              <w:start w:w="100" w:type="dxa"/>
              <w:bottom w:w="80" w:type="dxa"/>
              <w:end w:w="100" w:type="dxa"/>
            </w:tcMar>
            <w:vAlign w:val="top"/>
          </w:tcPr>
          <w:p>
            <w:pPr>
              <w:spacing w:after="0"/>
            </w:pPr>
            <w:r>
              <w:rPr>
                <w:rFonts w:ascii="Aptos" w:hAnsi="Aptos"/>
                <w:color w:val="17263C"/>
                <w:sz w:val="16"/>
              </w:rPr>
              <w:t>règles de dépendance, ports et tests d’installation isolée</w:t>
            </w:r>
          </w:p>
        </w:tc>
      </w:tr>
      <w:tr>
        <w:tc>
          <w:tcPr>
            <w:tcW w:type="dxa" w:w="2267"/>
            <w:tcMar>
              <w:top w:w="80" w:type="dxa"/>
              <w:start w:w="100" w:type="dxa"/>
              <w:bottom w:w="80" w:type="dxa"/>
              <w:end w:w="100" w:type="dxa"/>
            </w:tcMar>
            <w:vAlign w:val="top"/>
          </w:tcPr>
          <w:p>
            <w:pPr>
              <w:spacing w:after="0"/>
            </w:pPr>
            <w:r>
              <w:rPr>
                <w:rFonts w:ascii="Aptos" w:hAnsi="Aptos"/>
                <w:color w:val="17263C"/>
                <w:sz w:val="16"/>
              </w:rPr>
              <w:t>Comptabilité prématurée</w:t>
            </w:r>
          </w:p>
        </w:tc>
        <w:tc>
          <w:tcPr>
            <w:tcW w:type="dxa" w:w="2891"/>
            <w:tcMar>
              <w:top w:w="80" w:type="dxa"/>
              <w:start w:w="100" w:type="dxa"/>
              <w:bottom w:w="80" w:type="dxa"/>
              <w:end w:w="100" w:type="dxa"/>
            </w:tcMar>
            <w:vAlign w:val="top"/>
          </w:tcPr>
          <w:p>
            <w:pPr>
              <w:spacing w:after="0"/>
            </w:pPr>
            <w:r>
              <w:rPr>
                <w:rFonts w:ascii="Aptos" w:hAnsi="Aptos"/>
                <w:color w:val="17263C"/>
                <w:sz w:val="16"/>
              </w:rPr>
              <w:t>erreurs réglementaires et maintenance lourde</w:t>
            </w:r>
          </w:p>
        </w:tc>
        <w:tc>
          <w:tcPr>
            <w:tcW w:type="dxa" w:w="4705"/>
            <w:tcMar>
              <w:top w:w="80" w:type="dxa"/>
              <w:start w:w="100" w:type="dxa"/>
              <w:bottom w:w="80" w:type="dxa"/>
              <w:end w:w="100" w:type="dxa"/>
            </w:tcMar>
            <w:vAlign w:val="top"/>
          </w:tcPr>
          <w:p>
            <w:pPr>
              <w:spacing w:after="0"/>
            </w:pPr>
            <w:r>
              <w:rPr>
                <w:rFonts w:ascii="Aptos" w:hAnsi="Aptos"/>
                <w:color w:val="17263C"/>
                <w:sz w:val="16"/>
              </w:rPr>
              <w:t>prioriser pré-comptabilité et validation par professionnel</w:t>
            </w:r>
          </w:p>
        </w:tc>
      </w:tr>
      <w:tr>
        <w:tc>
          <w:tcPr>
            <w:tcW w:type="dxa" w:w="2267"/>
            <w:tcMar>
              <w:top w:w="80" w:type="dxa"/>
              <w:start w:w="100" w:type="dxa"/>
              <w:bottom w:w="80" w:type="dxa"/>
              <w:end w:w="100" w:type="dxa"/>
            </w:tcMar>
            <w:vAlign w:val="top"/>
          </w:tcPr>
          <w:p>
            <w:pPr>
              <w:spacing w:after="0"/>
            </w:pPr>
            <w:r>
              <w:rPr>
                <w:rFonts w:ascii="Aptos" w:hAnsi="Aptos"/>
                <w:color w:val="17263C"/>
                <w:sz w:val="16"/>
              </w:rPr>
              <w:t>Documentation aspirante</w:t>
            </w:r>
          </w:p>
        </w:tc>
        <w:tc>
          <w:tcPr>
            <w:tcW w:type="dxa" w:w="2891"/>
            <w:tcMar>
              <w:top w:w="80" w:type="dxa"/>
              <w:start w:w="100" w:type="dxa"/>
              <w:bottom w:w="80" w:type="dxa"/>
              <w:end w:w="100" w:type="dxa"/>
            </w:tcMar>
            <w:vAlign w:val="top"/>
          </w:tcPr>
          <w:p>
            <w:pPr>
              <w:spacing w:after="0"/>
            </w:pPr>
            <w:r>
              <w:rPr>
                <w:rFonts w:ascii="Aptos" w:hAnsi="Aptos"/>
                <w:color w:val="17263C"/>
                <w:sz w:val="16"/>
              </w:rPr>
              <w:t>écart entre promesse et réalité</w:t>
            </w:r>
          </w:p>
        </w:tc>
        <w:tc>
          <w:tcPr>
            <w:tcW w:type="dxa" w:w="4705"/>
            <w:tcMar>
              <w:top w:w="80" w:type="dxa"/>
              <w:start w:w="100" w:type="dxa"/>
              <w:bottom w:w="80" w:type="dxa"/>
              <w:end w:w="100" w:type="dxa"/>
            </w:tcMar>
            <w:vAlign w:val="top"/>
          </w:tcPr>
          <w:p>
            <w:pPr>
              <w:spacing w:after="0"/>
            </w:pPr>
            <w:r>
              <w:rPr>
                <w:rFonts w:ascii="Aptos" w:hAnsi="Aptos"/>
                <w:color w:val="17263C"/>
                <w:sz w:val="16"/>
              </w:rPr>
              <w:t>documentation générée depuis releases et définition de terminé</w:t>
            </w:r>
          </w:p>
        </w:tc>
      </w:tr>
      <w:tr>
        <w:tc>
          <w:tcPr>
            <w:tcW w:type="dxa" w:w="2267"/>
            <w:tcMar>
              <w:top w:w="80" w:type="dxa"/>
              <w:start w:w="100" w:type="dxa"/>
              <w:bottom w:w="80" w:type="dxa"/>
              <w:end w:w="100" w:type="dxa"/>
            </w:tcMar>
            <w:vAlign w:val="top"/>
          </w:tcPr>
          <w:p>
            <w:pPr>
              <w:spacing w:after="0"/>
            </w:pPr>
            <w:r>
              <w:rPr>
                <w:rFonts w:ascii="Aptos" w:hAnsi="Aptos"/>
                <w:color w:val="17263C"/>
                <w:sz w:val="16"/>
              </w:rPr>
              <w:t>Personnalisation par fork</w:t>
            </w:r>
          </w:p>
        </w:tc>
        <w:tc>
          <w:tcPr>
            <w:tcW w:type="dxa" w:w="2891"/>
            <w:tcMar>
              <w:top w:w="80" w:type="dxa"/>
              <w:start w:w="100" w:type="dxa"/>
              <w:bottom w:w="80" w:type="dxa"/>
              <w:end w:w="100" w:type="dxa"/>
            </w:tcMar>
            <w:vAlign w:val="top"/>
          </w:tcPr>
          <w:p>
            <w:pPr>
              <w:spacing w:after="0"/>
            </w:pPr>
            <w:r>
              <w:rPr>
                <w:rFonts w:ascii="Aptos" w:hAnsi="Aptos"/>
                <w:color w:val="17263C"/>
                <w:sz w:val="16"/>
              </w:rPr>
              <w:t>versions client divergentes</w:t>
            </w:r>
          </w:p>
        </w:tc>
        <w:tc>
          <w:tcPr>
            <w:tcW w:type="dxa" w:w="4705"/>
            <w:tcMar>
              <w:top w:w="80" w:type="dxa"/>
              <w:start w:w="100" w:type="dxa"/>
              <w:bottom w:w="80" w:type="dxa"/>
              <w:end w:w="100" w:type="dxa"/>
            </w:tcMar>
            <w:vAlign w:val="top"/>
          </w:tcPr>
          <w:p>
            <w:pPr>
              <w:spacing w:after="0"/>
            </w:pPr>
            <w:r>
              <w:rPr>
                <w:rFonts w:ascii="Aptos" w:hAnsi="Aptos"/>
                <w:color w:val="17263C"/>
                <w:sz w:val="16"/>
              </w:rPr>
              <w:t>configuration, vocabulaire, hooks et modèles d’extension</w:t>
            </w:r>
          </w:p>
        </w:tc>
      </w:tr>
      <w:tr>
        <w:tc>
          <w:tcPr>
            <w:tcW w:type="dxa" w:w="2267"/>
            <w:tcMar>
              <w:top w:w="80" w:type="dxa"/>
              <w:start w:w="100" w:type="dxa"/>
              <w:bottom w:w="80" w:type="dxa"/>
              <w:end w:w="100" w:type="dxa"/>
            </w:tcMar>
            <w:vAlign w:val="top"/>
          </w:tcPr>
          <w:p>
            <w:pPr>
              <w:spacing w:after="0"/>
            </w:pPr>
            <w:r>
              <w:rPr>
                <w:rFonts w:ascii="Aptos" w:hAnsi="Aptos"/>
                <w:color w:val="17263C"/>
                <w:sz w:val="16"/>
              </w:rPr>
              <w:t>Suppression inadaptée</w:t>
            </w:r>
          </w:p>
        </w:tc>
        <w:tc>
          <w:tcPr>
            <w:tcW w:type="dxa" w:w="2891"/>
            <w:tcMar>
              <w:top w:w="80" w:type="dxa"/>
              <w:start w:w="100" w:type="dxa"/>
              <w:bottom w:w="80" w:type="dxa"/>
              <w:end w:w="100" w:type="dxa"/>
            </w:tcMar>
            <w:vAlign w:val="top"/>
          </w:tcPr>
          <w:p>
            <w:pPr>
              <w:spacing w:after="0"/>
            </w:pPr>
            <w:r>
              <w:rPr>
                <w:rFonts w:ascii="Aptos" w:hAnsi="Aptos"/>
                <w:color w:val="17263C"/>
                <w:sz w:val="16"/>
              </w:rPr>
              <w:t>perte de preuve ou non-conformité</w:t>
            </w:r>
          </w:p>
        </w:tc>
        <w:tc>
          <w:tcPr>
            <w:tcW w:type="dxa" w:w="4705"/>
            <w:tcMar>
              <w:top w:w="80" w:type="dxa"/>
              <w:start w:w="100" w:type="dxa"/>
              <w:bottom w:w="80" w:type="dxa"/>
              <w:end w:w="100" w:type="dxa"/>
            </w:tcMar>
            <w:vAlign w:val="top"/>
          </w:tcPr>
          <w:p>
            <w:pPr>
              <w:spacing w:after="0"/>
            </w:pPr>
            <w:r>
              <w:rPr>
                <w:rFonts w:ascii="Aptos" w:hAnsi="Aptos"/>
                <w:color w:val="17263C"/>
                <w:sz w:val="16"/>
              </w:rPr>
              <w:t>politique par type d’objet ; immutabilité finance</w:t>
            </w:r>
          </w:p>
        </w:tc>
      </w:tr>
      <w:tr>
        <w:tc>
          <w:tcPr>
            <w:tcW w:type="dxa" w:w="2267"/>
            <w:tcMar>
              <w:top w:w="80" w:type="dxa"/>
              <w:start w:w="100" w:type="dxa"/>
              <w:bottom w:w="80" w:type="dxa"/>
              <w:end w:w="100" w:type="dxa"/>
            </w:tcMar>
            <w:vAlign w:val="top"/>
          </w:tcPr>
          <w:p>
            <w:pPr>
              <w:spacing w:after="0"/>
            </w:pPr>
            <w:r>
              <w:rPr>
                <w:rFonts w:ascii="Aptos" w:hAnsi="Aptos"/>
                <w:color w:val="17263C"/>
                <w:sz w:val="16"/>
              </w:rPr>
              <w:t>Intégration fournisseur</w:t>
            </w:r>
          </w:p>
        </w:tc>
        <w:tc>
          <w:tcPr>
            <w:tcW w:type="dxa" w:w="2891"/>
            <w:tcMar>
              <w:top w:w="80" w:type="dxa"/>
              <w:start w:w="100" w:type="dxa"/>
              <w:bottom w:w="80" w:type="dxa"/>
              <w:end w:w="100" w:type="dxa"/>
            </w:tcMar>
            <w:vAlign w:val="top"/>
          </w:tcPr>
          <w:p>
            <w:pPr>
              <w:spacing w:after="0"/>
            </w:pPr>
            <w:r>
              <w:rPr>
                <w:rFonts w:ascii="Aptos" w:hAnsi="Aptos"/>
                <w:color w:val="17263C"/>
                <w:sz w:val="16"/>
              </w:rPr>
              <w:t>verrouillage ou doubles opérations</w:t>
            </w:r>
          </w:p>
        </w:tc>
        <w:tc>
          <w:tcPr>
            <w:tcW w:type="dxa" w:w="4705"/>
            <w:tcMar>
              <w:top w:w="80" w:type="dxa"/>
              <w:start w:w="100" w:type="dxa"/>
              <w:bottom w:w="80" w:type="dxa"/>
              <w:end w:w="100" w:type="dxa"/>
            </w:tcMar>
            <w:vAlign w:val="top"/>
          </w:tcPr>
          <w:p>
            <w:pPr>
              <w:spacing w:after="0"/>
            </w:pPr>
            <w:r>
              <w:rPr>
                <w:rFonts w:ascii="Aptos" w:hAnsi="Aptos"/>
                <w:color w:val="17263C"/>
                <w:sz w:val="16"/>
              </w:rPr>
              <w:t>adaptateurs, idempotence, outbox et réconciliation</w:t>
            </w:r>
          </w:p>
        </w:tc>
      </w:tr>
      <w:tr>
        <w:tc>
          <w:tcPr>
            <w:tcW w:type="dxa" w:w="2267"/>
            <w:tcMar>
              <w:top w:w="80" w:type="dxa"/>
              <w:start w:w="100" w:type="dxa"/>
              <w:bottom w:w="80" w:type="dxa"/>
              <w:end w:w="100" w:type="dxa"/>
            </w:tcMar>
            <w:vAlign w:val="top"/>
          </w:tcPr>
          <w:p>
            <w:pPr>
              <w:spacing w:after="0"/>
            </w:pPr>
            <w:r>
              <w:rPr>
                <w:rFonts w:ascii="Aptos" w:hAnsi="Aptos"/>
                <w:color w:val="17263C"/>
                <w:sz w:val="16"/>
              </w:rPr>
              <w:t>Données de pilotage fausses</w:t>
            </w:r>
          </w:p>
        </w:tc>
        <w:tc>
          <w:tcPr>
            <w:tcW w:type="dxa" w:w="2891"/>
            <w:tcMar>
              <w:top w:w="80" w:type="dxa"/>
              <w:start w:w="100" w:type="dxa"/>
              <w:bottom w:w="80" w:type="dxa"/>
              <w:end w:w="100" w:type="dxa"/>
            </w:tcMar>
            <w:vAlign w:val="top"/>
          </w:tcPr>
          <w:p>
            <w:pPr>
              <w:spacing w:after="0"/>
            </w:pPr>
            <w:r>
              <w:rPr>
                <w:rFonts w:ascii="Aptos" w:hAnsi="Aptos"/>
                <w:color w:val="17263C"/>
                <w:sz w:val="16"/>
              </w:rPr>
              <w:t>décisions erronées</w:t>
            </w:r>
          </w:p>
        </w:tc>
        <w:tc>
          <w:tcPr>
            <w:tcW w:type="dxa" w:w="4705"/>
            <w:tcMar>
              <w:top w:w="80" w:type="dxa"/>
              <w:start w:w="100" w:type="dxa"/>
              <w:bottom w:w="80" w:type="dxa"/>
              <w:end w:w="100" w:type="dxa"/>
            </w:tcMar>
            <w:vAlign w:val="top"/>
          </w:tcPr>
          <w:p>
            <w:pPr>
              <w:spacing w:after="0"/>
            </w:pPr>
            <w:r>
              <w:rPr>
                <w:rFonts w:ascii="Aptos" w:hAnsi="Aptos"/>
                <w:color w:val="17263C"/>
                <w:sz w:val="16"/>
              </w:rPr>
              <w:t>définitions de KPI, sources, snapshots et rapprochements</w:t>
            </w:r>
          </w:p>
        </w:tc>
      </w:tr>
    </w:tbl>
    <w:p>
      <w:pPr>
        <w:spacing w:after="0"/>
      </w:pPr>
    </w:p>
    <w:p>
      <w:pPr>
        <w:pStyle w:val="Heading1"/>
      </w:pPr>
      <w:r>
        <w:t>13. Annexes</w:t>
      </w:r>
    </w:p>
    <w:p>
      <w:pPr>
        <w:pStyle w:val="Heading2"/>
      </w:pPr>
      <w:r>
        <w:t>13.1 Matrice simplifiée des dépendances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7"/>
            <w:shd w:fill="EAF2F7"/>
            <w:tcMar>
              <w:top w:w="80" w:type="dxa"/>
              <w:start w:w="100" w:type="dxa"/>
              <w:bottom w:w="80" w:type="dxa"/>
              <w:end w:w="100" w:type="dxa"/>
            </w:tcMar>
            <w:vAlign w:val="center"/>
          </w:tcPr>
          <w:p>
            <w:pPr>
              <w:spacing w:after="0"/>
            </w:pPr>
            <w:r>
              <w:rPr>
                <w:rFonts w:ascii="Aptos" w:hAnsi="Aptos"/>
                <w:b/>
                <w:color w:val="17263C"/>
                <w:sz w:val="16"/>
              </w:rPr>
              <w:t>Famille</w:t>
            </w:r>
          </w:p>
        </w:tc>
        <w:tc>
          <w:tcPr>
            <w:tcW w:type="dxa" w:w="3741"/>
            <w:shd w:fill="EAF2F7"/>
            <w:tcMar>
              <w:top w:w="80" w:type="dxa"/>
              <w:start w:w="100" w:type="dxa"/>
              <w:bottom w:w="80" w:type="dxa"/>
              <w:end w:w="100" w:type="dxa"/>
            </w:tcMar>
            <w:vAlign w:val="center"/>
          </w:tcPr>
          <w:p>
            <w:pPr>
              <w:spacing w:after="0"/>
            </w:pPr>
            <w:r>
              <w:rPr>
                <w:rFonts w:ascii="Aptos" w:hAnsi="Aptos"/>
                <w:b/>
                <w:color w:val="17263C"/>
                <w:sz w:val="16"/>
              </w:rPr>
              <w:t>Dépendances obligatoires</w:t>
            </w:r>
          </w:p>
        </w:tc>
        <w:tc>
          <w:tcPr>
            <w:tcW w:type="dxa" w:w="3855"/>
            <w:shd w:fill="EAF2F7"/>
            <w:tcMar>
              <w:top w:w="80" w:type="dxa"/>
              <w:start w:w="100" w:type="dxa"/>
              <w:bottom w:w="80" w:type="dxa"/>
              <w:end w:w="100" w:type="dxa"/>
            </w:tcMar>
            <w:vAlign w:val="center"/>
          </w:tcPr>
          <w:p>
            <w:pPr>
              <w:spacing w:after="0"/>
            </w:pPr>
            <w:r>
              <w:rPr>
                <w:rFonts w:ascii="Aptos" w:hAnsi="Aptos"/>
                <w:b/>
                <w:color w:val="17263C"/>
                <w:sz w:val="16"/>
              </w:rPr>
              <w:t>Consommateurs principaux</w:t>
            </w:r>
          </w:p>
        </w:tc>
      </w:tr>
      <w:tr>
        <w:tc>
          <w:tcPr>
            <w:tcW w:type="dxa" w:w="2267"/>
            <w:tcMar>
              <w:top w:w="80" w:type="dxa"/>
              <w:start w:w="100" w:type="dxa"/>
              <w:bottom w:w="80" w:type="dxa"/>
              <w:end w:w="100" w:type="dxa"/>
            </w:tcMar>
            <w:vAlign w:val="top"/>
          </w:tcPr>
          <w:p>
            <w:pPr>
              <w:spacing w:after="0"/>
            </w:pPr>
            <w:r>
              <w:rPr>
                <w:rFonts w:ascii="Aptos" w:hAnsi="Aptos"/>
                <w:color w:val="17263C"/>
                <w:sz w:val="16"/>
              </w:rPr>
              <w:t>Fondations F01–F12</w:t>
            </w:r>
          </w:p>
        </w:tc>
        <w:tc>
          <w:tcPr>
            <w:tcW w:type="dxa" w:w="3741"/>
            <w:tcMar>
              <w:top w:w="80" w:type="dxa"/>
              <w:start w:w="100" w:type="dxa"/>
              <w:bottom w:w="80" w:type="dxa"/>
              <w:end w:w="100" w:type="dxa"/>
            </w:tcMar>
            <w:vAlign w:val="top"/>
          </w:tcPr>
          <w:p>
            <w:pPr>
              <w:spacing w:after="0"/>
            </w:pPr>
            <w:r>
              <w:rPr>
                <w:rFonts w:ascii="Aptos" w:hAnsi="Aptos"/>
                <w:color w:val="17263C"/>
                <w:sz w:val="16"/>
              </w:rPr>
              <w:t>Django, PostgreSQL et bibliothèques minimales</w:t>
            </w:r>
          </w:p>
        </w:tc>
        <w:tc>
          <w:tcPr>
            <w:tcW w:type="dxa" w:w="3855"/>
            <w:tcMar>
              <w:top w:w="80" w:type="dxa"/>
              <w:start w:w="100" w:type="dxa"/>
              <w:bottom w:w="80" w:type="dxa"/>
              <w:end w:w="100" w:type="dxa"/>
            </w:tcMar>
            <w:vAlign w:val="top"/>
          </w:tcPr>
          <w:p>
            <w:pPr>
              <w:spacing w:after="0"/>
            </w:pPr>
            <w:r>
              <w:rPr>
                <w:rFonts w:ascii="Aptos" w:hAnsi="Aptos"/>
                <w:color w:val="17263C"/>
                <w:sz w:val="16"/>
              </w:rPr>
              <w:t>toutes les autres familles</w:t>
            </w:r>
          </w:p>
        </w:tc>
      </w:tr>
      <w:tr>
        <w:tc>
          <w:tcPr>
            <w:tcW w:type="dxa" w:w="2267"/>
            <w:tcMar>
              <w:top w:w="80" w:type="dxa"/>
              <w:start w:w="100" w:type="dxa"/>
              <w:bottom w:w="80" w:type="dxa"/>
              <w:end w:w="100" w:type="dxa"/>
            </w:tcMar>
            <w:vAlign w:val="top"/>
          </w:tcPr>
          <w:p>
            <w:pPr>
              <w:spacing w:after="0"/>
            </w:pPr>
            <w:r>
              <w:rPr>
                <w:rFonts w:ascii="Aptos" w:hAnsi="Aptos"/>
                <w:color w:val="17263C"/>
                <w:sz w:val="16"/>
              </w:rPr>
              <w:t>Gestion G01–G15</w:t>
            </w:r>
          </w:p>
        </w:tc>
        <w:tc>
          <w:tcPr>
            <w:tcW w:type="dxa" w:w="3741"/>
            <w:tcMar>
              <w:top w:w="80" w:type="dxa"/>
              <w:start w:w="100" w:type="dxa"/>
              <w:bottom w:w="80" w:type="dxa"/>
              <w:end w:w="100" w:type="dxa"/>
            </w:tcMar>
            <w:vAlign w:val="top"/>
          </w:tcPr>
          <w:p>
            <w:pPr>
              <w:spacing w:after="0"/>
            </w:pPr>
            <w:r>
              <w:rPr>
                <w:rFonts w:ascii="Aptos" w:hAnsi="Aptos"/>
                <w:color w:val="17263C"/>
                <w:sz w:val="16"/>
              </w:rPr>
              <w:t>fondations ; référentiels selon capacité</w:t>
            </w:r>
          </w:p>
        </w:tc>
        <w:tc>
          <w:tcPr>
            <w:tcW w:type="dxa" w:w="3855"/>
            <w:tcMar>
              <w:top w:w="80" w:type="dxa"/>
              <w:start w:w="100" w:type="dxa"/>
              <w:bottom w:w="80" w:type="dxa"/>
              <w:end w:w="100" w:type="dxa"/>
            </w:tcMar>
            <w:vAlign w:val="top"/>
          </w:tcPr>
          <w:p>
            <w:pPr>
              <w:spacing w:after="0"/>
            </w:pPr>
            <w:r>
              <w:rPr>
                <w:rFonts w:ascii="Aptos" w:hAnsi="Aptos"/>
                <w:color w:val="17263C"/>
                <w:sz w:val="16"/>
              </w:rPr>
              <w:t>finance, pilotage et portails</w:t>
            </w:r>
          </w:p>
        </w:tc>
      </w:tr>
      <w:tr>
        <w:tc>
          <w:tcPr>
            <w:tcW w:type="dxa" w:w="2267"/>
            <w:tcMar>
              <w:top w:w="80" w:type="dxa"/>
              <w:start w:w="100" w:type="dxa"/>
              <w:bottom w:w="80" w:type="dxa"/>
              <w:end w:w="100" w:type="dxa"/>
            </w:tcMar>
            <w:vAlign w:val="top"/>
          </w:tcPr>
          <w:p>
            <w:pPr>
              <w:spacing w:after="0"/>
            </w:pPr>
            <w:r>
              <w:rPr>
                <w:rFonts w:ascii="Aptos" w:hAnsi="Aptos"/>
                <w:color w:val="17263C"/>
                <w:sz w:val="16"/>
              </w:rPr>
              <w:t>Finance C01–C07</w:t>
            </w:r>
          </w:p>
        </w:tc>
        <w:tc>
          <w:tcPr>
            <w:tcW w:type="dxa" w:w="3741"/>
            <w:tcMar>
              <w:top w:w="80" w:type="dxa"/>
              <w:start w:w="100" w:type="dxa"/>
              <w:bottom w:w="80" w:type="dxa"/>
              <w:end w:w="100" w:type="dxa"/>
            </w:tcMar>
            <w:vAlign w:val="top"/>
          </w:tcPr>
          <w:p>
            <w:pPr>
              <w:spacing w:after="0"/>
            </w:pPr>
            <w:r>
              <w:rPr>
                <w:rFonts w:ascii="Aptos" w:hAnsi="Aptos"/>
                <w:color w:val="17263C"/>
                <w:sz w:val="16"/>
              </w:rPr>
              <w:t>fondations et objets de gestion nécessaires</w:t>
            </w:r>
          </w:p>
        </w:tc>
        <w:tc>
          <w:tcPr>
            <w:tcW w:type="dxa" w:w="3855"/>
            <w:tcMar>
              <w:top w:w="80" w:type="dxa"/>
              <w:start w:w="100" w:type="dxa"/>
              <w:bottom w:w="80" w:type="dxa"/>
              <w:end w:w="100" w:type="dxa"/>
            </w:tcMar>
            <w:vAlign w:val="top"/>
          </w:tcPr>
          <w:p>
            <w:pPr>
              <w:spacing w:after="0"/>
            </w:pPr>
            <w:r>
              <w:rPr>
                <w:rFonts w:ascii="Aptos" w:hAnsi="Aptos"/>
                <w:color w:val="17263C"/>
                <w:sz w:val="16"/>
              </w:rPr>
              <w:t>pilotage, comptabilité, intégrations</w:t>
            </w:r>
          </w:p>
        </w:tc>
      </w:tr>
      <w:tr>
        <w:tc>
          <w:tcPr>
            <w:tcW w:type="dxa" w:w="2267"/>
            <w:tcMar>
              <w:top w:w="80" w:type="dxa"/>
              <w:start w:w="100" w:type="dxa"/>
              <w:bottom w:w="80" w:type="dxa"/>
              <w:end w:w="100" w:type="dxa"/>
            </w:tcMar>
            <w:vAlign w:val="top"/>
          </w:tcPr>
          <w:p>
            <w:pPr>
              <w:spacing w:after="0"/>
            </w:pPr>
            <w:r>
              <w:rPr>
                <w:rFonts w:ascii="Aptos" w:hAnsi="Aptos"/>
                <w:color w:val="17263C"/>
                <w:sz w:val="16"/>
              </w:rPr>
              <w:t>Comptabilité C08–C15</w:t>
            </w:r>
          </w:p>
        </w:tc>
        <w:tc>
          <w:tcPr>
            <w:tcW w:type="dxa" w:w="3741"/>
            <w:tcMar>
              <w:top w:w="80" w:type="dxa"/>
              <w:start w:w="100" w:type="dxa"/>
              <w:bottom w:w="80" w:type="dxa"/>
              <w:end w:w="100" w:type="dxa"/>
            </w:tcMar>
            <w:vAlign w:val="top"/>
          </w:tcPr>
          <w:p>
            <w:pPr>
              <w:spacing w:after="0"/>
            </w:pPr>
            <w:r>
              <w:rPr>
                <w:rFonts w:ascii="Aptos" w:hAnsi="Aptos"/>
                <w:color w:val="17263C"/>
                <w:sz w:val="16"/>
              </w:rPr>
              <w:t>finance amont, périodes, audit et référentiels</w:t>
            </w:r>
          </w:p>
        </w:tc>
        <w:tc>
          <w:tcPr>
            <w:tcW w:type="dxa" w:w="3855"/>
            <w:tcMar>
              <w:top w:w="80" w:type="dxa"/>
              <w:start w:w="100" w:type="dxa"/>
              <w:bottom w:w="80" w:type="dxa"/>
              <w:end w:w="100" w:type="dxa"/>
            </w:tcMar>
            <w:vAlign w:val="top"/>
          </w:tcPr>
          <w:p>
            <w:pPr>
              <w:spacing w:after="0"/>
            </w:pPr>
            <w:r>
              <w:rPr>
                <w:rFonts w:ascii="Aptos" w:hAnsi="Aptos"/>
                <w:color w:val="17263C"/>
                <w:sz w:val="16"/>
              </w:rPr>
              <w:t>états, FEC, clôture et pilotage</w:t>
            </w:r>
          </w:p>
        </w:tc>
      </w:tr>
      <w:tr>
        <w:tc>
          <w:tcPr>
            <w:tcW w:type="dxa" w:w="2267"/>
            <w:tcMar>
              <w:top w:w="80" w:type="dxa"/>
              <w:start w:w="100" w:type="dxa"/>
              <w:bottom w:w="80" w:type="dxa"/>
              <w:end w:w="100" w:type="dxa"/>
            </w:tcMar>
            <w:vAlign w:val="top"/>
          </w:tcPr>
          <w:p>
            <w:pPr>
              <w:spacing w:after="0"/>
            </w:pPr>
            <w:r>
              <w:rPr>
                <w:rFonts w:ascii="Aptos" w:hAnsi="Aptos"/>
                <w:color w:val="17263C"/>
                <w:sz w:val="16"/>
              </w:rPr>
              <w:t>Pilotage P01–P13</w:t>
            </w:r>
          </w:p>
        </w:tc>
        <w:tc>
          <w:tcPr>
            <w:tcW w:type="dxa" w:w="3741"/>
            <w:tcMar>
              <w:top w:w="80" w:type="dxa"/>
              <w:start w:w="100" w:type="dxa"/>
              <w:bottom w:w="80" w:type="dxa"/>
              <w:end w:w="100" w:type="dxa"/>
            </w:tcMar>
            <w:vAlign w:val="top"/>
          </w:tcPr>
          <w:p>
            <w:pPr>
              <w:spacing w:after="0"/>
            </w:pPr>
            <w:r>
              <w:rPr>
                <w:rFonts w:ascii="Aptos" w:hAnsi="Aptos"/>
                <w:color w:val="17263C"/>
                <w:sz w:val="16"/>
              </w:rPr>
              <w:t>projections publiées par gestion et finance</w:t>
            </w:r>
          </w:p>
        </w:tc>
        <w:tc>
          <w:tcPr>
            <w:tcW w:type="dxa" w:w="3855"/>
            <w:tcMar>
              <w:top w:w="80" w:type="dxa"/>
              <w:start w:w="100" w:type="dxa"/>
              <w:bottom w:w="80" w:type="dxa"/>
              <w:end w:w="100" w:type="dxa"/>
            </w:tcMar>
            <w:vAlign w:val="top"/>
          </w:tcPr>
          <w:p>
            <w:pPr>
              <w:spacing w:after="0"/>
            </w:pPr>
            <w:r>
              <w:rPr>
                <w:rFonts w:ascii="Aptos" w:hAnsi="Aptos"/>
                <w:color w:val="17263C"/>
                <w:sz w:val="16"/>
              </w:rPr>
              <w:t>direction, responsables et rapports</w:t>
            </w:r>
          </w:p>
        </w:tc>
      </w:tr>
      <w:tr>
        <w:tc>
          <w:tcPr>
            <w:tcW w:type="dxa" w:w="2267"/>
            <w:tcMar>
              <w:top w:w="80" w:type="dxa"/>
              <w:start w:w="100" w:type="dxa"/>
              <w:bottom w:w="80" w:type="dxa"/>
              <w:end w:w="100" w:type="dxa"/>
            </w:tcMar>
            <w:vAlign w:val="top"/>
          </w:tcPr>
          <w:p>
            <w:pPr>
              <w:spacing w:after="0"/>
            </w:pPr>
            <w:r>
              <w:rPr>
                <w:rFonts w:ascii="Aptos" w:hAnsi="Aptos"/>
                <w:color w:val="17263C"/>
                <w:sz w:val="16"/>
              </w:rPr>
              <w:t>Intégrations</w:t>
            </w:r>
          </w:p>
        </w:tc>
        <w:tc>
          <w:tcPr>
            <w:tcW w:type="dxa" w:w="3741"/>
            <w:tcMar>
              <w:top w:w="80" w:type="dxa"/>
              <w:start w:w="100" w:type="dxa"/>
              <w:bottom w:w="80" w:type="dxa"/>
              <w:end w:w="100" w:type="dxa"/>
            </w:tcMar>
            <w:vAlign w:val="top"/>
          </w:tcPr>
          <w:p>
            <w:pPr>
              <w:spacing w:after="0"/>
            </w:pPr>
            <w:r>
              <w:rPr>
                <w:rFonts w:ascii="Aptos" w:hAnsi="Aptos"/>
                <w:color w:val="17263C"/>
                <w:sz w:val="16"/>
              </w:rPr>
              <w:t>ports définis par les domaines</w:t>
            </w:r>
          </w:p>
        </w:tc>
        <w:tc>
          <w:tcPr>
            <w:tcW w:type="dxa" w:w="3855"/>
            <w:tcMar>
              <w:top w:w="80" w:type="dxa"/>
              <w:start w:w="100" w:type="dxa"/>
              <w:bottom w:w="80" w:type="dxa"/>
              <w:end w:w="100" w:type="dxa"/>
            </w:tcMar>
            <w:vAlign w:val="top"/>
          </w:tcPr>
          <w:p>
            <w:pPr>
              <w:spacing w:after="0"/>
            </w:pPr>
            <w:r>
              <w:rPr>
                <w:rFonts w:ascii="Aptos" w:hAnsi="Aptos"/>
                <w:color w:val="17263C"/>
                <w:sz w:val="16"/>
              </w:rPr>
              <w:t>services externes uniquement</w:t>
            </w:r>
          </w:p>
        </w:tc>
      </w:tr>
    </w:tbl>
    <w:p>
      <w:pPr>
        <w:spacing w:after="0"/>
      </w:pPr>
    </w:p>
    <w:p>
      <w:pPr>
        <w:pStyle w:val="Heading2"/>
      </w:pPr>
      <w:r>
        <w:t>13.2 Exigences globales de recette</w:t>
      </w:r>
    </w:p>
    <w:p>
      <w:pPr>
        <w:spacing w:after="40"/>
        <w:ind w:left="408" w:hanging="295"/>
      </w:pPr>
      <w:r>
        <w:rPr>
          <w:rFonts w:ascii="Aptos" w:hAnsi="Aptos"/>
          <w:b/>
          <w:color w:val="245C7C"/>
          <w:sz w:val="18"/>
        </w:rPr>
        <w:t xml:space="preserve">1. </w:t>
      </w:r>
      <w:r>
        <w:rPr>
          <w:rFonts w:ascii="Aptos" w:hAnsi="Aptos"/>
          <w:sz w:val="18"/>
        </w:rPr>
        <w:t>Installer le socle puis un sous-ensemble de modules dans un projet neuf sans modifier leur code interne.</w:t>
      </w:r>
    </w:p>
    <w:p>
      <w:pPr>
        <w:spacing w:after="40"/>
        <w:ind w:left="408" w:hanging="295"/>
      </w:pPr>
      <w:r>
        <w:rPr>
          <w:rFonts w:ascii="Aptos" w:hAnsi="Aptos"/>
          <w:b/>
          <w:color w:val="245C7C"/>
          <w:sz w:val="18"/>
        </w:rPr>
        <w:t xml:space="preserve">2. </w:t>
      </w:r>
      <w:r>
        <w:rPr>
          <w:rFonts w:ascii="Aptos" w:hAnsi="Aptos"/>
          <w:sz w:val="18"/>
        </w:rPr>
        <w:t>Créer deux organisations et démontrer l’isolation de toutes les vues, recherches, exports, API et tâches.</w:t>
      </w:r>
    </w:p>
    <w:p>
      <w:pPr>
        <w:spacing w:after="40"/>
        <w:ind w:left="408" w:hanging="295"/>
      </w:pPr>
      <w:r>
        <w:rPr>
          <w:rFonts w:ascii="Aptos" w:hAnsi="Aptos"/>
          <w:b/>
          <w:color w:val="245C7C"/>
          <w:sz w:val="18"/>
        </w:rPr>
        <w:t xml:space="preserve">3. </w:t>
      </w:r>
      <w:r>
        <w:rPr>
          <w:rFonts w:ascii="Aptos" w:hAnsi="Aptos"/>
          <w:sz w:val="18"/>
        </w:rPr>
        <w:t>Configurer une identité client et vérifier l’absence de marque technique dans l’interface, les courriels et les documents.</w:t>
      </w:r>
    </w:p>
    <w:p>
      <w:pPr>
        <w:spacing w:after="40"/>
        <w:ind w:left="408" w:hanging="295"/>
      </w:pPr>
      <w:r>
        <w:rPr>
          <w:rFonts w:ascii="Aptos" w:hAnsi="Aptos"/>
          <w:b/>
          <w:color w:val="245C7C"/>
          <w:sz w:val="18"/>
        </w:rPr>
        <w:t xml:space="preserve">4. </w:t>
      </w:r>
      <w:r>
        <w:rPr>
          <w:rFonts w:ascii="Aptos" w:hAnsi="Aptos"/>
          <w:sz w:val="18"/>
        </w:rPr>
        <w:t>Exécuter le parcours devis→commande→livraison→facture→paiement→rapprochement avec montants et événements cohérents.</w:t>
      </w:r>
    </w:p>
    <w:p>
      <w:pPr>
        <w:spacing w:after="40"/>
        <w:ind w:left="408" w:hanging="295"/>
      </w:pPr>
      <w:r>
        <w:rPr>
          <w:rFonts w:ascii="Aptos" w:hAnsi="Aptos"/>
          <w:b/>
          <w:color w:val="245C7C"/>
          <w:sz w:val="18"/>
        </w:rPr>
        <w:t xml:space="preserve">5. </w:t>
      </w:r>
      <w:r>
        <w:rPr>
          <w:rFonts w:ascii="Aptos" w:hAnsi="Aptos"/>
          <w:sz w:val="18"/>
        </w:rPr>
        <w:t>Exécuter le parcours demande d’achat→commande→réception→facture fournisseur→paiement.</w:t>
      </w:r>
    </w:p>
    <w:p>
      <w:pPr>
        <w:spacing w:after="40"/>
        <w:ind w:left="408" w:hanging="295"/>
      </w:pPr>
      <w:r>
        <w:rPr>
          <w:rFonts w:ascii="Aptos" w:hAnsi="Aptos"/>
          <w:b/>
          <w:color w:val="245C7C"/>
          <w:sz w:val="18"/>
        </w:rPr>
        <w:t xml:space="preserve">6. </w:t>
      </w:r>
      <w:r>
        <w:rPr>
          <w:rFonts w:ascii="Aptos" w:hAnsi="Aptos"/>
          <w:sz w:val="18"/>
        </w:rPr>
        <w:t>Fermer une période et démontrer le rejet des modifications non autorisées.</w:t>
      </w:r>
    </w:p>
    <w:p>
      <w:pPr>
        <w:spacing w:after="40"/>
        <w:ind w:left="408" w:hanging="295"/>
      </w:pPr>
      <w:r>
        <w:rPr>
          <w:rFonts w:ascii="Aptos" w:hAnsi="Aptos"/>
          <w:b/>
          <w:color w:val="245C7C"/>
          <w:sz w:val="18"/>
        </w:rPr>
        <w:t xml:space="preserve">7. </w:t>
      </w:r>
      <w:r>
        <w:rPr>
          <w:rFonts w:ascii="Aptos" w:hAnsi="Aptos"/>
          <w:sz w:val="18"/>
        </w:rPr>
        <w:t>Recevoir plusieurs fois le même webhook et vérifier l’unicité de l’effet métier.</w:t>
      </w:r>
    </w:p>
    <w:p>
      <w:pPr>
        <w:spacing w:after="40"/>
        <w:ind w:left="408" w:hanging="295"/>
      </w:pPr>
      <w:r>
        <w:rPr>
          <w:rFonts w:ascii="Aptos" w:hAnsi="Aptos"/>
          <w:b/>
          <w:color w:val="245C7C"/>
          <w:sz w:val="18"/>
        </w:rPr>
        <w:t xml:space="preserve">8. </w:t>
      </w:r>
      <w:r>
        <w:rPr>
          <w:rFonts w:ascii="Aptos" w:hAnsi="Aptos"/>
          <w:sz w:val="18"/>
        </w:rPr>
        <w:t>Restaurer une sauvegarde sur un environnement vierge et exécuter les contrôles d’intégrité.</w:t>
      </w:r>
    </w:p>
    <w:p>
      <w:pPr>
        <w:spacing w:after="40"/>
        <w:ind w:left="408" w:hanging="295"/>
      </w:pPr>
      <w:r>
        <w:rPr>
          <w:rFonts w:ascii="Aptos" w:hAnsi="Aptos"/>
          <w:b/>
          <w:color w:val="245C7C"/>
          <w:sz w:val="18"/>
        </w:rPr>
        <w:t xml:space="preserve">9. </w:t>
      </w:r>
      <w:r>
        <w:rPr>
          <w:rFonts w:ascii="Aptos" w:hAnsi="Aptos"/>
          <w:sz w:val="18"/>
        </w:rPr>
        <w:t>Tester les parcours clés au clavier, sur mobile et avec les rôles minimums.</w:t>
      </w:r>
    </w:p>
    <w:p>
      <w:pPr>
        <w:spacing w:after="40"/>
        <w:ind w:left="408" w:hanging="295"/>
      </w:pPr>
      <w:r>
        <w:rPr>
          <w:rFonts w:ascii="Aptos" w:hAnsi="Aptos"/>
          <w:b/>
          <w:color w:val="245C7C"/>
          <w:sz w:val="18"/>
        </w:rPr>
        <w:t xml:space="preserve">10. </w:t>
      </w:r>
      <w:r>
        <w:rPr>
          <w:rFonts w:ascii="Aptos" w:hAnsi="Aptos"/>
          <w:sz w:val="18"/>
        </w:rPr>
        <w:t>Produire un rapport de dépendances, migrations, couverture, performance et sécurité sans anomalie bloquante.</w:t>
      </w:r>
    </w:p>
    <w:p>
      <w:pPr>
        <w:pStyle w:val="Heading2"/>
      </w:pPr>
      <w:r>
        <w:t>13.3 Sources et références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737"/>
            <w:shd w:fill="E7F4F1"/>
            <w:tcMar>
              <w:top w:w="80" w:type="dxa"/>
              <w:start w:w="100" w:type="dxa"/>
              <w:bottom w:w="80" w:type="dxa"/>
              <w:end w:w="100" w:type="dxa"/>
            </w:tcMar>
            <w:vAlign w:val="center"/>
          </w:tcPr>
          <w:p>
            <w:pPr>
              <w:spacing w:after="0"/>
            </w:pPr>
            <w:r>
              <w:rPr>
                <w:rFonts w:ascii="Aptos" w:hAnsi="Aptos"/>
                <w:b/>
                <w:color w:val="17263C"/>
                <w:sz w:val="16"/>
              </w:rPr>
              <w:t>Réf.</w:t>
            </w:r>
          </w:p>
        </w:tc>
        <w:tc>
          <w:tcPr>
            <w:tcW w:type="dxa" w:w="3514"/>
            <w:shd w:fill="E7F4F1"/>
            <w:tcMar>
              <w:top w:w="80" w:type="dxa"/>
              <w:start w:w="100" w:type="dxa"/>
              <w:bottom w:w="80" w:type="dxa"/>
              <w:end w:w="100" w:type="dxa"/>
            </w:tcMar>
            <w:vAlign w:val="center"/>
          </w:tcPr>
          <w:p>
            <w:pPr>
              <w:spacing w:after="0"/>
            </w:pPr>
            <w:r>
              <w:rPr>
                <w:rFonts w:ascii="Aptos" w:hAnsi="Aptos"/>
                <w:b/>
                <w:color w:val="17263C"/>
                <w:sz w:val="16"/>
              </w:rPr>
              <w:t>Source</w:t>
            </w:r>
          </w:p>
        </w:tc>
        <w:tc>
          <w:tcPr>
            <w:tcW w:type="dxa" w:w="5612"/>
            <w:shd w:fill="E7F4F1"/>
            <w:tcMar>
              <w:top w:w="80" w:type="dxa"/>
              <w:start w:w="100" w:type="dxa"/>
              <w:bottom w:w="80" w:type="dxa"/>
              <w:end w:w="100" w:type="dxa"/>
            </w:tcMar>
            <w:vAlign w:val="center"/>
          </w:tcPr>
          <w:p>
            <w:pPr>
              <w:spacing w:after="0"/>
            </w:pPr>
            <w:r>
              <w:rPr>
                <w:rFonts w:ascii="Aptos" w:hAnsi="Aptos"/>
                <w:b/>
                <w:color w:val="17263C"/>
                <w:sz w:val="16"/>
              </w:rPr>
              <w:t>URL</w:t>
            </w:r>
          </w:p>
        </w:tc>
      </w:tr>
      <w:tr>
        <w:tc>
          <w:tcPr>
            <w:tcW w:type="dxa" w:w="737"/>
            <w:tcMar>
              <w:top w:w="80" w:type="dxa"/>
              <w:start w:w="100" w:type="dxa"/>
              <w:bottom w:w="80" w:type="dxa"/>
              <w:end w:w="100" w:type="dxa"/>
            </w:tcMar>
            <w:vAlign w:val="top"/>
          </w:tcPr>
          <w:p>
            <w:pPr>
              <w:spacing w:after="0"/>
            </w:pPr>
            <w:r>
              <w:rPr>
                <w:rFonts w:ascii="Aptos" w:hAnsi="Aptos"/>
                <w:color w:val="17263C"/>
                <w:sz w:val="16"/>
              </w:rPr>
              <w:t>S1</w:t>
            </w:r>
          </w:p>
        </w:tc>
        <w:tc>
          <w:tcPr>
            <w:tcW w:type="dxa" w:w="3514"/>
            <w:tcMar>
              <w:top w:w="80" w:type="dxa"/>
              <w:start w:w="100" w:type="dxa"/>
              <w:bottom w:w="80" w:type="dxa"/>
              <w:end w:w="100" w:type="dxa"/>
            </w:tcMar>
            <w:vAlign w:val="top"/>
          </w:tcPr>
          <w:p>
            <w:pPr>
              <w:spacing w:after="0"/>
            </w:pPr>
            <w:r>
              <w:rPr>
                <w:rFonts w:ascii="Aptos" w:hAnsi="Aptos"/>
                <w:color w:val="17263C"/>
                <w:sz w:val="16"/>
              </w:rPr>
              <w:t>Ministère de l’Économie — Facturation électronique</w:t>
            </w:r>
          </w:p>
        </w:tc>
        <w:tc>
          <w:tcPr>
            <w:tcW w:type="dxa" w:w="5612"/>
            <w:tcMar>
              <w:top w:w="80" w:type="dxa"/>
              <w:start w:w="100" w:type="dxa"/>
              <w:bottom w:w="80" w:type="dxa"/>
              <w:end w:w="100" w:type="dxa"/>
            </w:tcMar>
            <w:vAlign w:val="top"/>
          </w:tcPr>
          <w:p>
            <w:pPr>
              <w:spacing w:after="0"/>
            </w:pPr>
            <w:r>
              <w:rPr>
                <w:rFonts w:ascii="Aptos" w:hAnsi="Aptos"/>
                <w:color w:val="17263C"/>
                <w:sz w:val="16"/>
              </w:rPr>
              <w:t>https://www.economie.gouv.fr/tout-savoir-sur-la-facturation-electronique-pour-les-entreprises</w:t>
            </w:r>
          </w:p>
        </w:tc>
      </w:tr>
      <w:tr>
        <w:tc>
          <w:tcPr>
            <w:tcW w:type="dxa" w:w="737"/>
            <w:tcMar>
              <w:top w:w="80" w:type="dxa"/>
              <w:start w:w="100" w:type="dxa"/>
              <w:bottom w:w="80" w:type="dxa"/>
              <w:end w:w="100" w:type="dxa"/>
            </w:tcMar>
            <w:vAlign w:val="top"/>
          </w:tcPr>
          <w:p>
            <w:pPr>
              <w:spacing w:after="0"/>
            </w:pPr>
            <w:r>
              <w:rPr>
                <w:rFonts w:ascii="Aptos" w:hAnsi="Aptos"/>
                <w:color w:val="17263C"/>
                <w:sz w:val="16"/>
              </w:rPr>
              <w:t>S2</w:t>
            </w:r>
          </w:p>
        </w:tc>
        <w:tc>
          <w:tcPr>
            <w:tcW w:type="dxa" w:w="3514"/>
            <w:tcMar>
              <w:top w:w="80" w:type="dxa"/>
              <w:start w:w="100" w:type="dxa"/>
              <w:bottom w:w="80" w:type="dxa"/>
              <w:end w:w="100" w:type="dxa"/>
            </w:tcMar>
            <w:vAlign w:val="top"/>
          </w:tcPr>
          <w:p>
            <w:pPr>
              <w:spacing w:after="0"/>
            </w:pPr>
            <w:r>
              <w:rPr>
                <w:rFonts w:ascii="Aptos" w:hAnsi="Aptos"/>
                <w:color w:val="17263C"/>
                <w:sz w:val="16"/>
              </w:rPr>
              <w:t>Ministère de l’Économie — Mentions obligatoires d’une facture</w:t>
            </w:r>
          </w:p>
        </w:tc>
        <w:tc>
          <w:tcPr>
            <w:tcW w:type="dxa" w:w="5612"/>
            <w:tcMar>
              <w:top w:w="80" w:type="dxa"/>
              <w:start w:w="100" w:type="dxa"/>
              <w:bottom w:w="80" w:type="dxa"/>
              <w:end w:w="100" w:type="dxa"/>
            </w:tcMar>
            <w:vAlign w:val="top"/>
          </w:tcPr>
          <w:p>
            <w:pPr>
              <w:spacing w:after="0"/>
            </w:pPr>
            <w:r>
              <w:rPr>
                <w:rFonts w:ascii="Aptos" w:hAnsi="Aptos"/>
                <w:color w:val="17263C"/>
                <w:sz w:val="16"/>
              </w:rPr>
              <w:t>https://www.economie.gouv.fr/entreprises/gerer-son-entreprise-au-quotidien/gerer-sa-comptabilite-et-ses-demarches/mentions-obligatoires-dune-facture-tout-savoir</w:t>
            </w:r>
          </w:p>
        </w:tc>
      </w:tr>
      <w:tr>
        <w:tc>
          <w:tcPr>
            <w:tcW w:type="dxa" w:w="737"/>
            <w:tcMar>
              <w:top w:w="80" w:type="dxa"/>
              <w:start w:w="100" w:type="dxa"/>
              <w:bottom w:w="80" w:type="dxa"/>
              <w:end w:w="100" w:type="dxa"/>
            </w:tcMar>
            <w:vAlign w:val="top"/>
          </w:tcPr>
          <w:p>
            <w:pPr>
              <w:spacing w:after="0"/>
            </w:pPr>
            <w:r>
              <w:rPr>
                <w:rFonts w:ascii="Aptos" w:hAnsi="Aptos"/>
                <w:color w:val="17263C"/>
                <w:sz w:val="16"/>
              </w:rPr>
              <w:t>S3</w:t>
            </w:r>
          </w:p>
        </w:tc>
        <w:tc>
          <w:tcPr>
            <w:tcW w:type="dxa" w:w="3514"/>
            <w:tcMar>
              <w:top w:w="80" w:type="dxa"/>
              <w:start w:w="100" w:type="dxa"/>
              <w:bottom w:w="80" w:type="dxa"/>
              <w:end w:w="100" w:type="dxa"/>
            </w:tcMar>
            <w:vAlign w:val="top"/>
          </w:tcPr>
          <w:p>
            <w:pPr>
              <w:spacing w:after="0"/>
            </w:pPr>
            <w:r>
              <w:rPr>
                <w:rFonts w:ascii="Aptos" w:hAnsi="Aptos"/>
                <w:color w:val="17263C"/>
                <w:sz w:val="16"/>
              </w:rPr>
              <w:t>BOFiP — Format et contenu du FEC</w:t>
            </w:r>
          </w:p>
        </w:tc>
        <w:tc>
          <w:tcPr>
            <w:tcW w:type="dxa" w:w="5612"/>
            <w:tcMar>
              <w:top w:w="80" w:type="dxa"/>
              <w:start w:w="100" w:type="dxa"/>
              <w:bottom w:w="80" w:type="dxa"/>
              <w:end w:w="100" w:type="dxa"/>
            </w:tcMar>
            <w:vAlign w:val="top"/>
          </w:tcPr>
          <w:p>
            <w:pPr>
              <w:spacing w:after="0"/>
            </w:pPr>
            <w:r>
              <w:rPr>
                <w:rFonts w:ascii="Aptos" w:hAnsi="Aptos"/>
                <w:color w:val="17263C"/>
                <w:sz w:val="16"/>
              </w:rPr>
              <w:t>https://bofip.impots.gouv.fr/bofip/9028-PGP.html/identifiant=BOI-CF-IOR-60-40-20-20170607</w:t>
            </w:r>
          </w:p>
        </w:tc>
      </w:tr>
      <w:tr>
        <w:tc>
          <w:tcPr>
            <w:tcW w:type="dxa" w:w="737"/>
            <w:tcMar>
              <w:top w:w="80" w:type="dxa"/>
              <w:start w:w="100" w:type="dxa"/>
              <w:bottom w:w="80" w:type="dxa"/>
              <w:end w:w="100" w:type="dxa"/>
            </w:tcMar>
            <w:vAlign w:val="top"/>
          </w:tcPr>
          <w:p>
            <w:pPr>
              <w:spacing w:after="0"/>
            </w:pPr>
            <w:r>
              <w:rPr>
                <w:rFonts w:ascii="Aptos" w:hAnsi="Aptos"/>
                <w:color w:val="17263C"/>
                <w:sz w:val="16"/>
              </w:rPr>
              <w:t>S4</w:t>
            </w:r>
          </w:p>
        </w:tc>
        <w:tc>
          <w:tcPr>
            <w:tcW w:type="dxa" w:w="3514"/>
            <w:tcMar>
              <w:top w:w="80" w:type="dxa"/>
              <w:start w:w="100" w:type="dxa"/>
              <w:bottom w:w="80" w:type="dxa"/>
              <w:end w:w="100" w:type="dxa"/>
            </w:tcMar>
            <w:vAlign w:val="top"/>
          </w:tcPr>
          <w:p>
            <w:pPr>
              <w:spacing w:after="0"/>
            </w:pPr>
            <w:r>
              <w:rPr>
                <w:rFonts w:ascii="Aptos" w:hAnsi="Aptos"/>
                <w:color w:val="17263C"/>
                <w:sz w:val="16"/>
              </w:rPr>
              <w:t>Impots.gouv.fr — Fichiers standards des écritures comptables</w:t>
            </w:r>
          </w:p>
        </w:tc>
        <w:tc>
          <w:tcPr>
            <w:tcW w:type="dxa" w:w="5612"/>
            <w:tcMar>
              <w:top w:w="80" w:type="dxa"/>
              <w:start w:w="100" w:type="dxa"/>
              <w:bottom w:w="80" w:type="dxa"/>
              <w:end w:w="100" w:type="dxa"/>
            </w:tcMar>
            <w:vAlign w:val="top"/>
          </w:tcPr>
          <w:p>
            <w:pPr>
              <w:spacing w:after="0"/>
            </w:pPr>
            <w:r>
              <w:rPr>
                <w:rFonts w:ascii="Aptos" w:hAnsi="Aptos"/>
                <w:color w:val="17263C"/>
                <w:sz w:val="16"/>
              </w:rPr>
              <w:t>https://www.impots.gouv.fr/fichiers-standards-des-ecritures-comptables</w:t>
            </w:r>
          </w:p>
        </w:tc>
      </w:tr>
      <w:tr>
        <w:tc>
          <w:tcPr>
            <w:tcW w:type="dxa" w:w="737"/>
            <w:tcMar>
              <w:top w:w="80" w:type="dxa"/>
              <w:start w:w="100" w:type="dxa"/>
              <w:bottom w:w="80" w:type="dxa"/>
              <w:end w:w="100" w:type="dxa"/>
            </w:tcMar>
            <w:vAlign w:val="top"/>
          </w:tcPr>
          <w:p>
            <w:pPr>
              <w:spacing w:after="0"/>
            </w:pPr>
            <w:r>
              <w:rPr>
                <w:rFonts w:ascii="Aptos" w:hAnsi="Aptos"/>
                <w:color w:val="17263C"/>
                <w:sz w:val="16"/>
              </w:rPr>
              <w:t>S5</w:t>
            </w:r>
          </w:p>
        </w:tc>
        <w:tc>
          <w:tcPr>
            <w:tcW w:type="dxa" w:w="3514"/>
            <w:tcMar>
              <w:top w:w="80" w:type="dxa"/>
              <w:start w:w="100" w:type="dxa"/>
              <w:bottom w:w="80" w:type="dxa"/>
              <w:end w:w="100" w:type="dxa"/>
            </w:tcMar>
            <w:vAlign w:val="top"/>
          </w:tcPr>
          <w:p>
            <w:pPr>
              <w:spacing w:after="0"/>
            </w:pPr>
            <w:r>
              <w:rPr>
                <w:rFonts w:ascii="Aptos" w:hAnsi="Aptos"/>
                <w:color w:val="17263C"/>
                <w:sz w:val="16"/>
              </w:rPr>
              <w:t>Service Public — Délais de conservation des documents</w:t>
            </w:r>
          </w:p>
        </w:tc>
        <w:tc>
          <w:tcPr>
            <w:tcW w:type="dxa" w:w="5612"/>
            <w:tcMar>
              <w:top w:w="80" w:type="dxa"/>
              <w:start w:w="100" w:type="dxa"/>
              <w:bottom w:w="80" w:type="dxa"/>
              <w:end w:w="100" w:type="dxa"/>
            </w:tcMar>
            <w:vAlign w:val="top"/>
          </w:tcPr>
          <w:p>
            <w:pPr>
              <w:spacing w:after="0"/>
            </w:pPr>
            <w:r>
              <w:rPr>
                <w:rFonts w:ascii="Aptos" w:hAnsi="Aptos"/>
                <w:color w:val="17263C"/>
                <w:sz w:val="16"/>
              </w:rPr>
              <w:t>https://entreprendre.service-public.fr/vosdroits/F10029</w:t>
            </w:r>
          </w:p>
        </w:tc>
      </w:tr>
      <w:tr>
        <w:tc>
          <w:tcPr>
            <w:tcW w:type="dxa" w:w="737"/>
            <w:tcMar>
              <w:top w:w="80" w:type="dxa"/>
              <w:start w:w="100" w:type="dxa"/>
              <w:bottom w:w="80" w:type="dxa"/>
              <w:end w:w="100" w:type="dxa"/>
            </w:tcMar>
            <w:vAlign w:val="top"/>
          </w:tcPr>
          <w:p>
            <w:pPr>
              <w:spacing w:after="0"/>
            </w:pPr>
            <w:r>
              <w:rPr>
                <w:rFonts w:ascii="Aptos" w:hAnsi="Aptos"/>
                <w:color w:val="17263C"/>
                <w:sz w:val="16"/>
              </w:rPr>
              <w:t>S6</w:t>
            </w:r>
          </w:p>
        </w:tc>
        <w:tc>
          <w:tcPr>
            <w:tcW w:type="dxa" w:w="3514"/>
            <w:tcMar>
              <w:top w:w="80" w:type="dxa"/>
              <w:start w:w="100" w:type="dxa"/>
              <w:bottom w:w="80" w:type="dxa"/>
              <w:end w:w="100" w:type="dxa"/>
            </w:tcMar>
            <w:vAlign w:val="top"/>
          </w:tcPr>
          <w:p>
            <w:pPr>
              <w:spacing w:after="0"/>
            </w:pPr>
            <w:r>
              <w:rPr>
                <w:rFonts w:ascii="Aptos" w:hAnsi="Aptos"/>
                <w:color w:val="17263C"/>
                <w:sz w:val="16"/>
              </w:rPr>
              <w:t>CNIL — Guide de la sécurité des données personnelles</w:t>
            </w:r>
          </w:p>
        </w:tc>
        <w:tc>
          <w:tcPr>
            <w:tcW w:type="dxa" w:w="5612"/>
            <w:tcMar>
              <w:top w:w="80" w:type="dxa"/>
              <w:start w:w="100" w:type="dxa"/>
              <w:bottom w:w="80" w:type="dxa"/>
              <w:end w:w="100" w:type="dxa"/>
            </w:tcMar>
            <w:vAlign w:val="top"/>
          </w:tcPr>
          <w:p>
            <w:pPr>
              <w:spacing w:after="0"/>
            </w:pPr>
            <w:r>
              <w:rPr>
                <w:rFonts w:ascii="Aptos" w:hAnsi="Aptos"/>
                <w:color w:val="17263C"/>
                <w:sz w:val="16"/>
              </w:rPr>
              <w:t>https://www.cnil.fr/fr/guide-de-la-securite-des-donnees-personnelles</w:t>
            </w:r>
          </w:p>
        </w:tc>
      </w:tr>
      <w:tr>
        <w:tc>
          <w:tcPr>
            <w:tcW w:type="dxa" w:w="737"/>
            <w:tcMar>
              <w:top w:w="80" w:type="dxa"/>
              <w:start w:w="100" w:type="dxa"/>
              <w:bottom w:w="80" w:type="dxa"/>
              <w:end w:w="100" w:type="dxa"/>
            </w:tcMar>
            <w:vAlign w:val="top"/>
          </w:tcPr>
          <w:p>
            <w:pPr>
              <w:spacing w:after="0"/>
            </w:pPr>
            <w:r>
              <w:rPr>
                <w:rFonts w:ascii="Aptos" w:hAnsi="Aptos"/>
                <w:color w:val="17263C"/>
                <w:sz w:val="16"/>
              </w:rPr>
              <w:t>S7</w:t>
            </w:r>
          </w:p>
        </w:tc>
        <w:tc>
          <w:tcPr>
            <w:tcW w:type="dxa" w:w="3514"/>
            <w:tcMar>
              <w:top w:w="80" w:type="dxa"/>
              <w:start w:w="100" w:type="dxa"/>
              <w:bottom w:w="80" w:type="dxa"/>
              <w:end w:w="100" w:type="dxa"/>
            </w:tcMar>
            <w:vAlign w:val="top"/>
          </w:tcPr>
          <w:p>
            <w:pPr>
              <w:spacing w:after="0"/>
            </w:pPr>
            <w:r>
              <w:rPr>
                <w:rFonts w:ascii="Aptos" w:hAnsi="Aptos"/>
                <w:color w:val="17263C"/>
                <w:sz w:val="16"/>
              </w:rPr>
              <w:t>CNIL — Durées de conservation des données</w:t>
            </w:r>
          </w:p>
        </w:tc>
        <w:tc>
          <w:tcPr>
            <w:tcW w:type="dxa" w:w="5612"/>
            <w:tcMar>
              <w:top w:w="80" w:type="dxa"/>
              <w:start w:w="100" w:type="dxa"/>
              <w:bottom w:w="80" w:type="dxa"/>
              <w:end w:w="100" w:type="dxa"/>
            </w:tcMar>
            <w:vAlign w:val="top"/>
          </w:tcPr>
          <w:p>
            <w:pPr>
              <w:spacing w:after="0"/>
            </w:pPr>
            <w:r>
              <w:rPr>
                <w:rFonts w:ascii="Aptos" w:hAnsi="Aptos"/>
                <w:color w:val="17263C"/>
                <w:sz w:val="16"/>
              </w:rPr>
              <w:t>https://www.cnil.fr/fr/passer-laction/les-durees-de-conservation-des-donnees</w:t>
            </w:r>
          </w:p>
        </w:tc>
      </w:tr>
      <w:tr>
        <w:tc>
          <w:tcPr>
            <w:tcW w:type="dxa" w:w="737"/>
            <w:tcMar>
              <w:top w:w="80" w:type="dxa"/>
              <w:start w:w="100" w:type="dxa"/>
              <w:bottom w:w="80" w:type="dxa"/>
              <w:end w:w="100" w:type="dxa"/>
            </w:tcMar>
            <w:vAlign w:val="top"/>
          </w:tcPr>
          <w:p>
            <w:pPr>
              <w:spacing w:after="0"/>
            </w:pPr>
            <w:r>
              <w:rPr>
                <w:rFonts w:ascii="Aptos" w:hAnsi="Aptos"/>
                <w:color w:val="17263C"/>
                <w:sz w:val="16"/>
              </w:rPr>
              <w:t>S8</w:t>
            </w:r>
          </w:p>
        </w:tc>
        <w:tc>
          <w:tcPr>
            <w:tcW w:type="dxa" w:w="3514"/>
            <w:tcMar>
              <w:top w:w="80" w:type="dxa"/>
              <w:start w:w="100" w:type="dxa"/>
              <w:bottom w:w="80" w:type="dxa"/>
              <w:end w:w="100" w:type="dxa"/>
            </w:tcMar>
            <w:vAlign w:val="top"/>
          </w:tcPr>
          <w:p>
            <w:pPr>
              <w:spacing w:after="0"/>
            </w:pPr>
            <w:r>
              <w:rPr>
                <w:rFonts w:ascii="Aptos" w:hAnsi="Aptos"/>
                <w:color w:val="17263C"/>
                <w:sz w:val="16"/>
              </w:rPr>
              <w:t>Django Software Foundation — Versions supportées</w:t>
            </w:r>
          </w:p>
        </w:tc>
        <w:tc>
          <w:tcPr>
            <w:tcW w:type="dxa" w:w="5612"/>
            <w:tcMar>
              <w:top w:w="80" w:type="dxa"/>
              <w:start w:w="100" w:type="dxa"/>
              <w:bottom w:w="80" w:type="dxa"/>
              <w:end w:w="100" w:type="dxa"/>
            </w:tcMar>
            <w:vAlign w:val="top"/>
          </w:tcPr>
          <w:p>
            <w:pPr>
              <w:spacing w:after="0"/>
            </w:pPr>
            <w:r>
              <w:rPr>
                <w:rFonts w:ascii="Aptos" w:hAnsi="Aptos"/>
                <w:color w:val="17263C"/>
                <w:sz w:val="16"/>
              </w:rPr>
              <w:t>https://www.djangoproject.com/download/#supported-versions</w:t>
            </w:r>
          </w:p>
        </w:tc>
      </w:tr>
    </w:tbl>
    <w:p>
      <w:pPr>
        <w:spacing w:after="0"/>
      </w:pPr>
    </w:p>
    <w:p>
      <w:pPr>
        <w:pStyle w:val="Heading2"/>
      </w:pPr>
      <w:r>
        <w:t>13.4 Note de validation</w:t>
      </w:r>
    </w:p>
    <w:p>
      <w:r>
        <w:rPr>
          <w:rFonts w:ascii="Aptos" w:hAnsi="Aptos"/>
          <w:color w:val="17263C"/>
        </w:rPr>
        <w:t>Ce cahier des charges fixe l’architecture, les capacités et les exigences communes. Avant le développement de C08 à C15 et la mise en production de C01 ou C14, les règles comptables, fiscales, de facturation électronique et de conservation applicables au client doivent être confirmées avec son expert-comptable, son conseil et les prestataires retenus.</w:t>
      </w:r>
    </w:p>
    <w:sectPr w:rsidR="00FC693F" w:rsidRPr="0006063C" w:rsidSect="00034616">
      <w:headerReference w:type="default" r:id="rId9"/>
      <w:footerReference w:type="default" r:id="rId10"/>
      <w:pgSz w:w="11906" w:h="16838"/>
      <w:pgMar w:top="992" w:right="1020" w:bottom="935"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rPr>
        <w:tblHeader w:val="true"/>
      </w:trPr>
      <w:tc>
        <w:tcPr>
          <w:tcW w:type="dxa" w:w="8220"/>
        </w:tcPr>
        <w:p>
          <w:pPr>
            <w:spacing w:after="0"/>
            <w:jc w:val="right"/>
          </w:pPr>
          <w:r>
            <w:rPr>
              <w:rFonts w:ascii="Aptos" w:hAnsi="Aptos"/>
              <w:color w:val="667085"/>
              <w:sz w:val="15"/>
            </w:rPr>
            <w:t>Version 2.0  •  18 juillet 2026</w:t>
          </w:r>
        </w:p>
      </w:tc>
      <w:tc>
        <w:tcPr>
          <w:tcW w:type="dxa" w:w="1644"/>
        </w:tcPr>
        <w:p>
          <w:pPr>
            <w:spacing w:after="0"/>
            <w:jc w:val="right"/>
          </w:pPr>
          <w:r>
            <w:rPr>
              <w:rFonts w:ascii="Aptos" w:hAnsi="Aptos"/>
              <w:color w:val="667085"/>
              <w:sz w:val="15"/>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5"/>
      </w:rPr>
      <w:t>CAHIER DES CHARGES  /  BRIQUES MODULAIRES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26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40"/>
      <w:outlineLvl w:val="0"/>
    </w:pPr>
    <w:rPr>
      <w:rFonts w:asciiTheme="majorHAnsi" w:eastAsiaTheme="majorEastAsia" w:hAnsiTheme="majorHAnsi" w:cstheme="majorBidi" w:ascii="Aptos Display" w:hAnsi="Aptos Display"/>
      <w:b/>
      <w:bCs/>
      <w:color w:val="245C7C"/>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67A7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7263C"/>
      <w:sz w:val="21"/>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ptos" w:hAnsi="Aptos"/>
      <w:b/>
      <w:bCs/>
      <w:i/>
      <w:iCs/>
      <w:color w:val="245C7C"/>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263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69" w:hanging="17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Briques modulaires de pilotage, gestion et comptabilité</dc:title>
  <dc:subject>Architecture fonctionnelle et technique d’une bibliothèque Django neutre</dc:subject>
  <dc:creator>Trait d’Union Studio</dc:creator>
  <cp:keywords>Django, pilotage, gestion, comptabilité, facturation, modules, HTMX</cp:keywords>
  <dc:description>Version 2.0 — conception greenfield au 18 juillet 2026</dc:description>
  <cp:lastModifiedBy/>
  <cp:revision>1</cp:revision>
  <dcterms:created xsi:type="dcterms:W3CDTF">2013-12-23T23:15:00Z</dcterms:created>
  <dcterms:modified xsi:type="dcterms:W3CDTF">2013-12-23T23:15:00Z</dcterms:modified>
  <cp:category/>
</cp:coreProperties>
</file>