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污水厂曝气加药智能决策开发参赛报告</w:t>
      </w:r>
    </w:p>
    <w:p>
      <w:pPr>
        <w:jc w:val="center"/>
      </w:pPr>
      <w:r>
        <w:rPr>
          <w:sz w:val="24"/>
          <w:szCs w:val="24"/>
        </w:rPr>
        <w:t xml:space="preserve">Safe-MARL 双智能体协同控制与可视化大屏系统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</w:pPr>
      <w:r>
        <w:t xml:space="preserve">1. 项目概述</w:t>
      </w:r>
    </w:p>
    <w:p>
      <w:r>
        <w:rPr>
          <w:sz w:val="22"/>
          <w:szCs w:val="22"/>
        </w:rPr>
        <w:t xml:space="preserve">本项目面向污水厂曝气加药运行中响应滞后、精准度低、药耗能耗高和复杂工况适应不足的问题，构建多源数据融合、下一小时出水预测、Safe-MARL 双智能体决策、约束安全盾和可视化大屏的一体化智能体系统。</w:t>
      </w:r>
    </w:p>
    <w:p>
      <w:pPr>
        <w:pStyle w:val="Heading1"/>
      </w:pPr>
      <w:r>
        <w:t xml:space="preserve">2. 数据采集与融合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本地单厂小时级运行数据 4574 行。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国内公开监测长表 1M 行。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融合数据长表 1M 行，覆盖 china_public_monitor、local_plant、us_wqp。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WQP 联网补充状态为 ok，用于外部域分布参考。</w:t>
      </w:r>
    </w:p>
    <w:p>
      <w:pPr>
        <w:pStyle w:val="Heading1"/>
      </w:pPr>
      <w:r>
        <w:t xml:space="preserve">3. 模型与智能体设计</w:t>
      </w:r>
    </w:p>
    <w:p>
      <w:r>
        <w:rPr>
          <w:sz w:val="22"/>
          <w:szCs w:val="22"/>
        </w:rPr>
        <w:t xml:space="preserve">监督代理模型采用 extra_trees，共 349 个特征，用于同时预测下一小时 COD、NH3-N、TP 和 TN。</w:t>
      </w:r>
    </w:p>
    <w:p>
      <w:r>
        <w:rPr>
          <w:sz w:val="22"/>
          <w:szCs w:val="22"/>
        </w:rPr>
        <w:t xml:space="preserve">Safe-MARL 采用曝气智能体与投药智能体协同输出动作，共享出水风险、曝气能耗、药耗、平滑性和约束违规 reward。</w:t>
      </w:r>
    </w:p>
    <w:p>
      <w:pPr>
        <w:pStyle w:val="Heading1"/>
      </w:pPr>
      <w:r>
        <w:t xml:space="preserve">4. 安全约束与决策闭环</w:t>
      </w:r>
    </w:p>
    <w:p>
      <w:r>
        <w:rPr>
          <w:sz w:val="22"/>
          <w:szCs w:val="22"/>
        </w:rPr>
        <w:t xml:space="preserve">所有 RL 推荐动作先进入安全盾，检查曝气强度上下限、PAC 投加上下限、单次最大调节步长和出水合规风险。随后进入安全与目标函数仲裁层：若 RL 动作不可行，或局部有界专家搜索能给出更优的合规动作，则回退到专家动作。</w:t>
      </w:r>
    </w:p>
    <w:p>
      <w:r>
        <w:rPr>
          <w:sz w:val="22"/>
          <w:szCs w:val="22"/>
        </w:rPr>
        <w:t xml:space="preserve">核心目标函数：J = wq * 水质风险 + we * 曝气能耗 + wc * PAC药耗 + ws * 平滑项 + wv * 违规惩罚；系统最小化 J，并将 reward 定义为 -J。</w:t>
      </w:r>
    </w:p>
    <w:p>
      <w:pPr>
        <w:pStyle w:val="Heading1"/>
      </w:pPr>
      <w:r>
        <w:t xml:space="preserve">5. 系统实现</w:t>
      </w:r>
    </w:p>
    <w:p>
      <w:r>
        <w:rPr>
          <w:sz w:val="22"/>
          <w:szCs w:val="22"/>
        </w:rPr>
        <w:t xml:space="preserve">后端采用 FastAPI，前端采用 React + ECharts。系统提供摘要、时序、推荐、单点推理、RL 推荐和 AI 摘要接口。</w:t>
      </w:r>
    </w:p>
    <w:p>
      <w:pPr>
        <w:pStyle w:val="Heading2"/>
      </w:pPr>
      <w:r>
        <w:t xml:space="preserve">核心指标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40"/>
          <w:bottom w:type="dxa" w:w="100"/>
          <w:right w:type="dxa" w:w="140"/>
        </w:tblCellMar>
      </w:tblPr>
      <w:tblGrid>
        <w:gridCol w:w="3100"/>
        <w:gridCol w:w="3150"/>
        <w:gridCol w:w="3110"/>
      </w:tblGrid>
      <w:tr>
        <w:trPr>
          <w:tblHeader/>
        </w:trPr>
        <w:tc>
          <w:tcPr>
            <w:tcW w:type="dxa" w:w="3100"/>
            <w:tcBorders>
              <w:top w:val="single" w:color="B8CDD4" w:sz="1"/>
              <w:left w:val="single" w:color="B8CDD4" w:sz="1"/>
              <w:bottom w:val="single" w:color="B8CDD4" w:sz="1"/>
              <w:right w:val="single" w:color="B8CDD4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指标</w:t>
            </w:r>
          </w:p>
        </w:tc>
        <w:tc>
          <w:tcPr>
            <w:tcW w:type="dxa" w:w="3150"/>
            <w:tcBorders>
              <w:top w:val="single" w:color="B8CDD4" w:sz="1"/>
              <w:left w:val="single" w:color="B8CDD4" w:sz="1"/>
              <w:bottom w:val="single" w:color="B8CDD4" w:sz="1"/>
              <w:right w:val="single" w:color="B8CDD4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结果</w:t>
            </w:r>
          </w:p>
        </w:tc>
        <w:tc>
          <w:tcPr>
            <w:tcW w:type="dxa" w:w="3110"/>
            <w:tcBorders>
              <w:top w:val="single" w:color="B8CDD4" w:sz="1"/>
              <w:left w:val="single" w:color="B8CDD4" w:sz="1"/>
              <w:bottom w:val="single" w:color="B8CDD4" w:sz="1"/>
              <w:right w:val="single" w:color="B8CDD4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3100"/>
            <w:tcBorders>
              <w:top w:val="single" w:color="B8CDD4" w:sz="1"/>
              <w:left w:val="single" w:color="B8CDD4" w:sz="1"/>
              <w:bottom w:val="single" w:color="B8CDD4" w:sz="1"/>
              <w:right w:val="single" w:color="B8CDD4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融合长表规模</w:t>
            </w:r>
          </w:p>
        </w:tc>
        <w:tc>
          <w:tcPr>
            <w:tcW w:type="dxa" w:w="3150"/>
            <w:tcBorders>
              <w:top w:val="single" w:color="B8CDD4" w:sz="1"/>
              <w:left w:val="single" w:color="B8CDD4" w:sz="1"/>
              <w:bottom w:val="single" w:color="B8CDD4" w:sz="1"/>
              <w:right w:val="single" w:color="B8CDD4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1M</w:t>
            </w:r>
          </w:p>
        </w:tc>
        <w:tc>
          <w:tcPr>
            <w:tcW w:type="dxa" w:w="3110"/>
            <w:tcBorders>
              <w:top w:val="single" w:color="B8CDD4" w:sz="1"/>
              <w:left w:val="single" w:color="B8CDD4" w:sz="1"/>
              <w:bottom w:val="single" w:color="B8CDD4" w:sz="1"/>
              <w:right w:val="single" w:color="B8CDD4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本地单厂 + 国内公开监测 + WQP 联网补充</w:t>
            </w:r>
          </w:p>
        </w:tc>
      </w:tr>
      <w:tr>
        <w:trPr>
          <w:tblHeader w:val="false"/>
        </w:trPr>
        <w:tc>
          <w:tcPr>
            <w:tcW w:type="dxa" w:w="3100"/>
            <w:tcBorders>
              <w:top w:val="single" w:color="B8CDD4" w:sz="1"/>
              <w:left w:val="single" w:color="B8CDD4" w:sz="1"/>
              <w:bottom w:val="single" w:color="B8CDD4" w:sz="1"/>
              <w:right w:val="single" w:color="B8CDD4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决策样本</w:t>
            </w:r>
          </w:p>
        </w:tc>
        <w:tc>
          <w:tcPr>
            <w:tcW w:type="dxa" w:w="3150"/>
            <w:tcBorders>
              <w:top w:val="single" w:color="B8CDD4" w:sz="1"/>
              <w:left w:val="single" w:color="B8CDD4" w:sz="1"/>
              <w:bottom w:val="single" w:color="B8CDD4" w:sz="1"/>
              <w:right w:val="single" w:color="B8CDD4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1万</w:t>
            </w:r>
          </w:p>
        </w:tc>
        <w:tc>
          <w:tcPr>
            <w:tcW w:type="dxa" w:w="3110"/>
            <w:tcBorders>
              <w:top w:val="single" w:color="B8CDD4" w:sz="1"/>
              <w:left w:val="single" w:color="B8CDD4" w:sz="1"/>
              <w:bottom w:val="single" w:color="B8CDD4" w:sz="1"/>
              <w:right w:val="single" w:color="B8CDD4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observed/load_up/rain_dilution 三类工况</w:t>
            </w:r>
          </w:p>
        </w:tc>
      </w:tr>
      <w:tr>
        <w:trPr>
          <w:tblHeader w:val="false"/>
        </w:trPr>
        <w:tc>
          <w:tcPr>
            <w:tcW w:type="dxa" w:w="3100"/>
            <w:tcBorders>
              <w:top w:val="single" w:color="B8CDD4" w:sz="1"/>
              <w:left w:val="single" w:color="B8CDD4" w:sz="1"/>
              <w:bottom w:val="single" w:color="B8CDD4" w:sz="1"/>
              <w:right w:val="single" w:color="B8CDD4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监督模型</w:t>
            </w:r>
          </w:p>
        </w:tc>
        <w:tc>
          <w:tcPr>
            <w:tcW w:type="dxa" w:w="3150"/>
            <w:tcBorders>
              <w:top w:val="single" w:color="B8CDD4" w:sz="1"/>
              <w:left w:val="single" w:color="B8CDD4" w:sz="1"/>
              <w:bottom w:val="single" w:color="B8CDD4" w:sz="1"/>
              <w:right w:val="single" w:color="B8CDD4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extra_trees</w:t>
            </w:r>
          </w:p>
        </w:tc>
        <w:tc>
          <w:tcPr>
            <w:tcW w:type="dxa" w:w="3110"/>
            <w:tcBorders>
              <w:top w:val="single" w:color="B8CDD4" w:sz="1"/>
              <w:left w:val="single" w:color="B8CDD4" w:sz="1"/>
              <w:bottom w:val="single" w:color="B8CDD4" w:sz="1"/>
              <w:right w:val="single" w:color="B8CDD4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349 个特征，多输出下一小时出水预测</w:t>
            </w:r>
          </w:p>
        </w:tc>
      </w:tr>
      <w:tr>
        <w:trPr>
          <w:tblHeader w:val="false"/>
        </w:trPr>
        <w:tc>
          <w:tcPr>
            <w:tcW w:type="dxa" w:w="3100"/>
            <w:tcBorders>
              <w:top w:val="single" w:color="B8CDD4" w:sz="1"/>
              <w:left w:val="single" w:color="B8CDD4" w:sz="1"/>
              <w:bottom w:val="single" w:color="B8CDD4" w:sz="1"/>
              <w:right w:val="single" w:color="B8CDD4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测试综合误差</w:t>
            </w:r>
          </w:p>
        </w:tc>
        <w:tc>
          <w:tcPr>
            <w:tcW w:type="dxa" w:w="3150"/>
            <w:tcBorders>
              <w:top w:val="single" w:color="B8CDD4" w:sz="1"/>
              <w:left w:val="single" w:color="B8CDD4" w:sz="1"/>
              <w:bottom w:val="single" w:color="B8CDD4" w:sz="1"/>
              <w:right w:val="single" w:color="B8CDD4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0.241</w:t>
            </w:r>
          </w:p>
        </w:tc>
        <w:tc>
          <w:tcPr>
            <w:tcW w:type="dxa" w:w="3110"/>
            <w:tcBorders>
              <w:top w:val="single" w:color="B8CDD4" w:sz="1"/>
              <w:left w:val="single" w:color="B8CDD4" w:sz="1"/>
              <w:bottom w:val="single" w:color="B8CDD4" w:sz="1"/>
              <w:right w:val="single" w:color="B8CDD4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污染物重要性加权归一化 MAE</w:t>
            </w:r>
          </w:p>
        </w:tc>
      </w:tr>
      <w:tr>
        <w:trPr>
          <w:tblHeader w:val="false"/>
        </w:trPr>
        <w:tc>
          <w:tcPr>
            <w:tcW w:type="dxa" w:w="3100"/>
            <w:tcBorders>
              <w:top w:val="single" w:color="B8CDD4" w:sz="1"/>
              <w:left w:val="single" w:color="B8CDD4" w:sz="1"/>
              <w:bottom w:val="single" w:color="B8CDD4" w:sz="1"/>
              <w:right w:val="single" w:color="B8CDD4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预测达标率</w:t>
            </w:r>
          </w:p>
        </w:tc>
        <w:tc>
          <w:tcPr>
            <w:tcW w:type="dxa" w:w="3150"/>
            <w:tcBorders>
              <w:top w:val="single" w:color="B8CDD4" w:sz="1"/>
              <w:left w:val="single" w:color="B8CDD4" w:sz="1"/>
              <w:bottom w:val="single" w:color="B8CDD4" w:sz="1"/>
              <w:right w:val="single" w:color="B8CDD4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100.0%</w:t>
            </w:r>
          </w:p>
        </w:tc>
        <w:tc>
          <w:tcPr>
            <w:tcW w:type="dxa" w:w="3110"/>
            <w:tcBorders>
              <w:top w:val="single" w:color="B8CDD4" w:sz="1"/>
              <w:left w:val="single" w:color="B8CDD4" w:sz="1"/>
              <w:bottom w:val="single" w:color="B8CDD4" w:sz="1"/>
              <w:right w:val="single" w:color="B8CDD4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COD/NH3-N/TP/TN 四目标</w:t>
            </w:r>
          </w:p>
        </w:tc>
      </w:tr>
      <w:tr>
        <w:trPr>
          <w:tblHeader w:val="false"/>
        </w:trPr>
        <w:tc>
          <w:tcPr>
            <w:tcW w:type="dxa" w:w="3100"/>
            <w:tcBorders>
              <w:top w:val="single" w:color="B8CDD4" w:sz="1"/>
              <w:left w:val="single" w:color="B8CDD4" w:sz="1"/>
              <w:bottom w:val="single" w:color="B8CDD4" w:sz="1"/>
              <w:right w:val="single" w:color="B8CDD4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Safe-MARL 可行率</w:t>
            </w:r>
          </w:p>
        </w:tc>
        <w:tc>
          <w:tcPr>
            <w:tcW w:type="dxa" w:w="3150"/>
            <w:tcBorders>
              <w:top w:val="single" w:color="B8CDD4" w:sz="1"/>
              <w:left w:val="single" w:color="B8CDD4" w:sz="1"/>
              <w:bottom w:val="single" w:color="B8CDD4" w:sz="1"/>
              <w:right w:val="single" w:color="B8CDD4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100.0%</w:t>
            </w:r>
          </w:p>
        </w:tc>
        <w:tc>
          <w:tcPr>
            <w:tcW w:type="dxa" w:w="3110"/>
            <w:tcBorders>
              <w:top w:val="single" w:color="B8CDD4" w:sz="1"/>
              <w:left w:val="single" w:color="B8CDD4" w:sz="1"/>
              <w:bottom w:val="single" w:color="B8CDD4" w:sz="1"/>
              <w:right w:val="single" w:color="B8CDD4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所有动作经过安全盾</w:t>
            </w:r>
          </w:p>
        </w:tc>
      </w:tr>
      <w:tr>
        <w:trPr>
          <w:tblHeader w:val="false"/>
        </w:trPr>
        <w:tc>
          <w:tcPr>
            <w:tcW w:type="dxa" w:w="3100"/>
            <w:tcBorders>
              <w:top w:val="single" w:color="B8CDD4" w:sz="1"/>
              <w:left w:val="single" w:color="B8CDD4" w:sz="1"/>
              <w:bottom w:val="single" w:color="B8CDD4" w:sz="1"/>
              <w:right w:val="single" w:color="B8CDD4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当前控制节能/节药</w:t>
            </w:r>
          </w:p>
        </w:tc>
        <w:tc>
          <w:tcPr>
            <w:tcW w:type="dxa" w:w="3150"/>
            <w:tcBorders>
              <w:top w:val="single" w:color="B8CDD4" w:sz="1"/>
              <w:left w:val="single" w:color="B8CDD4" w:sz="1"/>
              <w:bottom w:val="single" w:color="B8CDD4" w:sz="1"/>
              <w:right w:val="single" w:color="B8CDD4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38.70% / 69.63%</w:t>
            </w:r>
          </w:p>
        </w:tc>
        <w:tc>
          <w:tcPr>
            <w:tcW w:type="dxa" w:w="3110"/>
            <w:tcBorders>
              <w:top w:val="single" w:color="B8CDD4" w:sz="1"/>
              <w:left w:val="single" w:color="B8CDD4" w:sz="1"/>
              <w:bottom w:val="single" w:color="B8CDD4" w:sz="1"/>
              <w:right w:val="single" w:color="B8CDD4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安全仲裁后最终推荐</w:t>
            </w:r>
          </w:p>
        </w:tc>
      </w:tr>
      <w:tr>
        <w:trPr>
          <w:tblHeader w:val="false"/>
        </w:trPr>
        <w:tc>
          <w:tcPr>
            <w:tcW w:type="dxa" w:w="3100"/>
            <w:tcBorders>
              <w:top w:val="single" w:color="B8CDD4" w:sz="1"/>
              <w:left w:val="single" w:color="B8CDD4" w:sz="1"/>
              <w:bottom w:val="single" w:color="B8CDD4" w:sz="1"/>
              <w:right w:val="single" w:color="B8CDD4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传统定值节能/节药</w:t>
            </w:r>
          </w:p>
        </w:tc>
        <w:tc>
          <w:tcPr>
            <w:tcW w:type="dxa" w:w="3150"/>
            <w:tcBorders>
              <w:top w:val="single" w:color="B8CDD4" w:sz="1"/>
              <w:left w:val="single" w:color="B8CDD4" w:sz="1"/>
              <w:bottom w:val="single" w:color="B8CDD4" w:sz="1"/>
              <w:right w:val="single" w:color="B8CDD4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44.98% / 88.97%</w:t>
            </w:r>
          </w:p>
        </w:tc>
        <w:tc>
          <w:tcPr>
            <w:tcW w:type="dxa" w:w="3110"/>
            <w:tcBorders>
              <w:top w:val="single" w:color="B8CDD4" w:sz="1"/>
              <w:left w:val="single" w:color="B8CDD4" w:sz="1"/>
              <w:bottom w:val="single" w:color="B8CDD4" w:sz="1"/>
              <w:right w:val="single" w:color="B8CDD4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训练期 P90 保守定值对照</w:t>
            </w:r>
          </w:p>
        </w:tc>
      </w:tr>
      <w:tr>
        <w:trPr>
          <w:tblHeader w:val="false"/>
        </w:trPr>
        <w:tc>
          <w:tcPr>
            <w:tcW w:type="dxa" w:w="3100"/>
            <w:tcBorders>
              <w:top w:val="single" w:color="B8CDD4" w:sz="1"/>
              <w:left w:val="single" w:color="B8CDD4" w:sz="1"/>
              <w:bottom w:val="single" w:color="B8CDD4" w:sz="1"/>
              <w:right w:val="single" w:color="B8CDD4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P95 响应时间</w:t>
            </w:r>
          </w:p>
        </w:tc>
        <w:tc>
          <w:tcPr>
            <w:tcW w:type="dxa" w:w="3150"/>
            <w:tcBorders>
              <w:top w:val="single" w:color="B8CDD4" w:sz="1"/>
              <w:left w:val="single" w:color="B8CDD4" w:sz="1"/>
              <w:bottom w:val="single" w:color="B8CDD4" w:sz="1"/>
              <w:right w:val="single" w:color="B8CDD4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1.9 ms</w:t>
            </w:r>
          </w:p>
        </w:tc>
        <w:tc>
          <w:tcPr>
            <w:tcW w:type="dxa" w:w="3110"/>
            <w:tcBorders>
              <w:top w:val="single" w:color="B8CDD4" w:sz="1"/>
              <w:left w:val="single" w:color="B8CDD4" w:sz="1"/>
              <w:bottom w:val="single" w:color="B8CDD4" w:sz="1"/>
              <w:right w:val="single" w:color="B8CDD4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单组推荐响应 ≤1s</w:t>
            </w:r>
          </w:p>
        </w:tc>
      </w:tr>
      <w:tr>
        <w:trPr>
          <w:tblHeader w:val="false"/>
        </w:trPr>
        <w:tc>
          <w:tcPr>
            <w:tcW w:type="dxa" w:w="3100"/>
            <w:tcBorders>
              <w:top w:val="single" w:color="B8CDD4" w:sz="1"/>
              <w:left w:val="single" w:color="B8CDD4" w:sz="1"/>
              <w:bottom w:val="single" w:color="B8CDD4" w:sz="1"/>
              <w:right w:val="single" w:color="B8CDD4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论文复现动态节能</w:t>
            </w:r>
          </w:p>
        </w:tc>
        <w:tc>
          <w:tcPr>
            <w:tcW w:type="dxa" w:w="3150"/>
            <w:tcBorders>
              <w:top w:val="single" w:color="B8CDD4" w:sz="1"/>
              <w:left w:val="single" w:color="B8CDD4" w:sz="1"/>
              <w:bottom w:val="single" w:color="B8CDD4" w:sz="1"/>
              <w:right w:val="single" w:color="B8CDD4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4.45%</w:t>
            </w:r>
          </w:p>
        </w:tc>
        <w:tc>
          <w:tcPr>
            <w:tcW w:type="dxa" w:w="3110"/>
            <w:tcBorders>
              <w:top w:val="single" w:color="B8CDD4" w:sz="1"/>
              <w:left w:val="single" w:color="B8CDD4" w:sz="1"/>
              <w:bottom w:val="single" w:color="B8CDD4" w:sz="1"/>
              <w:right w:val="single" w:color="B8CDD4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Water Research 方法链复现对照</w:t>
            </w:r>
          </w:p>
        </w:tc>
      </w:tr>
    </w:tbl>
    <w:p>
      <w:pPr>
        <w:pStyle w:val="Heading1"/>
      </w:pPr>
      <w:r>
        <w:t xml:space="preserve">6. 结果与应用价值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测试集综合归一化 MAE 为 0.241。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预测达标率为 100.0%。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Safe-MARL 推荐可行率为 100.0%。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相对当前控制，曝气节能 38.70%，PAC 节药 69.63%。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相对传统保守定值，曝气节能 44.98%，PAC 节药 88.97%。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单组推荐响应 P95 为 1.9 ms，最大 3.0 ms。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论文复现动态回放节能为 4.45%。</w:t>
      </w:r>
    </w:p>
    <w:p>
      <w:pPr>
        <w:pStyle w:val="Heading1"/>
      </w:pPr>
      <w:r>
        <w:t xml:space="preserve">7. 创新点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外部数据深度融合但保持监督训练域隔离，避免跨域混训风险。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双智能体协同控制曝气与投药，兼顾合规、能耗、药耗和平滑性。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约束安全盾把 RL 动作转化为可执行、可解释、可回退的工程建议。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结合实时智能控制论文的动态特征思想，形成小时级代理动态特征和在线控制展示。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大屏将预测、推荐、reward、数据源、工况鲁棒性和报告摘要放在同一操作界面。</w:t>
      </w:r>
    </w:p>
    <w:p>
      <w:pPr>
        <w:pStyle w:val="Heading1"/>
      </w:pPr>
      <w:r>
        <w:t xml:space="preserve">8. 可视化大屏截图</w:t>
      </w:r>
    </w:p>
    <w:p>
      <w:pPr>
        <w:jc w:val="center"/>
      </w:pPr>
      <w:r>
        <w:drawing>
          <wp:inline distT="0" distB="0" distL="0" distR="0">
            <wp:extent cx="5334000" cy="4324350"/>
            <wp:effectExtent t="0" r="0" b="0" l="0"/>
            <wp:docPr id="1" name="dashboard" descr="Safe-MARL wastewater dashboard screenshot" title="Dashboa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7A82"/>
        <w:sz w:val="18"/>
        <w:szCs w:val="18"/>
      </w:rPr>
      <w:t xml:space="preserve">污水厂曝气加药智能决策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60" w:before="240"/>
      <w:jc w:val="center"/>
    </w:pPr>
    <w:rPr>
      <w:rFonts w:ascii="Arial" w:cs="Arial" w:eastAsia="Arial" w:hAnsi="Arial"/>
      <w:b/>
      <w:bCs/>
      <w:color w:val="12343B"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60" w:before="260"/>
      <w:outlineLvl w:val="0"/>
    </w:pPr>
    <w:rPr>
      <w:rFonts w:ascii="Arial" w:cs="Arial" w:eastAsia="Arial" w:hAnsi="Arial"/>
      <w:b/>
      <w:bCs/>
      <w:color w:val="12343B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1B596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881a90f1b80926bd9ff8dcfbd3fa6a1c080a918a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2026-05-24T09:19:19.729Z</dcterms:created>
  <dcterms:modified xsi:type="dcterms:W3CDTF">2026-05-24T09:19:19.729Z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