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05029" w14:textId="248E35C3" w:rsidR="00CA4F72" w:rsidRDefault="00CA4F72">
      <w:pPr>
        <w:rPr>
          <w:b/>
          <w:bCs/>
        </w:rPr>
      </w:pPr>
      <w:r>
        <w:rPr>
          <w:b/>
          <w:bCs/>
        </w:rPr>
        <w:t>TASK 1 – Obtain and Clean Data</w:t>
      </w:r>
    </w:p>
    <w:p w14:paraId="422B7E8A" w14:textId="2CCE9801" w:rsidR="00B7472D" w:rsidRDefault="00057B0A">
      <w:r>
        <w:t>Clone the Repository</w:t>
      </w:r>
    </w:p>
    <w:p w14:paraId="7BD87186" w14:textId="05E5D3D0" w:rsidR="007A53AE" w:rsidRDefault="007A53AE" w:rsidP="007A53AE">
      <w:pPr>
        <w:pStyle w:val="ListParagraph"/>
        <w:numPr>
          <w:ilvl w:val="0"/>
          <w:numId w:val="3"/>
        </w:numPr>
      </w:pPr>
      <w:r>
        <w:t xml:space="preserve">Install the </w:t>
      </w:r>
      <w:r w:rsidR="005A0192">
        <w:t>project dependencies according to the requirements.txt file</w:t>
      </w:r>
    </w:p>
    <w:p w14:paraId="4EFACDFA" w14:textId="77777777" w:rsidR="005A0192" w:rsidRDefault="005A0192" w:rsidP="005A0192">
      <w:pPr>
        <w:pStyle w:val="ListParagraph"/>
      </w:pPr>
    </w:p>
    <w:p w14:paraId="3B32C9A8" w14:textId="24F23B44" w:rsidR="00057B0A" w:rsidRDefault="00057B0A" w:rsidP="007A53AE">
      <w:pPr>
        <w:pStyle w:val="ListParagraph"/>
        <w:numPr>
          <w:ilvl w:val="0"/>
          <w:numId w:val="3"/>
        </w:numPr>
      </w:pPr>
      <w:r>
        <w:t xml:space="preserve">Execute the </w:t>
      </w:r>
      <w:r w:rsidRPr="007A53AE">
        <w:rPr>
          <w:b/>
          <w:bCs/>
        </w:rPr>
        <w:t>getfiles.py</w:t>
      </w:r>
      <w:r>
        <w:t xml:space="preserve"> to fetch/download the datafiles to the </w:t>
      </w:r>
      <w:proofErr w:type="spellStart"/>
      <w:r>
        <w:t>infiles</w:t>
      </w:r>
      <w:proofErr w:type="spellEnd"/>
      <w:r>
        <w:t xml:space="preserve"> directory path. This is the location we the application expects to load files from. </w:t>
      </w:r>
      <w:r w:rsidR="00664273">
        <w:t xml:space="preserve">Files are expected in .xlsx formats. A scheduled job will run daily and would process any </w:t>
      </w:r>
      <w:r w:rsidR="007A53AE">
        <w:t>files in the directory.</w:t>
      </w:r>
    </w:p>
    <w:p w14:paraId="2793FD17" w14:textId="77777777" w:rsidR="007A53AE" w:rsidRDefault="007A53AE" w:rsidP="007A53AE">
      <w:pPr>
        <w:pStyle w:val="ListParagraph"/>
      </w:pPr>
    </w:p>
    <w:p w14:paraId="6EE33DAF" w14:textId="3C910BAE" w:rsidR="007A53AE" w:rsidRDefault="007A53AE" w:rsidP="007A53AE">
      <w:pPr>
        <w:pStyle w:val="ListParagraph"/>
        <w:numPr>
          <w:ilvl w:val="0"/>
          <w:numId w:val="3"/>
        </w:numPr>
      </w:pPr>
      <w:r>
        <w:t xml:space="preserve">Log on to your demo environment, then execute the database scripts in the directory, to prepare the database and warehouse for the rest of the project.  </w:t>
      </w:r>
    </w:p>
    <w:p w14:paraId="0057F9C6" w14:textId="77777777" w:rsidR="007A53AE" w:rsidRDefault="007A53AE" w:rsidP="007A53AE">
      <w:pPr>
        <w:pStyle w:val="ListParagraph"/>
      </w:pPr>
    </w:p>
    <w:p w14:paraId="5DE06D6C" w14:textId="1C78B76B" w:rsidR="007A53AE" w:rsidRDefault="007A53AE" w:rsidP="007A53AE">
      <w:pPr>
        <w:pStyle w:val="ListParagraph"/>
        <w:numPr>
          <w:ilvl w:val="0"/>
          <w:numId w:val="3"/>
        </w:numPr>
      </w:pPr>
      <w:r>
        <w:t>When steps 1</w:t>
      </w:r>
      <w:r w:rsidR="005A0192">
        <w:t>, 2</w:t>
      </w:r>
      <w:r>
        <w:t xml:space="preserve"> and </w:t>
      </w:r>
      <w:r w:rsidR="005A0192">
        <w:t>3</w:t>
      </w:r>
      <w:r>
        <w:t xml:space="preserve"> are completed. You can open the </w:t>
      </w:r>
      <w:r w:rsidRPr="007A53AE">
        <w:rPr>
          <w:b/>
          <w:bCs/>
        </w:rPr>
        <w:t>mergecleanfile.py</w:t>
      </w:r>
      <w:r>
        <w:rPr>
          <w:b/>
          <w:bCs/>
        </w:rPr>
        <w:t xml:space="preserve">. </w:t>
      </w:r>
      <w:r w:rsidRPr="007A53AE">
        <w:t>Update/</w:t>
      </w:r>
      <w:r>
        <w:t xml:space="preserve">Populate your DB credentials and connection properties (MSSQL Database was used for this project). </w:t>
      </w:r>
    </w:p>
    <w:p w14:paraId="3F5FF472" w14:textId="77777777" w:rsidR="00184D8B" w:rsidRDefault="00184D8B" w:rsidP="00184D8B">
      <w:pPr>
        <w:pStyle w:val="ListParagraph"/>
      </w:pPr>
    </w:p>
    <w:p w14:paraId="5E215252" w14:textId="7202D9D4" w:rsidR="00184D8B" w:rsidRPr="00057B0A" w:rsidRDefault="00184D8B" w:rsidP="00616B86">
      <w:pPr>
        <w:pStyle w:val="ListParagraph"/>
        <w:ind w:left="0"/>
      </w:pPr>
      <w:r>
        <w:t xml:space="preserve">The python file, merges all the excel files in the directory to a single file, loads it into a </w:t>
      </w:r>
      <w:proofErr w:type="spellStart"/>
      <w:r>
        <w:t>dataframe</w:t>
      </w:r>
      <w:proofErr w:type="spellEnd"/>
      <w:r>
        <w:t>, cleanses and separates the file into different components and model as required by the project description.</w:t>
      </w:r>
      <w:r w:rsidR="00841B84">
        <w:t xml:space="preserve"> A </w:t>
      </w:r>
      <w:r w:rsidR="00616B86">
        <w:t>breakdown</w:t>
      </w:r>
      <w:r w:rsidR="00841B84">
        <w:t xml:space="preserve"> of the various</w:t>
      </w:r>
      <w:r>
        <w:t xml:space="preserve"> </w:t>
      </w:r>
      <w:r w:rsidR="00D034D4">
        <w:t xml:space="preserve">functions and code is also presented in a </w:t>
      </w:r>
      <w:proofErr w:type="spellStart"/>
      <w:r w:rsidR="00D034D4">
        <w:t>jupyter</w:t>
      </w:r>
      <w:proofErr w:type="spellEnd"/>
      <w:r w:rsidR="00D034D4">
        <w:t xml:space="preserve"> notebook</w:t>
      </w:r>
      <w:r w:rsidR="00616B86">
        <w:t xml:space="preserve"> </w:t>
      </w:r>
      <w:r w:rsidR="00616B86" w:rsidRPr="00616B86">
        <w:rPr>
          <w:i/>
          <w:iCs/>
        </w:rPr>
        <w:t>(</w:t>
      </w:r>
      <w:proofErr w:type="spellStart"/>
      <w:proofErr w:type="gramStart"/>
      <w:r w:rsidR="00616B86" w:rsidRPr="00616B86">
        <w:rPr>
          <w:i/>
          <w:iCs/>
        </w:rPr>
        <w:t>mergefilesup.ipynb</w:t>
      </w:r>
      <w:proofErr w:type="spellEnd"/>
      <w:proofErr w:type="gramEnd"/>
      <w:r w:rsidR="00616B86">
        <w:t>)</w:t>
      </w:r>
    </w:p>
    <w:p w14:paraId="243D272E" w14:textId="77777777" w:rsidR="00616B86" w:rsidRDefault="00616B86">
      <w:pPr>
        <w:rPr>
          <w:b/>
          <w:bCs/>
        </w:rPr>
      </w:pPr>
    </w:p>
    <w:p w14:paraId="2FF0BE01" w14:textId="36ABB874" w:rsidR="00A00EB5" w:rsidRDefault="001A05D9" w:rsidP="006C6D37">
      <w:pPr>
        <w:pStyle w:val="NoSpacing"/>
        <w:rPr>
          <w:b/>
          <w:bCs/>
        </w:rPr>
      </w:pPr>
      <w:r w:rsidRPr="006C6D37">
        <w:rPr>
          <w:b/>
          <w:bCs/>
        </w:rPr>
        <w:t xml:space="preserve">TASK </w:t>
      </w:r>
      <w:r w:rsidR="00CA4F72" w:rsidRPr="006C6D37">
        <w:rPr>
          <w:b/>
          <w:bCs/>
        </w:rPr>
        <w:t>2</w:t>
      </w:r>
      <w:r w:rsidRPr="006C6D37">
        <w:rPr>
          <w:b/>
          <w:bCs/>
        </w:rPr>
        <w:t xml:space="preserve"> - </w:t>
      </w:r>
      <w:r w:rsidRPr="006C6D37">
        <w:rPr>
          <w:b/>
          <w:bCs/>
        </w:rPr>
        <w:t xml:space="preserve">Create a </w:t>
      </w:r>
      <w:r w:rsidR="006C6D37">
        <w:rPr>
          <w:b/>
          <w:bCs/>
        </w:rPr>
        <w:t>D</w:t>
      </w:r>
      <w:r w:rsidRPr="006C6D37">
        <w:rPr>
          <w:b/>
          <w:bCs/>
        </w:rPr>
        <w:t xml:space="preserve">ata </w:t>
      </w:r>
      <w:r w:rsidR="006C6D37">
        <w:rPr>
          <w:b/>
          <w:bCs/>
        </w:rPr>
        <w:t>M</w:t>
      </w:r>
      <w:r w:rsidRPr="006C6D37">
        <w:rPr>
          <w:b/>
          <w:bCs/>
        </w:rPr>
        <w:t>odel</w:t>
      </w:r>
    </w:p>
    <w:p w14:paraId="4213C39E" w14:textId="0866E5E4" w:rsidR="001A05D9" w:rsidRDefault="001A05D9" w:rsidP="00056F63">
      <w:pPr>
        <w:jc w:val="both"/>
      </w:pPr>
      <w:r>
        <w:t xml:space="preserve">The data files </w:t>
      </w:r>
      <w:r w:rsidR="00F561AF">
        <w:t>downloaded are</w:t>
      </w:r>
      <w:r>
        <w:t xml:space="preserve"> in an unnormalized state. To normalize the data, </w:t>
      </w:r>
      <w:r w:rsidR="00F561AF">
        <w:t>I applied the 1</w:t>
      </w:r>
      <w:r w:rsidR="00F561AF" w:rsidRPr="00F561AF">
        <w:rPr>
          <w:vertAlign w:val="superscript"/>
        </w:rPr>
        <w:t>st</w:t>
      </w:r>
      <w:r w:rsidR="00F561AF">
        <w:t xml:space="preserve"> to 3</w:t>
      </w:r>
      <w:r w:rsidR="00F561AF" w:rsidRPr="00F561AF">
        <w:rPr>
          <w:vertAlign w:val="superscript"/>
        </w:rPr>
        <w:t>rd</w:t>
      </w:r>
      <w:r w:rsidR="00F561AF">
        <w:t xml:space="preserve"> data normalization </w:t>
      </w:r>
      <w:r w:rsidR="001841A8">
        <w:t>rules,</w:t>
      </w:r>
      <w:r w:rsidR="00F561AF">
        <w:t xml:space="preserve"> </w:t>
      </w:r>
      <w:r w:rsidR="001841A8">
        <w:t xml:space="preserve">which involves removing repeating groups, creating tables for each sets of related data, creating primary keys, ensuring no partial dependencies on the keys and also no transitive dependencies on non-prime attributes. </w:t>
      </w:r>
    </w:p>
    <w:p w14:paraId="041FB48B" w14:textId="0E195B6E" w:rsidR="001841A8" w:rsidRDefault="001841A8" w:rsidP="00056F63">
      <w:pPr>
        <w:jc w:val="both"/>
      </w:pPr>
      <w:r>
        <w:t xml:space="preserve">I was able to create the below data model, mapping entities, their </w:t>
      </w:r>
      <w:proofErr w:type="gramStart"/>
      <w:r>
        <w:t>attributes</w:t>
      </w:r>
      <w:proofErr w:type="gramEnd"/>
      <w:r>
        <w:t xml:space="preserve"> and relationships. The excel link below </w:t>
      </w:r>
      <w:proofErr w:type="gramStart"/>
      <w:r>
        <w:t>opens up</w:t>
      </w:r>
      <w:proofErr w:type="gramEnd"/>
      <w:r>
        <w:t xml:space="preserve"> the ERD of the tables. </w:t>
      </w:r>
    </w:p>
    <w:p w14:paraId="4963F7B0" w14:textId="451DA9B5" w:rsidR="001841A8" w:rsidRPr="006C6D37" w:rsidRDefault="001841A8" w:rsidP="006C6D37">
      <w:pPr>
        <w:pStyle w:val="NoSpacing"/>
        <w:rPr>
          <w:b/>
          <w:bCs/>
          <w:u w:val="single"/>
        </w:rPr>
      </w:pPr>
      <w:r w:rsidRPr="006C6D37">
        <w:rPr>
          <w:b/>
          <w:bCs/>
          <w:u w:val="single"/>
        </w:rPr>
        <w:t>Reasons behind the choices.</w:t>
      </w:r>
    </w:p>
    <w:p w14:paraId="562DA86E" w14:textId="1AE8AC7C" w:rsidR="009A0D92" w:rsidRDefault="009A0D92" w:rsidP="00056F63">
      <w:pPr>
        <w:shd w:val="clear" w:color="auto" w:fill="FFFFFF"/>
        <w:spacing w:after="120" w:line="240" w:lineRule="auto"/>
        <w:jc w:val="both"/>
        <w:rPr>
          <w:rFonts w:eastAsia="Times New Roman" w:cs="Arial"/>
          <w:color w:val="202122"/>
          <w:sz w:val="21"/>
          <w:szCs w:val="21"/>
        </w:rPr>
      </w:pPr>
      <w:r w:rsidRPr="009A0D92">
        <w:rPr>
          <w:rFonts w:eastAsia="Times New Roman" w:cs="Arial"/>
          <w:color w:val="202122"/>
          <w:sz w:val="21"/>
          <w:szCs w:val="21"/>
        </w:rPr>
        <w:t>To satisfy </w:t>
      </w:r>
      <w:r w:rsidRPr="009A0D92">
        <w:rPr>
          <w:rFonts w:eastAsia="Times New Roman" w:cs="Arial"/>
          <w:b/>
          <w:bCs/>
          <w:color w:val="202122"/>
          <w:sz w:val="21"/>
          <w:szCs w:val="21"/>
        </w:rPr>
        <w:t>First normal form</w:t>
      </w:r>
      <w:r w:rsidRPr="009A0D92">
        <w:rPr>
          <w:rFonts w:eastAsia="Times New Roman" w:cs="Arial"/>
          <w:color w:val="202122"/>
          <w:sz w:val="21"/>
          <w:szCs w:val="21"/>
        </w:rPr>
        <w:t>, each column of a table must have a single value. Columns which contain sets of values or nested records are not allowed</w:t>
      </w:r>
      <w:r>
        <w:rPr>
          <w:rFonts w:eastAsia="Times New Roman" w:cs="Arial"/>
          <w:color w:val="202122"/>
          <w:sz w:val="21"/>
          <w:szCs w:val="21"/>
        </w:rPr>
        <w:t xml:space="preserve"> – The dataset is already in this form.</w:t>
      </w:r>
    </w:p>
    <w:p w14:paraId="1F9A4016" w14:textId="77777777" w:rsidR="00CC3317" w:rsidRDefault="00CC3317" w:rsidP="00056F63">
      <w:pPr>
        <w:pStyle w:val="NoSpacing"/>
        <w:jc w:val="both"/>
        <w:rPr>
          <w:rFonts w:eastAsia="Times New Roman" w:cs="Arial"/>
          <w:color w:val="202122"/>
          <w:sz w:val="21"/>
          <w:szCs w:val="21"/>
        </w:rPr>
      </w:pPr>
    </w:p>
    <w:p w14:paraId="645D015F" w14:textId="4E9F0536" w:rsidR="009A0D92" w:rsidRDefault="009A0D92" w:rsidP="00056F63">
      <w:pPr>
        <w:pStyle w:val="NoSpacing"/>
        <w:jc w:val="both"/>
        <w:rPr>
          <w:rFonts w:eastAsia="Times New Roman" w:cs="Arial"/>
          <w:color w:val="202122"/>
          <w:sz w:val="21"/>
          <w:szCs w:val="21"/>
        </w:rPr>
      </w:pPr>
      <w:r w:rsidRPr="00CC3317">
        <w:rPr>
          <w:rFonts w:eastAsia="Times New Roman" w:cs="Arial"/>
          <w:color w:val="202122"/>
          <w:sz w:val="21"/>
          <w:szCs w:val="21"/>
        </w:rPr>
        <w:t>The Transaction table</w:t>
      </w:r>
      <w:r w:rsidR="00CC3317" w:rsidRPr="00CC3317">
        <w:rPr>
          <w:rFonts w:eastAsia="Times New Roman" w:cs="Arial"/>
          <w:color w:val="202122"/>
          <w:sz w:val="21"/>
          <w:szCs w:val="21"/>
        </w:rPr>
        <w:t xml:space="preserve"> </w:t>
      </w:r>
      <w:r w:rsidRPr="00CC3317">
        <w:rPr>
          <w:rFonts w:eastAsia="Times New Roman" w:cs="Arial"/>
          <w:color w:val="202122"/>
          <w:sz w:val="21"/>
          <w:szCs w:val="21"/>
        </w:rPr>
        <w:t>has one candidate key Batch-ID (which is therefore the primary key)</w:t>
      </w:r>
      <w:r w:rsidR="00CC3317" w:rsidRPr="00CC3317">
        <w:rPr>
          <w:rFonts w:eastAsia="Times New Roman" w:cs="Arial"/>
          <w:color w:val="202122"/>
          <w:sz w:val="21"/>
          <w:szCs w:val="21"/>
        </w:rPr>
        <w:t>. To</w:t>
      </w:r>
      <w:r w:rsidR="00CC3317" w:rsidRPr="00CC3317">
        <w:rPr>
          <w:rFonts w:eastAsia="Times New Roman" w:cs="Arial"/>
          <w:color w:val="202122"/>
          <w:sz w:val="21"/>
          <w:szCs w:val="21"/>
        </w:rPr>
        <w:t xml:space="preserve"> conform to </w:t>
      </w:r>
      <w:r w:rsidR="00CC3317" w:rsidRPr="00CC3317">
        <w:rPr>
          <w:rFonts w:eastAsia="Times New Roman" w:cs="Arial"/>
          <w:b/>
          <w:bCs/>
          <w:color w:val="202122"/>
          <w:sz w:val="21"/>
          <w:szCs w:val="21"/>
        </w:rPr>
        <w:t>Second Normal Form</w:t>
      </w:r>
      <w:r w:rsidR="00CC3317" w:rsidRPr="00CC3317">
        <w:rPr>
          <w:rFonts w:eastAsia="Times New Roman" w:cs="Arial"/>
          <w:color w:val="202122"/>
          <w:sz w:val="21"/>
          <w:szCs w:val="21"/>
        </w:rPr>
        <w:t xml:space="preserve"> and remove duplicities, every non candidate-key attribute must depend on the whole candidate key, not just part of it.</w:t>
      </w:r>
      <w:r w:rsidR="00CC3317">
        <w:rPr>
          <w:rFonts w:eastAsia="Times New Roman" w:cs="Arial"/>
          <w:color w:val="202122"/>
          <w:sz w:val="21"/>
          <w:szCs w:val="21"/>
        </w:rPr>
        <w:t xml:space="preserve"> – All the columns on the dataset depend on the candidate key Batch ID that uniquely identifies the transaction.</w:t>
      </w:r>
    </w:p>
    <w:p w14:paraId="4597BCE9" w14:textId="69371DBE" w:rsidR="004D661F" w:rsidRDefault="004D661F" w:rsidP="00056F63">
      <w:pPr>
        <w:pStyle w:val="NoSpacing"/>
        <w:jc w:val="both"/>
        <w:rPr>
          <w:rFonts w:eastAsia="Times New Roman" w:cs="Arial"/>
          <w:color w:val="202122"/>
          <w:sz w:val="21"/>
          <w:szCs w:val="21"/>
        </w:rPr>
      </w:pPr>
    </w:p>
    <w:p w14:paraId="309FA740" w14:textId="678645EE" w:rsidR="004D661F" w:rsidRPr="002062BA" w:rsidRDefault="004D661F" w:rsidP="00056F63">
      <w:pPr>
        <w:pStyle w:val="NoSpacing"/>
        <w:jc w:val="both"/>
        <w:rPr>
          <w:rFonts w:eastAsia="Times New Roman" w:cs="Arial"/>
          <w:color w:val="202122"/>
          <w:sz w:val="21"/>
          <w:szCs w:val="21"/>
        </w:rPr>
      </w:pPr>
      <w:r>
        <w:rPr>
          <w:rFonts w:eastAsia="Times New Roman" w:cs="Arial"/>
          <w:color w:val="202122"/>
          <w:sz w:val="21"/>
          <w:szCs w:val="21"/>
        </w:rPr>
        <w:t xml:space="preserve">To satisfy the </w:t>
      </w:r>
      <w:r>
        <w:rPr>
          <w:rFonts w:eastAsia="Times New Roman" w:cs="Arial"/>
          <w:b/>
          <w:bCs/>
          <w:color w:val="202122"/>
          <w:sz w:val="21"/>
          <w:szCs w:val="21"/>
        </w:rPr>
        <w:t xml:space="preserve">Third Normal Form, </w:t>
      </w:r>
      <w:r>
        <w:rPr>
          <w:rFonts w:eastAsia="Times New Roman" w:cs="Arial"/>
          <w:color w:val="202122"/>
          <w:sz w:val="21"/>
          <w:szCs w:val="21"/>
        </w:rPr>
        <w:t xml:space="preserve">there shall be no transitive dependences on non-prime attributes, in this case the table or data violates this form {Merchant Type, Merchant Description} depend on the </w:t>
      </w:r>
      <w:r w:rsidRPr="004D661F">
        <w:rPr>
          <w:rFonts w:eastAsia="Times New Roman" w:cs="Arial"/>
          <w:i/>
          <w:iCs/>
          <w:color w:val="202122"/>
          <w:sz w:val="21"/>
          <w:szCs w:val="21"/>
        </w:rPr>
        <w:t>Merchant Name</w:t>
      </w:r>
      <w:r>
        <w:rPr>
          <w:rFonts w:eastAsia="Times New Roman" w:cs="Arial"/>
          <w:color w:val="202122"/>
          <w:sz w:val="21"/>
          <w:szCs w:val="21"/>
        </w:rPr>
        <w:t xml:space="preserve">, {GL </w:t>
      </w:r>
      <w:r w:rsidR="002062BA">
        <w:rPr>
          <w:rFonts w:eastAsia="Times New Roman" w:cs="Arial"/>
          <w:color w:val="202122"/>
          <w:sz w:val="21"/>
          <w:szCs w:val="21"/>
        </w:rPr>
        <w:t>Description</w:t>
      </w:r>
      <w:r>
        <w:rPr>
          <w:rFonts w:eastAsia="Times New Roman" w:cs="Arial"/>
          <w:color w:val="202122"/>
          <w:sz w:val="21"/>
          <w:szCs w:val="21"/>
        </w:rPr>
        <w:t>}</w:t>
      </w:r>
      <w:r w:rsidR="002062BA">
        <w:rPr>
          <w:rFonts w:eastAsia="Times New Roman" w:cs="Arial"/>
          <w:color w:val="202122"/>
          <w:sz w:val="21"/>
          <w:szCs w:val="21"/>
        </w:rPr>
        <w:t xml:space="preserve"> on GL Account, {Cost Center Description} </w:t>
      </w:r>
      <w:r w:rsidR="002062BA" w:rsidRPr="002062BA">
        <w:rPr>
          <w:rFonts w:eastAsia="Times New Roman" w:cs="Arial"/>
          <w:i/>
          <w:iCs/>
          <w:color w:val="202122"/>
          <w:sz w:val="21"/>
          <w:szCs w:val="21"/>
        </w:rPr>
        <w:t>on Cost Center No</w:t>
      </w:r>
      <w:r w:rsidR="002062BA">
        <w:rPr>
          <w:rFonts w:eastAsia="Times New Roman" w:cs="Arial"/>
          <w:i/>
          <w:iCs/>
          <w:color w:val="202122"/>
          <w:sz w:val="21"/>
          <w:szCs w:val="21"/>
        </w:rPr>
        <w:t xml:space="preserve">. </w:t>
      </w:r>
      <w:r w:rsidR="002062BA">
        <w:rPr>
          <w:rFonts w:eastAsia="Times New Roman" w:cs="Arial"/>
          <w:color w:val="202122"/>
          <w:sz w:val="21"/>
          <w:szCs w:val="21"/>
        </w:rPr>
        <w:t xml:space="preserve">We take care of this by placing the sets in their own respective tables and have a foreign key relationship on them. </w:t>
      </w:r>
    </w:p>
    <w:p w14:paraId="67CE3C20" w14:textId="6DE5894A" w:rsidR="004D661F" w:rsidRDefault="004D661F" w:rsidP="00CC3317">
      <w:pPr>
        <w:pStyle w:val="NoSpacing"/>
        <w:rPr>
          <w:rFonts w:eastAsia="Times New Roman" w:cs="Arial"/>
          <w:color w:val="202122"/>
          <w:sz w:val="21"/>
          <w:szCs w:val="21"/>
        </w:rPr>
      </w:pPr>
    </w:p>
    <w:p w14:paraId="64E62584" w14:textId="51CE1BCF" w:rsidR="000E3372" w:rsidRDefault="00616B8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0DBC1F" wp14:editId="1144D2F2">
            <wp:extent cx="6858000" cy="3934460"/>
            <wp:effectExtent l="0" t="0" r="0" b="889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863E" w14:textId="77777777" w:rsidR="000E3372" w:rsidRDefault="000E3372">
      <w:pPr>
        <w:rPr>
          <w:b/>
          <w:bCs/>
        </w:rPr>
      </w:pPr>
    </w:p>
    <w:p w14:paraId="35C0FCF4" w14:textId="6C3A388E" w:rsidR="00B36C3D" w:rsidRPr="000E3372" w:rsidRDefault="006C6D37">
      <w:r w:rsidRPr="006C6D37">
        <w:rPr>
          <w:b/>
          <w:bCs/>
        </w:rPr>
        <w:t xml:space="preserve">Task 3 - </w:t>
      </w:r>
      <w:r w:rsidRPr="006C6D37">
        <w:rPr>
          <w:b/>
          <w:bCs/>
        </w:rPr>
        <w:t>Data Pipeline and Warehouse</w:t>
      </w:r>
    </w:p>
    <w:p w14:paraId="01DCBB54" w14:textId="3D104CF3" w:rsidR="00B36C3D" w:rsidRDefault="006C6D37" w:rsidP="00056F63">
      <w:pPr>
        <w:jc w:val="both"/>
      </w:pPr>
      <w:r>
        <w:t xml:space="preserve">Using a data </w:t>
      </w:r>
      <w:r w:rsidR="00A57E63">
        <w:t>ETL/</w:t>
      </w:r>
      <w:r>
        <w:t xml:space="preserve">pipeline and </w:t>
      </w:r>
      <w:r w:rsidR="00A57E63">
        <w:t>Orchestrator</w:t>
      </w:r>
      <w:r>
        <w:t xml:space="preserve"> tool – Airflow </w:t>
      </w:r>
      <w:r w:rsidR="00A57E63">
        <w:t>and SSIS</w:t>
      </w:r>
      <w:r>
        <w:t>, I defined two (2) tasks with different intervals</w:t>
      </w:r>
      <w:r w:rsidR="00A57E63">
        <w:t xml:space="preserve"> (unfortunately I could not meet the deadline to complete the design”</w:t>
      </w:r>
    </w:p>
    <w:p w14:paraId="5A4F0C4C" w14:textId="3B558EAF" w:rsidR="006C6D37" w:rsidRDefault="006C6D37" w:rsidP="00056F63">
      <w:pPr>
        <w:pStyle w:val="ListParagraph"/>
        <w:numPr>
          <w:ilvl w:val="0"/>
          <w:numId w:val="1"/>
        </w:numPr>
        <w:jc w:val="both"/>
      </w:pPr>
      <w:r w:rsidRPr="00AB33CF">
        <w:rPr>
          <w:b/>
          <w:bCs/>
          <w:i/>
          <w:iCs/>
        </w:rPr>
        <w:t>fetchClean</w:t>
      </w:r>
      <w:r>
        <w:t xml:space="preserve"> – will </w:t>
      </w:r>
      <w:r w:rsidR="000A3E03">
        <w:t xml:space="preserve">execute different functions to </w:t>
      </w:r>
      <w:r>
        <w:t xml:space="preserve">download the files </w:t>
      </w:r>
      <w:r w:rsidR="00AB33CF">
        <w:t xml:space="preserve">from the </w:t>
      </w:r>
      <w:r w:rsidR="00AB33CF">
        <w:t xml:space="preserve">online </w:t>
      </w:r>
      <w:r w:rsidR="00AB33CF">
        <w:t>repository</w:t>
      </w:r>
      <w:r w:rsidR="00AB33CF">
        <w:t xml:space="preserve"> as in the demo case or otherwise, extract and move the files to the </w:t>
      </w:r>
      <w:r w:rsidR="00AB33CF" w:rsidRPr="00056F63">
        <w:rPr>
          <w:b/>
          <w:bCs/>
          <w:i/>
          <w:iCs/>
        </w:rPr>
        <w:t>/</w:t>
      </w:r>
      <w:proofErr w:type="spellStart"/>
      <w:r w:rsidR="00AB33CF" w:rsidRPr="00056F63">
        <w:rPr>
          <w:i/>
          <w:iCs/>
        </w:rPr>
        <w:t>infiles</w:t>
      </w:r>
      <w:proofErr w:type="spellEnd"/>
      <w:r w:rsidR="00AB33CF" w:rsidRPr="00056F63">
        <w:rPr>
          <w:i/>
          <w:iCs/>
        </w:rPr>
        <w:t xml:space="preserve"> </w:t>
      </w:r>
      <w:r w:rsidR="00AB33CF">
        <w:t>directory path</w:t>
      </w:r>
      <w:r>
        <w:t>, cleanse</w:t>
      </w:r>
      <w:r w:rsidR="00AB33CF">
        <w:t xml:space="preserve">, save the resulting datafiles to the output directory - </w:t>
      </w:r>
      <w:r w:rsidR="00AB33CF" w:rsidRPr="00056F63">
        <w:rPr>
          <w:i/>
          <w:iCs/>
        </w:rPr>
        <w:t>/</w:t>
      </w:r>
      <w:proofErr w:type="spellStart"/>
      <w:r w:rsidR="00AB33CF" w:rsidRPr="00056F63">
        <w:rPr>
          <w:i/>
          <w:iCs/>
        </w:rPr>
        <w:t>outfiles</w:t>
      </w:r>
      <w:proofErr w:type="spellEnd"/>
      <w:r w:rsidR="00AB33CF">
        <w:t>. It will also</w:t>
      </w:r>
      <w:r>
        <w:t xml:space="preserve"> </w:t>
      </w:r>
      <w:r w:rsidR="000A3E03">
        <w:t xml:space="preserve">create, update and load accordingly </w:t>
      </w:r>
      <w:r>
        <w:t xml:space="preserve">the </w:t>
      </w:r>
      <w:proofErr w:type="spellStart"/>
      <w:r w:rsidRPr="00AB33CF">
        <w:rPr>
          <w:b/>
          <w:bCs/>
        </w:rPr>
        <w:t>pcard</w:t>
      </w:r>
      <w:proofErr w:type="spellEnd"/>
      <w:r>
        <w:t xml:space="preserve"> Database Tables</w:t>
      </w:r>
      <w:r w:rsidR="00AB33CF">
        <w:t xml:space="preserve"> in line with the model above. Schedule Interval is </w:t>
      </w:r>
      <w:r w:rsidR="00AB33CF" w:rsidRPr="00AB33CF">
        <w:rPr>
          <w:b/>
          <w:bCs/>
        </w:rPr>
        <w:t>daily</w:t>
      </w:r>
      <w:r w:rsidR="00AB33CF">
        <w:t xml:space="preserve"> at a set time. </w:t>
      </w:r>
    </w:p>
    <w:p w14:paraId="5C4FB314" w14:textId="7895E87E" w:rsidR="00B7472D" w:rsidRDefault="00B7472D" w:rsidP="00B7472D">
      <w:pPr>
        <w:pStyle w:val="ListParagraph"/>
        <w:jc w:val="both"/>
        <w:rPr>
          <w:b/>
          <w:bCs/>
          <w:i/>
          <w:iCs/>
        </w:rPr>
      </w:pPr>
    </w:p>
    <w:p w14:paraId="0A30FCD7" w14:textId="77777777" w:rsidR="007B291B" w:rsidRPr="007B291B" w:rsidRDefault="007B291B" w:rsidP="007B291B">
      <w:pPr>
        <w:pStyle w:val="ListParagraph"/>
        <w:jc w:val="both"/>
      </w:pPr>
    </w:p>
    <w:p w14:paraId="62317B29" w14:textId="7E4C357D" w:rsidR="006C6D37" w:rsidRDefault="000A3E03" w:rsidP="00056F63">
      <w:pPr>
        <w:pStyle w:val="ListParagraph"/>
        <w:numPr>
          <w:ilvl w:val="0"/>
          <w:numId w:val="1"/>
        </w:numPr>
        <w:jc w:val="both"/>
      </w:pPr>
      <w:proofErr w:type="spellStart"/>
      <w:r w:rsidRPr="000A3E03">
        <w:rPr>
          <w:b/>
          <w:bCs/>
          <w:i/>
          <w:iCs/>
        </w:rPr>
        <w:t>loadDW</w:t>
      </w:r>
      <w:proofErr w:type="spellEnd"/>
      <w:r>
        <w:t xml:space="preserve"> – will extract and load the data from the various databases into</w:t>
      </w:r>
      <w:r w:rsidR="0025203D">
        <w:t xml:space="preserve"> a raw-data environment</w:t>
      </w:r>
      <w:r>
        <w:t xml:space="preserve">, stage and transform </w:t>
      </w:r>
      <w:r w:rsidR="0025203D">
        <w:t xml:space="preserve">the data into the dimension and facts table of the </w:t>
      </w:r>
      <w:proofErr w:type="spellStart"/>
      <w:r w:rsidR="0025203D">
        <w:t>pcard</w:t>
      </w:r>
      <w:proofErr w:type="spellEnd"/>
      <w:r w:rsidR="0025203D">
        <w:t xml:space="preserve"> Data Warehouse. </w:t>
      </w:r>
      <w:r w:rsidR="003E5464">
        <w:t xml:space="preserve">Schedule Interval is </w:t>
      </w:r>
      <w:r w:rsidR="003E5464">
        <w:rPr>
          <w:b/>
          <w:bCs/>
        </w:rPr>
        <w:t>weekly</w:t>
      </w:r>
      <w:r w:rsidR="003E5464">
        <w:t xml:space="preserve"> at a set time.</w:t>
      </w:r>
    </w:p>
    <w:p w14:paraId="229D8DC8" w14:textId="77777777" w:rsidR="003E5464" w:rsidRDefault="003E5464" w:rsidP="00056F63">
      <w:pPr>
        <w:pStyle w:val="ListParagraph"/>
        <w:ind w:left="0"/>
        <w:jc w:val="both"/>
      </w:pPr>
    </w:p>
    <w:p w14:paraId="66EB17D4" w14:textId="369937CE" w:rsidR="003E5464" w:rsidRDefault="0025203D" w:rsidP="00056F63">
      <w:pPr>
        <w:pStyle w:val="ListParagraph"/>
        <w:ind w:left="0"/>
        <w:jc w:val="both"/>
      </w:pPr>
      <w:r>
        <w:t>To preserve history, we will implement a slowly changing dimension (SCD – Type 2) across the dimensions</w:t>
      </w:r>
      <w:r w:rsidR="00D06BA9">
        <w:t xml:space="preserve">. Using the </w:t>
      </w:r>
      <w:proofErr w:type="spellStart"/>
      <w:r w:rsidR="00D06BA9">
        <w:t>DimDivision</w:t>
      </w:r>
      <w:proofErr w:type="spellEnd"/>
      <w:r w:rsidR="00D06BA9">
        <w:t xml:space="preserve"> (Division Dimension) table on the warehouse. The primary key </w:t>
      </w:r>
      <w:proofErr w:type="spellStart"/>
      <w:r w:rsidR="00D06BA9" w:rsidRPr="00D06BA9">
        <w:rPr>
          <w:i/>
          <w:iCs/>
        </w:rPr>
        <w:t>division_id</w:t>
      </w:r>
      <w:proofErr w:type="spellEnd"/>
      <w:r w:rsidR="00D06BA9">
        <w:rPr>
          <w:i/>
          <w:iCs/>
        </w:rPr>
        <w:t xml:space="preserve"> </w:t>
      </w:r>
      <w:r w:rsidR="00D06BA9">
        <w:t>which is also the surrogate key</w:t>
      </w:r>
      <w:r w:rsidR="003E5464">
        <w:t xml:space="preserve"> </w:t>
      </w:r>
      <w:r w:rsidR="00D06BA9">
        <w:t xml:space="preserve">is an identity property which will generate a new value for </w:t>
      </w:r>
      <w:r w:rsidR="00CB1887">
        <w:t xml:space="preserve">every row. Let’s imagine we’d like to keep history on the purchases authorized by the division supervisor (represented by the </w:t>
      </w:r>
      <w:proofErr w:type="spellStart"/>
      <w:r w:rsidR="00CB1887" w:rsidRPr="00CB1887">
        <w:rPr>
          <w:i/>
          <w:iCs/>
        </w:rPr>
        <w:t>division_sup_id</w:t>
      </w:r>
      <w:proofErr w:type="spellEnd"/>
      <w:r w:rsidR="00CB1887">
        <w:t xml:space="preserve">). Any time a new supervisor is assigned to the division, we don’t update the row, but insert a new record. Using the </w:t>
      </w:r>
      <w:proofErr w:type="spellStart"/>
      <w:r w:rsidR="00CB1887">
        <w:t>start_date</w:t>
      </w:r>
      <w:proofErr w:type="spellEnd"/>
      <w:r w:rsidR="00CB1887">
        <w:t xml:space="preserve"> and </w:t>
      </w:r>
      <w:proofErr w:type="spellStart"/>
      <w:r w:rsidR="00CB1887">
        <w:t>end_date</w:t>
      </w:r>
      <w:proofErr w:type="spellEnd"/>
      <w:r w:rsidR="00CB1887">
        <w:t xml:space="preserve"> fields we would track when a record was valid in time. A new surrogate key (</w:t>
      </w:r>
      <w:proofErr w:type="spellStart"/>
      <w:r w:rsidR="00CB1887">
        <w:t>division_id</w:t>
      </w:r>
      <w:proofErr w:type="spellEnd"/>
      <w:r w:rsidR="00CB1887">
        <w:t xml:space="preserve">) is generated, but the business key – </w:t>
      </w:r>
      <w:proofErr w:type="spellStart"/>
      <w:r w:rsidR="00CB1887">
        <w:t>division_name</w:t>
      </w:r>
      <w:proofErr w:type="spellEnd"/>
      <w:r w:rsidR="00CB1887">
        <w:t xml:space="preserve"> remains the same. </w:t>
      </w:r>
      <w:r w:rsidR="00056F63">
        <w:t xml:space="preserve">when a fact table is loaded, a lookup will be done on the </w:t>
      </w:r>
      <w:proofErr w:type="spellStart"/>
      <w:r w:rsidR="00056F63">
        <w:t>DimDivision</w:t>
      </w:r>
      <w:proofErr w:type="spellEnd"/>
      <w:r w:rsidR="00056F63">
        <w:t xml:space="preserve"> table, depending on the </w:t>
      </w:r>
      <w:r w:rsidR="00056F63" w:rsidRPr="00056F63">
        <w:t>flag column (</w:t>
      </w:r>
      <w:proofErr w:type="spellStart"/>
      <w:r w:rsidR="00056F63" w:rsidRPr="00056F63">
        <w:rPr>
          <w:i/>
          <w:iCs/>
        </w:rPr>
        <w:t>IsCurrent</w:t>
      </w:r>
      <w:proofErr w:type="spellEnd"/>
      <w:r w:rsidR="00056F63" w:rsidRPr="00056F63">
        <w:t xml:space="preserve">) </w:t>
      </w:r>
      <w:r w:rsidR="00056F63">
        <w:t xml:space="preserve">the current attributes of the row are returned. Hence, we </w:t>
      </w:r>
      <w:proofErr w:type="gramStart"/>
      <w:r w:rsidR="00056F63">
        <w:t>are able to</w:t>
      </w:r>
      <w:proofErr w:type="gramEnd"/>
      <w:r w:rsidR="00056F63">
        <w:t xml:space="preserve"> track data lineage and history.</w:t>
      </w:r>
      <w:r w:rsidR="002E79AF">
        <w:t xml:space="preserve"> For this data warehouse, the schema we have implemented is a </w:t>
      </w:r>
      <w:r w:rsidR="003E5464">
        <w:t xml:space="preserve">STAR </w:t>
      </w:r>
      <w:r w:rsidR="002E79AF">
        <w:t>–</w:t>
      </w:r>
      <w:r w:rsidR="003E5464">
        <w:t xml:space="preserve"> Schema</w:t>
      </w:r>
      <w:r w:rsidR="002E79AF">
        <w:t xml:space="preserve"> to keep the structure simple and flexible.</w:t>
      </w:r>
    </w:p>
    <w:p w14:paraId="1CBDCE91" w14:textId="0BCD8FAB" w:rsidR="007E0C2C" w:rsidRPr="00D06BA9" w:rsidRDefault="00A57E63" w:rsidP="00056F63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680D3D9A" wp14:editId="568D4FE0">
            <wp:extent cx="6858000" cy="6344920"/>
            <wp:effectExtent l="0" t="0" r="0" b="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9D67" w14:textId="28915C00" w:rsidR="00B36C3D" w:rsidRDefault="00B36C3D"/>
    <w:p w14:paraId="6B832ED5" w14:textId="18C30DFE" w:rsidR="00B36C3D" w:rsidRDefault="000E3372">
      <w:pPr>
        <w:rPr>
          <w:b/>
          <w:bCs/>
        </w:rPr>
      </w:pPr>
      <w:r w:rsidRPr="000E3372">
        <w:rPr>
          <w:b/>
          <w:bCs/>
        </w:rPr>
        <w:t xml:space="preserve">Task 4 </w:t>
      </w:r>
      <w:r w:rsidR="00616B86">
        <w:rPr>
          <w:b/>
          <w:bCs/>
        </w:rPr>
        <w:t>–</w:t>
      </w:r>
      <w:r w:rsidRPr="000E3372">
        <w:rPr>
          <w:b/>
          <w:bCs/>
        </w:rPr>
        <w:t xml:space="preserve"> </w:t>
      </w:r>
      <w:r w:rsidRPr="000E3372">
        <w:rPr>
          <w:b/>
          <w:bCs/>
        </w:rPr>
        <w:t>Visualization</w:t>
      </w:r>
    </w:p>
    <w:p w14:paraId="2D60ABA6" w14:textId="70A5C92E" w:rsidR="00415041" w:rsidRDefault="00C50329" w:rsidP="004150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For the visualizations I created a simple and robust </w:t>
      </w:r>
      <w:r w:rsidR="00214505">
        <w:rPr>
          <w:rFonts w:ascii="Segoe UI" w:hAnsi="Segoe UI" w:cs="Segoe UI"/>
          <w:color w:val="242424"/>
          <w:sz w:val="22"/>
          <w:szCs w:val="22"/>
        </w:rPr>
        <w:t>semantic model</w:t>
      </w:r>
      <w:r>
        <w:rPr>
          <w:rFonts w:ascii="Segoe UI" w:hAnsi="Segoe UI" w:cs="Segoe UI"/>
          <w:color w:val="242424"/>
          <w:sz w:val="22"/>
          <w:szCs w:val="22"/>
        </w:rPr>
        <w:t xml:space="preserve"> that supports self-service analytics. When published, users can easily explore and interact with the dataset. </w:t>
      </w:r>
      <w:r w:rsidR="00415041">
        <w:rPr>
          <w:rFonts w:ascii="Segoe UI" w:hAnsi="Segoe UI" w:cs="Segoe UI"/>
          <w:color w:val="242424"/>
          <w:sz w:val="22"/>
          <w:szCs w:val="22"/>
        </w:rPr>
        <w:t>The key take-aways can be found on the first tab called Summary and a weekly spend view is also provided where the user can see the spend per division.</w:t>
      </w:r>
    </w:p>
    <w:p w14:paraId="213C9D06" w14:textId="77777777" w:rsidR="00415041" w:rsidRDefault="00415041" w:rsidP="0021450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</w:p>
    <w:p w14:paraId="7C5FA887" w14:textId="6F27B688" w:rsidR="00C50329" w:rsidRDefault="00C50329" w:rsidP="0021450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>The visualization tells a visual story across five (5) reports. Each of the reports makes it easy to analyze, slice, drill down and up across multiple indices. A quick breakdown of the visualizations:</w:t>
      </w:r>
    </w:p>
    <w:p w14:paraId="3C8A61C1" w14:textId="34B9CD64" w:rsidR="00C50329" w:rsidRDefault="00225D2A" w:rsidP="00C503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Page1 </w:t>
      </w:r>
      <w:r w:rsidR="00415041">
        <w:rPr>
          <w:rFonts w:ascii="Segoe UI" w:hAnsi="Segoe UI" w:cs="Segoe UI"/>
          <w:color w:val="242424"/>
          <w:sz w:val="22"/>
          <w:szCs w:val="22"/>
        </w:rPr>
        <w:t xml:space="preserve">- </w:t>
      </w:r>
      <w:r w:rsidR="00C50329">
        <w:rPr>
          <w:rFonts w:ascii="Segoe UI" w:hAnsi="Segoe UI" w:cs="Segoe UI"/>
          <w:color w:val="242424"/>
          <w:sz w:val="22"/>
          <w:szCs w:val="22"/>
        </w:rPr>
        <w:t xml:space="preserve">a Summary report or a quick overview of the numbers in the dataset, </w:t>
      </w:r>
    </w:p>
    <w:p w14:paraId="62B49D0C" w14:textId="624423E0" w:rsidR="00C50329" w:rsidRDefault="00C50329" w:rsidP="00C503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Page2 – is about expenses across different categories – divisions, GLs, Cost Centers, Merchants </w:t>
      </w:r>
      <w:r w:rsidR="00225D2A">
        <w:rPr>
          <w:rFonts w:ascii="Segoe UI" w:hAnsi="Segoe UI" w:cs="Segoe UI"/>
          <w:color w:val="242424"/>
          <w:sz w:val="22"/>
          <w:szCs w:val="22"/>
        </w:rPr>
        <w:t>etc.</w:t>
      </w:r>
    </w:p>
    <w:p w14:paraId="6B2130AC" w14:textId="50C36445" w:rsidR="00225D2A" w:rsidRDefault="00225D2A" w:rsidP="00C503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lastRenderedPageBreak/>
        <w:t xml:space="preserve">Page3 - </w:t>
      </w:r>
      <w:r w:rsidRPr="00225D2A">
        <w:rPr>
          <w:rFonts w:ascii="Segoe UI" w:hAnsi="Segoe UI" w:cs="Segoe UI"/>
          <w:color w:val="242424"/>
          <w:sz w:val="22"/>
          <w:szCs w:val="22"/>
        </w:rPr>
        <w:t xml:space="preserve">that displays the weekly </w:t>
      </w:r>
      <w:r w:rsidR="00415041">
        <w:rPr>
          <w:rFonts w:ascii="Segoe UI" w:hAnsi="Segoe UI" w:cs="Segoe UI"/>
          <w:color w:val="242424"/>
          <w:sz w:val="22"/>
          <w:szCs w:val="22"/>
        </w:rPr>
        <w:t>purchases/expenses</w:t>
      </w:r>
      <w:r w:rsidRPr="00225D2A">
        <w:rPr>
          <w:rFonts w:ascii="Segoe UI" w:hAnsi="Segoe UI" w:cs="Segoe UI"/>
          <w:color w:val="242424"/>
          <w:sz w:val="22"/>
          <w:szCs w:val="22"/>
        </w:rPr>
        <w:t xml:space="preserve"> by division</w:t>
      </w:r>
      <w:r w:rsidR="00415041">
        <w:rPr>
          <w:rFonts w:ascii="Segoe UI" w:hAnsi="Segoe UI" w:cs="Segoe UI"/>
          <w:color w:val="242424"/>
          <w:sz w:val="22"/>
          <w:szCs w:val="22"/>
        </w:rPr>
        <w:t>s, one can also filter by merchants, by months and other date dimensions</w:t>
      </w:r>
    </w:p>
    <w:p w14:paraId="72EA7A0A" w14:textId="0DFBED2B" w:rsidR="00415041" w:rsidRDefault="00415041" w:rsidP="00C503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>Page4 – shows spending across different merchants by year. We can also drill down by divisions, and time</w:t>
      </w:r>
    </w:p>
    <w:p w14:paraId="2DA44AB2" w14:textId="02330EF9" w:rsidR="00415041" w:rsidRDefault="00415041" w:rsidP="00C503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Page5 – shows a view over the period of the dataset. </w:t>
      </w:r>
    </w:p>
    <w:p w14:paraId="0D966E58" w14:textId="7287DE0C" w:rsidR="00616B86" w:rsidRPr="000E3372" w:rsidRDefault="00616B86" w:rsidP="00214505">
      <w:pPr>
        <w:rPr>
          <w:b/>
          <w:bCs/>
        </w:rPr>
      </w:pPr>
    </w:p>
    <w:sectPr w:rsidR="00616B86" w:rsidRPr="000E3372" w:rsidSect="00CC33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7C765" w14:textId="77777777" w:rsidR="00B36C3D" w:rsidRDefault="00B36C3D" w:rsidP="00B36C3D">
      <w:pPr>
        <w:spacing w:after="0" w:line="240" w:lineRule="auto"/>
      </w:pPr>
      <w:r>
        <w:separator/>
      </w:r>
    </w:p>
  </w:endnote>
  <w:endnote w:type="continuationSeparator" w:id="0">
    <w:p w14:paraId="6BADBC6D" w14:textId="77777777" w:rsidR="00B36C3D" w:rsidRDefault="00B36C3D" w:rsidP="00B36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0DA3E" w14:textId="77777777" w:rsidR="007E0C2C" w:rsidRDefault="007E0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29E32" w14:textId="1CE03CE3" w:rsidR="00B36C3D" w:rsidRDefault="00B36C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8C8F67" wp14:editId="0E5434C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452341f686489fe6ce119fbc" descr="{&quot;HashCode&quot;:-986782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E2B4E8" w14:textId="14DB8BB8" w:rsidR="00B36C3D" w:rsidRPr="00B36C3D" w:rsidRDefault="00B36C3D" w:rsidP="00B36C3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36C3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8C8F67" id="_x0000_t202" coordsize="21600,21600" o:spt="202" path="m,l,21600r21600,l21600,xe">
              <v:stroke joinstyle="miter"/>
              <v:path gradientshapeok="t" o:connecttype="rect"/>
            </v:shapetype>
            <v:shape id="MSIPCM452341f686489fe6ce119fbc" o:spid="_x0000_s1026" type="#_x0000_t202" alt="{&quot;HashCode&quot;:-98678232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DurTA4sQIAAEcFAAAOAAAA&#10;AAAAAAAAAAAAAC4CAABkcnMvZTJvRG9jLnhtbFBLAQItABQABgAIAAAAIQC7QO0x3AAAAAsBAAAP&#10;AAAAAAAAAAAAAAAAAAs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51E2B4E8" w14:textId="14DB8BB8" w:rsidR="00B36C3D" w:rsidRPr="00B36C3D" w:rsidRDefault="00B36C3D" w:rsidP="00B36C3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36C3D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8F3D7" w14:textId="77777777" w:rsidR="007E0C2C" w:rsidRDefault="007E0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E63E5" w14:textId="77777777" w:rsidR="00B36C3D" w:rsidRDefault="00B36C3D" w:rsidP="00B36C3D">
      <w:pPr>
        <w:spacing w:after="0" w:line="240" w:lineRule="auto"/>
      </w:pPr>
      <w:r>
        <w:separator/>
      </w:r>
    </w:p>
  </w:footnote>
  <w:footnote w:type="continuationSeparator" w:id="0">
    <w:p w14:paraId="6FCE78D1" w14:textId="77777777" w:rsidR="00B36C3D" w:rsidRDefault="00B36C3D" w:rsidP="00B36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B78D9" w14:textId="77777777" w:rsidR="007E0C2C" w:rsidRDefault="007E0C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5A26E" w14:textId="77777777" w:rsidR="007E0C2C" w:rsidRDefault="007E0C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3D4FB" w14:textId="77777777" w:rsidR="007E0C2C" w:rsidRDefault="007E0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65E9"/>
    <w:multiLevelType w:val="hybridMultilevel"/>
    <w:tmpl w:val="C5AE42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1FC"/>
    <w:multiLevelType w:val="hybridMultilevel"/>
    <w:tmpl w:val="813A2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F6F"/>
    <w:multiLevelType w:val="hybridMultilevel"/>
    <w:tmpl w:val="022243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F414C"/>
    <w:multiLevelType w:val="hybridMultilevel"/>
    <w:tmpl w:val="E152A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37824"/>
    <w:multiLevelType w:val="hybridMultilevel"/>
    <w:tmpl w:val="4F8E5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D9"/>
    <w:rsid w:val="00056F63"/>
    <w:rsid w:val="00057B0A"/>
    <w:rsid w:val="000A3E03"/>
    <w:rsid w:val="000E3372"/>
    <w:rsid w:val="001841A8"/>
    <w:rsid w:val="00184D8B"/>
    <w:rsid w:val="001A05D9"/>
    <w:rsid w:val="002062BA"/>
    <w:rsid w:val="00214505"/>
    <w:rsid w:val="00225D2A"/>
    <w:rsid w:val="0025203D"/>
    <w:rsid w:val="00273C3A"/>
    <w:rsid w:val="002E79AF"/>
    <w:rsid w:val="003E5464"/>
    <w:rsid w:val="00415041"/>
    <w:rsid w:val="00471591"/>
    <w:rsid w:val="004D661F"/>
    <w:rsid w:val="005A0192"/>
    <w:rsid w:val="005F7687"/>
    <w:rsid w:val="00616B86"/>
    <w:rsid w:val="00664273"/>
    <w:rsid w:val="006C6D37"/>
    <w:rsid w:val="007A53AE"/>
    <w:rsid w:val="007B291B"/>
    <w:rsid w:val="007E0C2C"/>
    <w:rsid w:val="00841B84"/>
    <w:rsid w:val="00903C42"/>
    <w:rsid w:val="009A0D92"/>
    <w:rsid w:val="00A00EB5"/>
    <w:rsid w:val="00A57E63"/>
    <w:rsid w:val="00AB33CF"/>
    <w:rsid w:val="00B36C3D"/>
    <w:rsid w:val="00B7472D"/>
    <w:rsid w:val="00C50329"/>
    <w:rsid w:val="00CA4F72"/>
    <w:rsid w:val="00CB1887"/>
    <w:rsid w:val="00CC3317"/>
    <w:rsid w:val="00D034D4"/>
    <w:rsid w:val="00D06BA9"/>
    <w:rsid w:val="00F5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ECB3"/>
  <w15:chartTrackingRefBased/>
  <w15:docId w15:val="{BAED15BC-06B6-4A4C-AC21-BD674E12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0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1AF"/>
    <w:rPr>
      <w:color w:val="0000FF"/>
      <w:u w:val="single"/>
    </w:rPr>
  </w:style>
  <w:style w:type="paragraph" w:styleId="NoSpacing">
    <w:name w:val="No Spacing"/>
    <w:uiPriority w:val="1"/>
    <w:qFormat/>
    <w:rsid w:val="001841A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A0D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A0D92"/>
  </w:style>
  <w:style w:type="character" w:customStyle="1" w:styleId="mw-editsection">
    <w:name w:val="mw-editsection"/>
    <w:basedOn w:val="DefaultParagraphFont"/>
    <w:rsid w:val="009A0D92"/>
  </w:style>
  <w:style w:type="character" w:customStyle="1" w:styleId="mw-editsection-bracket">
    <w:name w:val="mw-editsection-bracket"/>
    <w:basedOn w:val="DefaultParagraphFont"/>
    <w:rsid w:val="009A0D92"/>
  </w:style>
  <w:style w:type="paragraph" w:styleId="Header">
    <w:name w:val="header"/>
    <w:basedOn w:val="Normal"/>
    <w:link w:val="HeaderChar"/>
    <w:uiPriority w:val="99"/>
    <w:unhideWhenUsed/>
    <w:rsid w:val="00B36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C3D"/>
  </w:style>
  <w:style w:type="paragraph" w:styleId="Footer">
    <w:name w:val="footer"/>
    <w:basedOn w:val="Normal"/>
    <w:link w:val="FooterChar"/>
    <w:uiPriority w:val="99"/>
    <w:unhideWhenUsed/>
    <w:rsid w:val="00B36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C3D"/>
  </w:style>
  <w:style w:type="character" w:customStyle="1" w:styleId="Heading2Char">
    <w:name w:val="Heading 2 Char"/>
    <w:basedOn w:val="DefaultParagraphFont"/>
    <w:link w:val="Heading2"/>
    <w:uiPriority w:val="9"/>
    <w:semiHidden/>
    <w:rsid w:val="006C6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6D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06BA9"/>
    <w:rPr>
      <w:i/>
      <w:iCs/>
    </w:rPr>
  </w:style>
  <w:style w:type="character" w:styleId="Strong">
    <w:name w:val="Strong"/>
    <w:basedOn w:val="DefaultParagraphFont"/>
    <w:uiPriority w:val="22"/>
    <w:qFormat/>
    <w:rsid w:val="00D06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Ezeidei, Princewill</dc:creator>
  <cp:keywords/>
  <dc:description/>
  <cp:lastModifiedBy>Ezeidei, Princewill</cp:lastModifiedBy>
  <cp:revision>2</cp:revision>
  <dcterms:created xsi:type="dcterms:W3CDTF">2021-10-15T11:47:00Z</dcterms:created>
  <dcterms:modified xsi:type="dcterms:W3CDTF">2021-10-15T11:47:00Z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b9d4ea-d348-4e93-a29a-8def053c0154_Enabled">
    <vt:lpwstr>True</vt:lpwstr>
  </property>
  <property fmtid="{D5CDD505-2E9C-101B-9397-08002B2CF9AE}" pid="3" name="MSIP_Label_d6b9d4ea-d348-4e93-a29a-8def053c0154_SiteId">
    <vt:lpwstr>7369e6ec-faa6-42fa-bc0e-4f332da5b1db</vt:lpwstr>
  </property>
  <property fmtid="{D5CDD505-2E9C-101B-9397-08002B2CF9AE}" pid="4" name="MSIP_Label_d6b9d4ea-d348-4e93-a29a-8def053c0154_Owner">
    <vt:lpwstr>Princewill.Ezeidei@stanbicibtc.com</vt:lpwstr>
  </property>
  <property fmtid="{D5CDD505-2E9C-101B-9397-08002B2CF9AE}" pid="5" name="MSIP_Label_d6b9d4ea-d348-4e93-a29a-8def053c0154_SetDate">
    <vt:lpwstr>2021-10-14T01:27:51.6532795Z</vt:lpwstr>
  </property>
  <property fmtid="{D5CDD505-2E9C-101B-9397-08002B2CF9AE}" pid="6" name="MSIP_Label_d6b9d4ea-d348-4e93-a29a-8def053c0154_Name">
    <vt:lpwstr>Internal use only</vt:lpwstr>
  </property>
  <property fmtid="{D5CDD505-2E9C-101B-9397-08002B2CF9AE}" pid="7" name="MSIP_Label_d6b9d4ea-d348-4e93-a29a-8def053c0154_Application">
    <vt:lpwstr>Microsoft Azure Information Protection</vt:lpwstr>
  </property>
  <property fmtid="{D5CDD505-2E9C-101B-9397-08002B2CF9AE}" pid="8" name="MSIP_Label_d6b9d4ea-d348-4e93-a29a-8def053c0154_ActionId">
    <vt:lpwstr>42be09e8-a141-4f32-8481-c8119e0d7dee</vt:lpwstr>
  </property>
  <property fmtid="{D5CDD505-2E9C-101B-9397-08002B2CF9AE}" pid="9" name="MSIP_Label_d6b9d4ea-d348-4e93-a29a-8def053c0154_Extended_MSFT_Method">
    <vt:lpwstr>Automatic</vt:lpwstr>
  </property>
  <property fmtid="{D5CDD505-2E9C-101B-9397-08002B2CF9AE}" pid="10" name="Sensitivity">
    <vt:lpwstr>Internal use only</vt:lpwstr>
  </property>
</Properties>
</file>